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B61C7" w14:textId="77777777" w:rsidR="00C0588F" w:rsidRDefault="00D80799">
      <w:pPr>
        <w:tabs>
          <w:tab w:val="left" w:pos="9990"/>
        </w:tabs>
        <w:snapToGrid w:val="0"/>
        <w:spacing w:line="480" w:lineRule="auto"/>
        <w:rPr>
          <w:rFonts w:ascii="Arial" w:eastAsia="SimSun" w:hAnsi="Arial" w:cs="Arial"/>
          <w:b/>
          <w:color w:val="000000" w:themeColor="text1"/>
          <w:sz w:val="32"/>
          <w:szCs w:val="32"/>
        </w:rPr>
      </w:pPr>
      <w:bookmarkStart w:id="0" w:name="OLE_LINK47"/>
      <w:bookmarkStart w:id="1" w:name="OLE_LINK90"/>
      <w:bookmarkStart w:id="2" w:name="OLE_LINK89"/>
      <w:bookmarkStart w:id="3" w:name="OLE_LINK95"/>
      <w:proofErr w:type="spellStart"/>
      <w:r>
        <w:rPr>
          <w:rFonts w:ascii="Arial" w:eastAsia="SimSun" w:hAnsi="Arial" w:cs="Arial"/>
          <w:b/>
          <w:color w:val="000000" w:themeColor="text1"/>
          <w:sz w:val="32"/>
          <w:szCs w:val="32"/>
        </w:rPr>
        <w:t>Taqman</w:t>
      </w:r>
      <w:proofErr w:type="spellEnd"/>
      <w:r>
        <w:rPr>
          <w:rFonts w:ascii="Arial" w:eastAsia="SimSun" w:hAnsi="Arial" w:cs="Arial"/>
          <w:b/>
          <w:color w:val="000000" w:themeColor="text1"/>
          <w:sz w:val="32"/>
          <w:szCs w:val="32"/>
        </w:rPr>
        <w:t xml:space="preserve">-MGB </w:t>
      </w:r>
      <w:proofErr w:type="spellStart"/>
      <w:r>
        <w:rPr>
          <w:rFonts w:ascii="Arial" w:eastAsia="SimSun" w:hAnsi="Arial" w:cs="Arial"/>
          <w:b/>
          <w:color w:val="000000" w:themeColor="text1"/>
          <w:sz w:val="32"/>
          <w:szCs w:val="32"/>
        </w:rPr>
        <w:t>nanoPCR</w:t>
      </w:r>
      <w:proofErr w:type="spellEnd"/>
      <w:r>
        <w:rPr>
          <w:rFonts w:ascii="Arial" w:eastAsia="SimSun" w:hAnsi="Arial" w:cs="Arial"/>
          <w:b/>
          <w:color w:val="000000" w:themeColor="text1"/>
          <w:sz w:val="32"/>
          <w:szCs w:val="32"/>
        </w:rPr>
        <w:t xml:space="preserve"> for highly specific detection of single-base mutations </w:t>
      </w:r>
    </w:p>
    <w:p w14:paraId="69D2CEAF" w14:textId="77777777" w:rsidR="00C0588F" w:rsidRDefault="00D80799">
      <w:pPr>
        <w:snapToGrid w:val="0"/>
        <w:spacing w:before="120" w:after="120" w:line="480" w:lineRule="auto"/>
        <w:rPr>
          <w:rFonts w:ascii="Arial" w:eastAsia="SimSun" w:hAnsi="Arial" w:cs="Arial"/>
          <w:sz w:val="20"/>
          <w:szCs w:val="20"/>
          <w:vertAlign w:val="superscript"/>
        </w:rPr>
      </w:pPr>
      <w:bookmarkStart w:id="4" w:name="_Hlk62856346"/>
      <w:proofErr w:type="spellStart"/>
      <w:r>
        <w:rPr>
          <w:rFonts w:ascii="Arial" w:eastAsia="SimSun" w:hAnsi="Arial" w:cs="Arial"/>
          <w:sz w:val="20"/>
          <w:szCs w:val="20"/>
        </w:rPr>
        <w:t>Zhenrui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Xue</w:t>
      </w:r>
      <w:r>
        <w:rPr>
          <w:rFonts w:ascii="Arial" w:eastAsia="SimSun" w:hAnsi="Arial" w:cs="Arial"/>
          <w:sz w:val="20"/>
          <w:szCs w:val="20"/>
          <w:vertAlign w:val="superscript"/>
        </w:rPr>
        <w:t>1,2,3</w:t>
      </w:r>
      <w:bookmarkStart w:id="5" w:name="OLE_LINK19"/>
      <w:bookmarkStart w:id="6" w:name="_Hlk67433753"/>
      <w:r>
        <w:rPr>
          <w:rFonts w:ascii="Arial" w:eastAsia="SimSun" w:hAnsi="Arial" w:cs="Arial"/>
          <w:sz w:val="20"/>
          <w:szCs w:val="20"/>
          <w:vertAlign w:val="superscript"/>
        </w:rPr>
        <w:t>#</w:t>
      </w:r>
      <w:bookmarkEnd w:id="5"/>
      <w:bookmarkEnd w:id="6"/>
      <w:r>
        <w:rPr>
          <w:rFonts w:ascii="Arial" w:eastAsia="SimSun" w:hAnsi="Arial" w:cs="Arial"/>
          <w:sz w:val="20"/>
          <w:szCs w:val="20"/>
        </w:rPr>
        <w:t>, Minli You</w:t>
      </w:r>
      <w:r>
        <w:rPr>
          <w:rFonts w:ascii="Arial" w:eastAsia="SimSun" w:hAnsi="Arial" w:cs="Arial"/>
          <w:sz w:val="20"/>
          <w:szCs w:val="20"/>
          <w:vertAlign w:val="superscript"/>
        </w:rPr>
        <w:t>2,3#</w:t>
      </w:r>
      <w:r>
        <w:rPr>
          <w:rFonts w:ascii="Arial" w:eastAsia="SimSun" w:hAnsi="Arial" w:cs="Arial"/>
          <w:sz w:val="20"/>
          <w:szCs w:val="20"/>
        </w:rPr>
        <w:t>, Ping Peng</w:t>
      </w:r>
      <w:r>
        <w:rPr>
          <w:rFonts w:ascii="Arial" w:eastAsia="SimSun" w:hAnsi="Arial" w:cs="Arial"/>
          <w:sz w:val="20"/>
          <w:szCs w:val="20"/>
          <w:vertAlign w:val="superscript"/>
        </w:rPr>
        <w:t>1,2,3#</w:t>
      </w:r>
      <w:r>
        <w:rPr>
          <w:rFonts w:ascii="Arial" w:eastAsia="SimSun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SimSun" w:hAnsi="Arial" w:cs="Arial"/>
          <w:sz w:val="20"/>
          <w:szCs w:val="20"/>
        </w:rPr>
        <w:t>Haoyang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Tong</w:t>
      </w:r>
      <w:r>
        <w:rPr>
          <w:rFonts w:ascii="Arial" w:eastAsia="SimSun" w:hAnsi="Arial" w:cs="Arial"/>
          <w:sz w:val="20"/>
          <w:szCs w:val="20"/>
          <w:vertAlign w:val="superscript"/>
        </w:rPr>
        <w:t>2,3</w:t>
      </w:r>
      <w:r>
        <w:rPr>
          <w:rFonts w:ascii="Arial" w:eastAsia="SimSun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SimSun" w:hAnsi="Arial" w:cs="Arial"/>
          <w:sz w:val="20"/>
          <w:szCs w:val="20"/>
        </w:rPr>
        <w:t>Wanghong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He</w:t>
      </w:r>
      <w:r>
        <w:rPr>
          <w:rFonts w:ascii="Arial" w:eastAsia="SimSun" w:hAnsi="Arial" w:cs="Arial"/>
          <w:sz w:val="20"/>
          <w:szCs w:val="20"/>
          <w:vertAlign w:val="superscript"/>
        </w:rPr>
        <w:t>2,3,4</w:t>
      </w:r>
      <w:r>
        <w:rPr>
          <w:rFonts w:ascii="Arial" w:eastAsia="SimSun" w:hAnsi="Arial" w:cs="Arial"/>
          <w:sz w:val="20"/>
          <w:szCs w:val="20"/>
        </w:rPr>
        <w:t>, Ang Li</w:t>
      </w:r>
      <w:r>
        <w:rPr>
          <w:rFonts w:ascii="Arial" w:eastAsia="SimSun" w:hAnsi="Arial" w:cs="Arial"/>
          <w:sz w:val="20"/>
          <w:szCs w:val="20"/>
          <w:vertAlign w:val="superscript"/>
        </w:rPr>
        <w:t>4</w:t>
      </w:r>
      <w:r>
        <w:rPr>
          <w:rFonts w:ascii="Arial" w:eastAsia="SimSun" w:hAnsi="Arial" w:cs="Arial"/>
          <w:sz w:val="20"/>
          <w:szCs w:val="20"/>
        </w:rPr>
        <w:t>, Ping Mao</w:t>
      </w:r>
      <w:r>
        <w:rPr>
          <w:rFonts w:ascii="Arial" w:eastAsia="SimSun" w:hAnsi="Arial" w:cs="Arial"/>
          <w:sz w:val="20"/>
          <w:szCs w:val="20"/>
          <w:vertAlign w:val="superscript"/>
        </w:rPr>
        <w:t>1,2,3</w:t>
      </w:r>
      <w:r>
        <w:rPr>
          <w:rFonts w:ascii="Arial" w:eastAsia="SimSun" w:hAnsi="Arial" w:cs="Arial"/>
          <w:sz w:val="20"/>
          <w:szCs w:val="20"/>
        </w:rPr>
        <w:t>, Ting Xu</w:t>
      </w:r>
      <w:r>
        <w:rPr>
          <w:rFonts w:ascii="Arial" w:eastAsia="SimSun" w:hAnsi="Arial" w:cs="Arial"/>
          <w:sz w:val="20"/>
          <w:szCs w:val="20"/>
          <w:vertAlign w:val="superscript"/>
        </w:rPr>
        <w:t>1</w:t>
      </w:r>
      <w:r>
        <w:rPr>
          <w:rFonts w:ascii="Arial" w:eastAsia="SimSun" w:hAnsi="Arial" w:cs="Arial"/>
          <w:sz w:val="20"/>
          <w:szCs w:val="20"/>
        </w:rPr>
        <w:t>, Feng Xu</w:t>
      </w:r>
      <w:r>
        <w:rPr>
          <w:rFonts w:ascii="Arial" w:eastAsia="SimSun" w:hAnsi="Arial" w:cs="Arial"/>
          <w:sz w:val="20"/>
          <w:szCs w:val="20"/>
          <w:vertAlign w:val="superscript"/>
        </w:rPr>
        <w:t>2,3*</w:t>
      </w:r>
      <w:r>
        <w:rPr>
          <w:rFonts w:ascii="Arial" w:eastAsia="SimSun" w:hAnsi="Arial" w:cs="Arial"/>
          <w:sz w:val="20"/>
          <w:szCs w:val="20"/>
        </w:rPr>
        <w:t xml:space="preserve">, </w:t>
      </w:r>
      <w:proofErr w:type="spellStart"/>
      <w:r>
        <w:rPr>
          <w:rFonts w:ascii="Arial" w:eastAsia="SimSun" w:hAnsi="Arial" w:cs="Arial"/>
          <w:sz w:val="20"/>
          <w:szCs w:val="20"/>
        </w:rPr>
        <w:t>Chunyan</w:t>
      </w:r>
      <w:proofErr w:type="spellEnd"/>
      <w:r>
        <w:rPr>
          <w:rFonts w:ascii="Arial" w:eastAsia="SimSun" w:hAnsi="Arial" w:cs="Arial"/>
          <w:sz w:val="20"/>
          <w:szCs w:val="20"/>
        </w:rPr>
        <w:t xml:space="preserve"> Yao</w:t>
      </w:r>
      <w:r>
        <w:rPr>
          <w:rFonts w:ascii="Arial" w:eastAsia="SimSun" w:hAnsi="Arial" w:cs="Arial"/>
          <w:sz w:val="20"/>
          <w:szCs w:val="20"/>
          <w:vertAlign w:val="superscript"/>
        </w:rPr>
        <w:t>1*</w:t>
      </w:r>
    </w:p>
    <w:p w14:paraId="574FF3AD" w14:textId="77777777" w:rsidR="00C0588F" w:rsidRDefault="00C0588F">
      <w:pPr>
        <w:snapToGrid w:val="0"/>
        <w:spacing w:before="120" w:after="120" w:line="480" w:lineRule="auto"/>
        <w:rPr>
          <w:rFonts w:ascii="Arial" w:eastAsia="SimSun" w:hAnsi="Arial" w:cs="Arial"/>
          <w:sz w:val="20"/>
          <w:szCs w:val="20"/>
        </w:rPr>
      </w:pPr>
    </w:p>
    <w:bookmarkEnd w:id="4"/>
    <w:p w14:paraId="31442777" w14:textId="77777777" w:rsidR="00C0588F" w:rsidRDefault="00D80799">
      <w:pPr>
        <w:widowControl/>
        <w:snapToGrid w:val="0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color w:val="000000" w:themeColor="text1"/>
          <w:kern w:val="0"/>
          <w:sz w:val="20"/>
          <w:szCs w:val="20"/>
          <w:vertAlign w:val="superscript"/>
          <w:lang w:eastAsia="en-US"/>
        </w:rPr>
        <w:t xml:space="preserve">1 </w:t>
      </w:r>
      <w:r>
        <w:rPr>
          <w:rFonts w:ascii="Arial" w:eastAsia="SimSun" w:hAnsi="Arial" w:cs="Arial"/>
          <w:iCs/>
          <w:color w:val="000000" w:themeColor="text1"/>
          <w:sz w:val="20"/>
          <w:szCs w:val="20"/>
        </w:rPr>
        <w:t xml:space="preserve">Department of Transfusion Medicine, Southwest Hospital, Third Military Medical University (Army Medical University), Chongqing 400038, P.R. China; </w:t>
      </w:r>
      <w:r>
        <w:rPr>
          <w:rFonts w:ascii="Arial" w:eastAsia="SimSun" w:hAnsi="Arial" w:cs="Arial"/>
          <w:iCs/>
          <w:color w:val="000000" w:themeColor="text1"/>
          <w:sz w:val="20"/>
          <w:szCs w:val="20"/>
          <w:vertAlign w:val="superscript"/>
        </w:rPr>
        <w:t xml:space="preserve">2 </w:t>
      </w:r>
      <w:r>
        <w:rPr>
          <w:rFonts w:ascii="Arial" w:eastAsia="MS Mincho" w:hAnsi="Arial" w:cs="Arial"/>
          <w:iCs/>
          <w:color w:val="000000" w:themeColor="text1"/>
          <w:kern w:val="0"/>
          <w:sz w:val="20"/>
          <w:szCs w:val="20"/>
          <w:lang w:eastAsia="ja-JP"/>
        </w:rPr>
        <w:t>The Key Laboratory of Biomedical Information Engineering o</w:t>
      </w:r>
      <w:r>
        <w:rPr>
          <w:rFonts w:ascii="Arial" w:eastAsia="MS Mincho" w:hAnsi="Arial" w:cs="Arial"/>
          <w:color w:val="000000" w:themeColor="text1"/>
          <w:kern w:val="0"/>
          <w:sz w:val="20"/>
          <w:szCs w:val="20"/>
          <w:lang w:eastAsia="ja-JP"/>
        </w:rPr>
        <w:t>f Ministry of Education</w:t>
      </w:r>
      <w:r>
        <w:rPr>
          <w:rFonts w:ascii="Arial" w:eastAsia="MS Mincho" w:hAnsi="Arial" w:cs="Arial"/>
          <w:iCs/>
          <w:color w:val="000000" w:themeColor="text1"/>
          <w:kern w:val="0"/>
          <w:sz w:val="20"/>
          <w:szCs w:val="20"/>
          <w:lang w:eastAsia="ja-JP"/>
        </w:rPr>
        <w:t xml:space="preserve">, School of Life Science and Technology, Xi’an </w:t>
      </w:r>
      <w:proofErr w:type="spellStart"/>
      <w:r>
        <w:rPr>
          <w:rFonts w:ascii="Arial" w:eastAsia="MS Mincho" w:hAnsi="Arial" w:cs="Arial"/>
          <w:iCs/>
          <w:color w:val="000000" w:themeColor="text1"/>
          <w:kern w:val="0"/>
          <w:sz w:val="20"/>
          <w:szCs w:val="20"/>
          <w:lang w:eastAsia="ja-JP"/>
        </w:rPr>
        <w:t>Jiaotong</w:t>
      </w:r>
      <w:proofErr w:type="spellEnd"/>
      <w:r>
        <w:rPr>
          <w:rFonts w:ascii="Arial" w:eastAsia="MS Mincho" w:hAnsi="Arial" w:cs="Arial"/>
          <w:iCs/>
          <w:color w:val="000000" w:themeColor="text1"/>
          <w:kern w:val="0"/>
          <w:sz w:val="20"/>
          <w:szCs w:val="20"/>
          <w:lang w:eastAsia="ja-JP"/>
        </w:rPr>
        <w:t xml:space="preserve"> University, Xi’an 710049, P.R. China; </w:t>
      </w:r>
      <w:r>
        <w:rPr>
          <w:rFonts w:ascii="Arial" w:eastAsia="SimSun" w:hAnsi="Arial" w:cs="Arial"/>
          <w:iCs/>
          <w:color w:val="000000" w:themeColor="text1"/>
          <w:sz w:val="20"/>
          <w:szCs w:val="20"/>
          <w:vertAlign w:val="superscript"/>
        </w:rPr>
        <w:t xml:space="preserve">3 </w:t>
      </w:r>
      <w:r>
        <w:rPr>
          <w:rFonts w:ascii="Arial" w:eastAsia="SimSun" w:hAnsi="Arial" w:cs="Arial"/>
          <w:iCs/>
          <w:color w:val="000000" w:themeColor="text1"/>
          <w:sz w:val="20"/>
          <w:szCs w:val="20"/>
        </w:rPr>
        <w:t xml:space="preserve">Bioinspired Engineering and Biomechanics Center (BEBC), </w:t>
      </w:r>
      <w:r>
        <w:rPr>
          <w:rFonts w:ascii="Arial" w:eastAsia="SimSun" w:hAnsi="Arial" w:cs="Arial"/>
          <w:bCs/>
          <w:iCs/>
          <w:color w:val="000000" w:themeColor="text1"/>
          <w:sz w:val="20"/>
          <w:szCs w:val="20"/>
        </w:rPr>
        <w:t xml:space="preserve">Xi’an </w:t>
      </w:r>
      <w:proofErr w:type="spellStart"/>
      <w:r>
        <w:rPr>
          <w:rFonts w:ascii="Arial" w:eastAsia="SimSun" w:hAnsi="Arial" w:cs="Arial"/>
          <w:bCs/>
          <w:iCs/>
          <w:color w:val="000000" w:themeColor="text1"/>
          <w:sz w:val="20"/>
          <w:szCs w:val="20"/>
        </w:rPr>
        <w:t>Jiaotong</w:t>
      </w:r>
      <w:proofErr w:type="spellEnd"/>
      <w:r>
        <w:rPr>
          <w:rFonts w:ascii="Arial" w:eastAsia="SimSun" w:hAnsi="Arial" w:cs="Arial"/>
          <w:bCs/>
          <w:iCs/>
          <w:color w:val="000000" w:themeColor="text1"/>
          <w:sz w:val="20"/>
          <w:szCs w:val="20"/>
        </w:rPr>
        <w:t xml:space="preserve"> University</w:t>
      </w:r>
      <w:r>
        <w:rPr>
          <w:rFonts w:ascii="Arial" w:eastAsia="SimSun" w:hAnsi="Arial" w:cs="Arial"/>
          <w:iCs/>
          <w:color w:val="000000" w:themeColor="text1"/>
          <w:sz w:val="20"/>
          <w:szCs w:val="20"/>
        </w:rPr>
        <w:t xml:space="preserve">, Xi’an 710049, P.R. China; </w:t>
      </w:r>
      <w:r>
        <w:rPr>
          <w:rFonts w:ascii="Arial" w:eastAsia="SimSun" w:hAnsi="Arial" w:cs="Arial"/>
          <w:iCs/>
          <w:color w:val="000000" w:themeColor="text1"/>
          <w:sz w:val="20"/>
          <w:szCs w:val="20"/>
          <w:vertAlign w:val="superscript"/>
        </w:rPr>
        <w:t xml:space="preserve">4 </w:t>
      </w:r>
      <w:r>
        <w:rPr>
          <w:rFonts w:ascii="Arial" w:hAnsi="Arial" w:cs="Arial"/>
          <w:sz w:val="20"/>
          <w:szCs w:val="20"/>
        </w:rPr>
        <w:t xml:space="preserve">Key Laboratory of Shaanxi Province for Craniofacial Precision Medicine Research, College of Stomatology, Xi’an </w:t>
      </w:r>
      <w:proofErr w:type="spellStart"/>
      <w:r>
        <w:rPr>
          <w:rFonts w:ascii="Arial" w:hAnsi="Arial" w:cs="Arial"/>
          <w:sz w:val="20"/>
          <w:szCs w:val="20"/>
        </w:rPr>
        <w:t>Jiaotong</w:t>
      </w:r>
      <w:proofErr w:type="spellEnd"/>
      <w:r>
        <w:rPr>
          <w:rFonts w:ascii="Arial" w:hAnsi="Arial" w:cs="Arial"/>
          <w:sz w:val="20"/>
          <w:szCs w:val="20"/>
        </w:rPr>
        <w:t xml:space="preserve"> University, Xi’an 710049, People’s Republic of China</w:t>
      </w:r>
    </w:p>
    <w:p w14:paraId="1EAABE20" w14:textId="77777777" w:rsidR="00C0588F" w:rsidRDefault="00C0588F">
      <w:pPr>
        <w:widowControl/>
        <w:snapToGrid w:val="0"/>
        <w:spacing w:line="480" w:lineRule="auto"/>
        <w:rPr>
          <w:rFonts w:ascii="Arial" w:hAnsi="Arial" w:cs="Arial"/>
          <w:sz w:val="20"/>
          <w:szCs w:val="20"/>
        </w:rPr>
      </w:pPr>
    </w:p>
    <w:p w14:paraId="174C8674" w14:textId="77777777" w:rsidR="00C0588F" w:rsidRDefault="00D80799">
      <w:pPr>
        <w:snapToGrid w:val="0"/>
        <w:spacing w:line="480" w:lineRule="auto"/>
        <w:jc w:val="left"/>
        <w:rPr>
          <w:rFonts w:ascii="Arial" w:eastAsia="SimSun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eastAsia="SimSun" w:hAnsi="Arial" w:cs="Arial"/>
          <w:color w:val="000000" w:themeColor="text1"/>
          <w:sz w:val="20"/>
          <w:szCs w:val="20"/>
          <w:vertAlign w:val="superscript"/>
        </w:rPr>
        <w:t>#</w:t>
      </w:r>
      <w:r>
        <w:rPr>
          <w:rFonts w:ascii="Arial" w:eastAsia="SimSun" w:hAnsi="Arial" w:cs="Arial"/>
          <w:color w:val="000000" w:themeColor="text1"/>
          <w:sz w:val="20"/>
          <w:szCs w:val="20"/>
        </w:rPr>
        <w:t xml:space="preserve"> These authors contributed equally to this work</w:t>
      </w:r>
    </w:p>
    <w:p w14:paraId="6DCEC5C9" w14:textId="77777777" w:rsidR="00C0588F" w:rsidRDefault="00D80799">
      <w:pPr>
        <w:snapToGrid w:val="0"/>
        <w:spacing w:line="480" w:lineRule="auto"/>
        <w:jc w:val="left"/>
        <w:rPr>
          <w:rFonts w:ascii="Arial" w:hAnsi="Arial" w:cs="Arial"/>
          <w:sz w:val="20"/>
          <w:szCs w:val="20"/>
        </w:rPr>
      </w:pPr>
      <w:bookmarkStart w:id="7" w:name="_Hlk67436734"/>
      <w:r>
        <w:rPr>
          <w:rFonts w:ascii="Arial" w:eastAsia="SimSun" w:hAnsi="Arial" w:cs="Arial"/>
          <w:color w:val="000000" w:themeColor="text1"/>
          <w:sz w:val="20"/>
          <w:szCs w:val="20"/>
          <w:vertAlign w:val="superscript"/>
        </w:rPr>
        <w:t>*</w:t>
      </w:r>
      <w:r>
        <w:rPr>
          <w:rFonts w:ascii="Arial" w:eastAsia="SimSun" w:hAnsi="Arial" w:cs="Arial"/>
          <w:color w:val="000000" w:themeColor="text1"/>
          <w:sz w:val="20"/>
          <w:szCs w:val="20"/>
        </w:rPr>
        <w:t xml:space="preserve"> Correspondence:</w:t>
      </w:r>
      <w:r>
        <w:rPr>
          <w:rStyle w:val="Hyperlink"/>
          <w:rFonts w:ascii="Arial" w:eastAsia="SimSun" w:hAnsi="Arial" w:cs="Arial"/>
          <w:color w:val="000000" w:themeColor="text1"/>
          <w:sz w:val="20"/>
          <w:szCs w:val="20"/>
        </w:rPr>
        <w:t xml:space="preserve"> </w:t>
      </w:r>
      <w:bookmarkEnd w:id="7"/>
      <w:proofErr w:type="spellStart"/>
      <w:r>
        <w:rPr>
          <w:rFonts w:ascii="Arial" w:hAnsi="Arial" w:cs="Arial"/>
          <w:sz w:val="20"/>
          <w:szCs w:val="20"/>
        </w:rPr>
        <w:t>Chunyan</w:t>
      </w:r>
      <w:proofErr w:type="spellEnd"/>
      <w:r>
        <w:rPr>
          <w:rFonts w:ascii="Arial" w:hAnsi="Arial" w:cs="Arial"/>
          <w:sz w:val="20"/>
          <w:szCs w:val="20"/>
        </w:rPr>
        <w:t xml:space="preserve"> Yao; F</w:t>
      </w:r>
      <w:r>
        <w:rPr>
          <w:rFonts w:ascii="Arial" w:hAnsi="Arial" w:cs="Arial" w:hint="eastAsia"/>
          <w:sz w:val="20"/>
          <w:szCs w:val="20"/>
        </w:rPr>
        <w:t>eng</w:t>
      </w:r>
      <w:r>
        <w:rPr>
          <w:rFonts w:ascii="Arial" w:hAnsi="Arial" w:cs="Arial"/>
          <w:sz w:val="20"/>
          <w:szCs w:val="20"/>
        </w:rPr>
        <w:t xml:space="preserve"> Xu </w:t>
      </w:r>
    </w:p>
    <w:p w14:paraId="3086B252" w14:textId="77777777" w:rsidR="00C0588F" w:rsidRDefault="00D80799">
      <w:pPr>
        <w:snapToGrid w:val="0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Department of Transfusion Medicine, Southwest Hospital, Third Military Medical University (Army Medical University), Chongqing 400038, P.R. China </w:t>
      </w:r>
    </w:p>
    <w:p w14:paraId="3A73C8D5" w14:textId="77777777" w:rsidR="00C0588F" w:rsidRDefault="00D80799">
      <w:pPr>
        <w:snapToGrid w:val="0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 +1 389 619 2922</w:t>
      </w:r>
    </w:p>
    <w:p w14:paraId="06EC7371" w14:textId="77777777" w:rsidR="00C0588F" w:rsidRDefault="00D80799">
      <w:pPr>
        <w:tabs>
          <w:tab w:val="left" w:pos="9990"/>
        </w:tabs>
        <w:snapToGrid w:val="0"/>
        <w:spacing w:line="360" w:lineRule="auto"/>
        <w:rPr>
          <w:rFonts w:ascii="Times New Roman" w:eastAsia="SimSun" w:hAnsi="Times New Roman" w:cs="Times New Roman"/>
          <w:b/>
          <w:color w:val="000000" w:themeColor="text1"/>
          <w:sz w:val="28"/>
          <w:szCs w:val="28"/>
        </w:rPr>
      </w:pPr>
      <w:r>
        <w:rPr>
          <w:rFonts w:ascii="Arial" w:hAnsi="Arial" w:cs="Arial"/>
          <w:sz w:val="20"/>
          <w:szCs w:val="20"/>
        </w:rPr>
        <w:t>Email:</w:t>
      </w:r>
      <w:r>
        <w:rPr>
          <w:rFonts w:ascii="Arial" w:eastAsia="SimSun" w:hAnsi="Arial" w:cs="Arial"/>
          <w:color w:val="000000" w:themeColor="text1"/>
          <w:sz w:val="20"/>
          <w:szCs w:val="20"/>
        </w:rPr>
        <w:t xml:space="preserve"> yao_yao24@yahoo.com</w:t>
      </w:r>
      <w:r>
        <w:rPr>
          <w:rFonts w:ascii="Arial" w:eastAsia="SimSun" w:hAnsi="Arial" w:cs="Arial"/>
          <w:sz w:val="20"/>
          <w:szCs w:val="20"/>
        </w:rPr>
        <w:t>;</w:t>
      </w:r>
      <w:r>
        <w:rPr>
          <w:rFonts w:ascii="Arial" w:eastAsia="SimSun" w:hAnsi="Arial" w:cs="Arial"/>
          <w:color w:val="000000" w:themeColor="text1"/>
          <w:sz w:val="20"/>
          <w:szCs w:val="20"/>
        </w:rPr>
        <w:t xml:space="preserve"> </w:t>
      </w:r>
      <w:r>
        <w:rPr>
          <w:rStyle w:val="Hyperlink"/>
          <w:rFonts w:ascii="Arial" w:eastAsia="SimSun" w:hAnsi="Arial" w:cs="Arial"/>
          <w:color w:val="000000" w:themeColor="text1"/>
          <w:sz w:val="20"/>
          <w:szCs w:val="20"/>
        </w:rPr>
        <w:t>fengxu@mail.xjtu.edu.cn</w:t>
      </w:r>
    </w:p>
    <w:p w14:paraId="38156448" w14:textId="77777777" w:rsidR="00C0588F" w:rsidRDefault="00D80799">
      <w:pPr>
        <w:widowControl/>
        <w:jc w:val="left"/>
        <w:rPr>
          <w:rFonts w:ascii="Times New Roman" w:eastAsia="SimSu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SimSu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27B4FAC5" w14:textId="77777777" w:rsidR="00C0588F" w:rsidRDefault="00C0588F">
      <w:pPr>
        <w:tabs>
          <w:tab w:val="left" w:pos="9990"/>
        </w:tabs>
        <w:snapToGrid w:val="0"/>
        <w:spacing w:line="360" w:lineRule="auto"/>
        <w:rPr>
          <w:rFonts w:ascii="Times New Roman" w:eastAsia="SimSun" w:hAnsi="Times New Roman" w:cs="Times New Roman"/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14:paraId="65051E86" w14:textId="77777777" w:rsidR="00C0588F" w:rsidRDefault="00C0588F">
      <w:pPr>
        <w:spacing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1070D50C" w14:textId="77777777" w:rsidR="00C0588F" w:rsidRDefault="00D8079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 S1</w:t>
      </w:r>
      <w:r>
        <w:rPr>
          <w:rFonts w:ascii="Arial" w:hAnsi="Arial" w:cs="Arial"/>
          <w:sz w:val="20"/>
          <w:szCs w:val="20"/>
        </w:rPr>
        <w:t xml:space="preserve"> </w:t>
      </w:r>
      <w:bookmarkStart w:id="8" w:name="_Hlk60855013"/>
      <w:r>
        <w:rPr>
          <w:rFonts w:ascii="Arial" w:hAnsi="Arial" w:cs="Arial"/>
          <w:b/>
          <w:bCs/>
          <w:sz w:val="20"/>
          <w:szCs w:val="20"/>
        </w:rPr>
        <w:t xml:space="preserve">Characterization of the prepared Au nanoparticle. </w:t>
      </w:r>
      <w:r>
        <w:rPr>
          <w:rFonts w:ascii="Arial" w:hAnsi="Arial" w:cs="Arial"/>
          <w:sz w:val="20"/>
          <w:szCs w:val="20"/>
        </w:rPr>
        <w:t>Size distributions of (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 AuNP and (</w:t>
      </w:r>
      <w:r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 Zeta potential of AuNP.</w:t>
      </w:r>
      <w:bookmarkEnd w:id="8"/>
    </w:p>
    <w:p w14:paraId="53A9E315" w14:textId="77777777" w:rsidR="00C0588F" w:rsidRPr="003311DF" w:rsidRDefault="00C0588F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9" w:name="OLE_LINK1"/>
    </w:p>
    <w:p w14:paraId="37797F89" w14:textId="77777777" w:rsidR="00C0588F" w:rsidRPr="003311DF" w:rsidRDefault="00D80799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3311DF">
        <w:rPr>
          <w:rFonts w:ascii="Arial" w:hAnsi="Arial" w:cs="Arial"/>
          <w:b/>
          <w:bCs/>
          <w:sz w:val="20"/>
          <w:szCs w:val="20"/>
        </w:rPr>
        <w:t xml:space="preserve">Figure S2 </w:t>
      </w:r>
      <w:r w:rsidRPr="003311DF">
        <w:rPr>
          <w:rFonts w:ascii="Arial" w:hAnsi="Arial" w:cs="Arial"/>
          <w:sz w:val="20"/>
          <w:szCs w:val="20"/>
        </w:rPr>
        <w:t>(</w:t>
      </w:r>
      <w:r w:rsidRPr="003311DF">
        <w:rPr>
          <w:rFonts w:ascii="Arial" w:hAnsi="Arial" w:cs="Arial"/>
          <w:b/>
          <w:bCs/>
          <w:sz w:val="20"/>
          <w:szCs w:val="20"/>
        </w:rPr>
        <w:t>A</w:t>
      </w:r>
      <w:r w:rsidRPr="003311DF">
        <w:rPr>
          <w:rFonts w:ascii="Arial" w:hAnsi="Arial" w:cs="Arial"/>
          <w:sz w:val="20"/>
          <w:szCs w:val="20"/>
        </w:rPr>
        <w:t>) TEM images and (</w:t>
      </w:r>
      <w:r w:rsidRPr="003311DF">
        <w:rPr>
          <w:rFonts w:ascii="Arial" w:hAnsi="Arial" w:cs="Arial"/>
          <w:b/>
          <w:bCs/>
          <w:sz w:val="20"/>
          <w:szCs w:val="20"/>
        </w:rPr>
        <w:t>B</w:t>
      </w:r>
      <w:r w:rsidRPr="003311DF">
        <w:rPr>
          <w:rFonts w:ascii="Arial" w:hAnsi="Arial" w:cs="Arial"/>
          <w:sz w:val="20"/>
          <w:szCs w:val="20"/>
        </w:rPr>
        <w:t>) distribution of AuNPs.</w:t>
      </w:r>
    </w:p>
    <w:bookmarkEnd w:id="9"/>
    <w:p w14:paraId="4B1E7B9E" w14:textId="77777777" w:rsidR="00C0588F" w:rsidRPr="003311DF" w:rsidRDefault="00C0588F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7935DC" w14:textId="3C595A45" w:rsidR="00C0588F" w:rsidRDefault="00D80799">
      <w:pPr>
        <w:spacing w:line="360" w:lineRule="auto"/>
        <w:rPr>
          <w:rFonts w:ascii="Arial" w:hAnsi="Arial" w:cs="Arial"/>
          <w:sz w:val="20"/>
          <w:szCs w:val="20"/>
        </w:rPr>
      </w:pPr>
      <w:r w:rsidRPr="003311DF">
        <w:rPr>
          <w:rFonts w:ascii="Arial" w:hAnsi="Arial" w:cs="Arial"/>
          <w:b/>
          <w:bCs/>
          <w:sz w:val="20"/>
          <w:szCs w:val="20"/>
        </w:rPr>
        <w:t>Figure S3 Normalized UV-</w:t>
      </w:r>
      <w:proofErr w:type="gramStart"/>
      <w:r w:rsidRPr="003311DF">
        <w:rPr>
          <w:rFonts w:ascii="Arial" w:hAnsi="Arial" w:cs="Arial"/>
          <w:b/>
          <w:bCs/>
          <w:sz w:val="20"/>
          <w:szCs w:val="20"/>
        </w:rPr>
        <w:t>Vis</w:t>
      </w:r>
      <w:proofErr w:type="gramEnd"/>
      <w:r w:rsidRPr="003311DF">
        <w:rPr>
          <w:rFonts w:ascii="Arial" w:hAnsi="Arial" w:cs="Arial"/>
          <w:b/>
          <w:bCs/>
          <w:sz w:val="20"/>
          <w:szCs w:val="20"/>
        </w:rPr>
        <w:t xml:space="preserve"> spectra of AuNPs before and after mixed with NA sequences and PCR mix.</w:t>
      </w:r>
      <w:r w:rsidRPr="003311DF">
        <w:rPr>
          <w:rFonts w:ascii="Arial" w:hAnsi="Arial" w:cs="Arial"/>
          <w:sz w:val="20"/>
          <w:szCs w:val="20"/>
        </w:rPr>
        <w:t xml:space="preserve"> The </w:t>
      </w:r>
      <w:r>
        <w:rPr>
          <w:rFonts w:ascii="Arial" w:hAnsi="Arial" w:cs="Arial"/>
          <w:sz w:val="20"/>
          <w:szCs w:val="20"/>
        </w:rPr>
        <w:t>UV-Vis spectra of AuNPs (orange line), AuNPs mixed with NA sequences (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ie</w:t>
      </w:r>
      <w:proofErr w:type="spellEnd"/>
      <w:r>
        <w:rPr>
          <w:rFonts w:ascii="Arial" w:hAnsi="Arial" w:cs="Arial"/>
          <w:sz w:val="20"/>
          <w:szCs w:val="20"/>
        </w:rPr>
        <w:t>, primers, probes, and single strand templates) (pink line), AuNPs mixed with PCR mix (green line) and AuNPs mixed with PCR mix and NA sequences (blue line) are normalized to 1.</w:t>
      </w:r>
    </w:p>
    <w:p w14:paraId="2414347B" w14:textId="77777777" w:rsidR="00C0588F" w:rsidRDefault="00C0588F">
      <w:pPr>
        <w:widowControl/>
        <w:jc w:val="left"/>
        <w:rPr>
          <w:rFonts w:ascii="Times New Roman" w:hAnsi="Times New Roman" w:cs="Times New Roman"/>
          <w:sz w:val="24"/>
          <w:szCs w:val="28"/>
        </w:rPr>
      </w:pPr>
    </w:p>
    <w:p w14:paraId="362E1A64" w14:textId="77777777" w:rsidR="00C0588F" w:rsidRDefault="00C0588F">
      <w:pPr>
        <w:widowControl/>
        <w:jc w:val="left"/>
        <w:rPr>
          <w:rFonts w:ascii="Times New Roman" w:hAnsi="Times New Roman" w:cs="Times New Roman"/>
          <w:sz w:val="24"/>
          <w:szCs w:val="28"/>
        </w:rPr>
      </w:pPr>
    </w:p>
    <w:p w14:paraId="21B741A7" w14:textId="77777777" w:rsidR="00C0588F" w:rsidRDefault="00D8079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S1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The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sequences of primers, probes and template</w:t>
      </w:r>
    </w:p>
    <w:p w14:paraId="0E5E568C" w14:textId="77777777" w:rsidR="00C0588F" w:rsidRDefault="00C0588F">
      <w:pPr>
        <w:rPr>
          <w:rFonts w:ascii="Times New Roman" w:hAnsi="Times New Roman" w:cs="Times New Roman"/>
          <w:b/>
          <w:bCs/>
          <w:sz w:val="24"/>
          <w:szCs w:val="28"/>
        </w:rPr>
      </w:pPr>
    </w:p>
    <w:tbl>
      <w:tblPr>
        <w:tblStyle w:val="MediumList1"/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6116"/>
      </w:tblGrid>
      <w:tr w:rsidR="00C0588F" w14:paraId="0A829BF5" w14:textId="77777777" w:rsidTr="00C05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  <w:tcBorders>
              <w:bottom w:val="nil"/>
            </w:tcBorders>
            <w:noWrap/>
          </w:tcPr>
          <w:p w14:paraId="542AF926" w14:textId="77777777" w:rsidR="00C0588F" w:rsidRDefault="00D80799">
            <w:pPr>
              <w:jc w:val="center"/>
              <w:rPr>
                <w:rFonts w:ascii="Arial" w:eastAsiaTheme="majorEastAsia" w:hAnsi="Arial" w:cs="Arial"/>
                <w:bCs w:val="0"/>
                <w:i/>
                <w:sz w:val="20"/>
                <w:szCs w:val="20"/>
              </w:rPr>
            </w:pPr>
            <w:bookmarkStart w:id="10" w:name="_Hlk60737666"/>
            <w:r>
              <w:rPr>
                <w:rFonts w:ascii="Arial" w:eastAsiaTheme="majorEastAsia" w:hAnsi="Arial" w:cs="Arial"/>
                <w:i/>
                <w:sz w:val="20"/>
                <w:szCs w:val="20"/>
              </w:rPr>
              <w:t>EGFR T790M</w:t>
            </w:r>
          </w:p>
          <w:p w14:paraId="0FA4FACD" w14:textId="77777777" w:rsidR="00C0588F" w:rsidRDefault="00D80799">
            <w:pPr>
              <w:ind w:firstLineChars="300" w:firstLine="602"/>
              <w:rPr>
                <w:rFonts w:ascii="Arial" w:eastAsiaTheme="majorEastAsia" w:hAnsi="Arial" w:cs="Arial"/>
                <w:bCs w:val="0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sz w:val="20"/>
                <w:szCs w:val="20"/>
              </w:rPr>
              <w:t>Sequence</w:t>
            </w:r>
          </w:p>
        </w:tc>
        <w:tc>
          <w:tcPr>
            <w:tcW w:w="3662" w:type="pct"/>
            <w:tcBorders>
              <w:bottom w:val="nil"/>
            </w:tcBorders>
          </w:tcPr>
          <w:p w14:paraId="473655B3" w14:textId="77777777" w:rsidR="00C0588F" w:rsidRDefault="00D8079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1"/>
                <w:rFonts w:ascii="Arial" w:eastAsiaTheme="majorEastAsia" w:hAnsi="Arial" w:cs="Arial"/>
                <w:i w:val="0"/>
                <w:iCs w:val="0"/>
                <w:color w:val="000000" w:themeColor="text1"/>
                <w:sz w:val="20"/>
                <w:szCs w:val="20"/>
              </w:rPr>
            </w:pP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5'-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TTGCAGGCACAGCTTTTCCTCCATGAGTACGTATTTTGAAACTCAAGATCGCATTCATGCGTCTTCACCTGGAAGGGGTCCATGTGCCCCTCCTTCTGGCCACCATGCGAAGCCACACTGACGTGCCTCTCCCTCCCTCCAGGAAGCCTACGTGATGGCCAGCGTGGACAACCCCCACGTGTGCC</w:t>
            </w:r>
            <w:r>
              <w:rPr>
                <w:rFonts w:ascii="Arial" w:eastAsiaTheme="majorEastAsia" w:hAnsi="Arial" w:cs="Arial"/>
                <w:sz w:val="20"/>
                <w:szCs w:val="20"/>
                <w:highlight w:val="yellow"/>
              </w:rPr>
              <w:t>GCCTGCTGGGCATCTG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CCTCACCTCCACCGTGCAG</w:t>
            </w:r>
            <w:r>
              <w:rPr>
                <w:rFonts w:ascii="Arial" w:eastAsiaTheme="majorEastAsia" w:hAnsi="Arial" w:cs="Arial"/>
                <w:color w:val="0D0D0D" w:themeColor="text1" w:themeTint="F2"/>
                <w:sz w:val="20"/>
                <w:szCs w:val="20"/>
                <w:highlight w:val="darkGray"/>
              </w:rPr>
              <w:t>CTCATCA</w:t>
            </w:r>
            <w:r>
              <w:rPr>
                <w:rFonts w:ascii="Arial" w:eastAsiaTheme="majorEastAsia" w:hAnsi="Arial" w:cs="Arial"/>
                <w:b/>
                <w:color w:val="FF0000"/>
                <w:sz w:val="20"/>
                <w:szCs w:val="20"/>
                <w:highlight w:val="darkGray"/>
              </w:rPr>
              <w:t>T</w:t>
            </w:r>
            <w:r>
              <w:rPr>
                <w:rFonts w:ascii="Arial" w:eastAsiaTheme="majorEastAsia" w:hAnsi="Arial" w:cs="Arial"/>
                <w:color w:val="0D0D0D" w:themeColor="text1" w:themeTint="F2"/>
                <w:sz w:val="20"/>
                <w:szCs w:val="20"/>
                <w:highlight w:val="darkGray"/>
              </w:rPr>
              <w:t>GCAGCTCAT</w:t>
            </w:r>
            <w:r>
              <w:rPr>
                <w:rFonts w:ascii="Arial" w:eastAsiaTheme="majorEastAsia" w:hAnsi="Arial" w:cs="Arial"/>
                <w:color w:val="0D0D0D" w:themeColor="text1" w:themeTint="F2"/>
                <w:sz w:val="20"/>
                <w:szCs w:val="20"/>
              </w:rPr>
              <w:t>G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CCCTTCGGCTGCCTCCTG</w:t>
            </w:r>
            <w:r>
              <w:rPr>
                <w:rFonts w:ascii="Arial" w:eastAsiaTheme="majorEastAsia" w:hAnsi="Arial" w:cs="Arial"/>
                <w:sz w:val="20"/>
                <w:szCs w:val="20"/>
                <w:highlight w:val="yellow"/>
              </w:rPr>
              <w:t>GACTATGTCCGGGAACACAAAGA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CAATATTGGCTCCCAGTACCTGCTCAACTGGTGTGTGCAGATCGCAAAGGTAATCAGGGAAGGGAGATACGGGGAGGGGAGATAAGGAGCCAGGATCCTCACATGCGGTCTGCGCTCCTGGGATAGCAAGAGTTTGCCATGGGGATATGTGTGTGCGTGCATGCAG</w:t>
            </w: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-3'</w:t>
            </w:r>
          </w:p>
        </w:tc>
      </w:tr>
      <w:tr w:rsidR="00C0588F" w14:paraId="4B94570E" w14:textId="77777777" w:rsidTr="00C0588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  <w:noWrap/>
          </w:tcPr>
          <w:p w14:paraId="4FA5B702" w14:textId="77777777" w:rsidR="00C0588F" w:rsidRDefault="00D80799">
            <w:pPr>
              <w:ind w:firstLineChars="200" w:firstLine="402"/>
              <w:jc w:val="left"/>
              <w:rPr>
                <w:rFonts w:ascii="Arial" w:eastAsiaTheme="majorEastAsia" w:hAnsi="Arial" w:cs="Arial"/>
                <w:bCs w:val="0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sz w:val="20"/>
                <w:szCs w:val="20"/>
              </w:rPr>
              <w:t>Forward primer</w:t>
            </w:r>
          </w:p>
        </w:tc>
        <w:tc>
          <w:tcPr>
            <w:tcW w:w="3662" w:type="pct"/>
          </w:tcPr>
          <w:p w14:paraId="236A99A0" w14:textId="77777777" w:rsidR="00C0588F" w:rsidRDefault="00D807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</w:pP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5'-</w:t>
            </w:r>
            <w:r>
              <w:rPr>
                <w:rFonts w:ascii="Arial" w:eastAsiaTheme="majorEastAsia" w:hAnsi="Arial" w:cs="Arial"/>
                <w:color w:val="0D0D0D" w:themeColor="text1" w:themeTint="F2"/>
                <w:sz w:val="20"/>
                <w:szCs w:val="20"/>
              </w:rPr>
              <w:t>GCCTGCTGGGCATCTG</w:t>
            </w: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-3'</w:t>
            </w:r>
          </w:p>
        </w:tc>
      </w:tr>
      <w:tr w:rsidR="00C0588F" w14:paraId="456A5FF7" w14:textId="77777777" w:rsidTr="00C0588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  <w:noWrap/>
          </w:tcPr>
          <w:p w14:paraId="14DC9C50" w14:textId="77777777" w:rsidR="00C0588F" w:rsidRDefault="00D80799">
            <w:pPr>
              <w:ind w:firstLineChars="200" w:firstLine="402"/>
              <w:rPr>
                <w:rFonts w:ascii="Arial" w:eastAsiaTheme="majorEastAsia" w:hAnsi="Arial" w:cs="Arial"/>
                <w:bCs w:val="0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sz w:val="20"/>
                <w:szCs w:val="20"/>
              </w:rPr>
              <w:t>Reverse primer</w:t>
            </w:r>
          </w:p>
        </w:tc>
        <w:tc>
          <w:tcPr>
            <w:tcW w:w="3662" w:type="pct"/>
          </w:tcPr>
          <w:p w14:paraId="6E6575F0" w14:textId="77777777" w:rsidR="00C0588F" w:rsidRDefault="00D807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</w:pP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5'-</w:t>
            </w:r>
            <w:r>
              <w:rPr>
                <w:rFonts w:ascii="Arial" w:eastAsiaTheme="majorEastAsia" w:hAnsi="Arial" w:cs="Arial"/>
                <w:color w:val="0D0D0D" w:themeColor="text1" w:themeTint="F2"/>
                <w:sz w:val="20"/>
                <w:szCs w:val="20"/>
              </w:rPr>
              <w:t>TCTTTGTGTTCCCGGACATAGTC</w:t>
            </w: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-3'</w:t>
            </w:r>
          </w:p>
        </w:tc>
      </w:tr>
      <w:tr w:rsidR="00C0588F" w14:paraId="04D3FD59" w14:textId="77777777" w:rsidTr="00C0588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  <w:noWrap/>
          </w:tcPr>
          <w:p w14:paraId="1CF0503D" w14:textId="77777777" w:rsidR="00C0588F" w:rsidRDefault="00D80799">
            <w:pPr>
              <w:ind w:firstLineChars="200" w:firstLine="402"/>
              <w:rPr>
                <w:rFonts w:ascii="Arial" w:eastAsiaTheme="majorEastAsia" w:hAnsi="Arial" w:cs="Arial"/>
                <w:bCs w:val="0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sz w:val="20"/>
                <w:szCs w:val="20"/>
              </w:rPr>
              <w:t>MT Probe</w:t>
            </w:r>
          </w:p>
        </w:tc>
        <w:tc>
          <w:tcPr>
            <w:tcW w:w="3662" w:type="pct"/>
          </w:tcPr>
          <w:p w14:paraId="4A42EEE7" w14:textId="77777777" w:rsidR="00C0588F" w:rsidRDefault="00D807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</w:pP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5'-VIC-ATGAGCTGCATGATGAG-MGB-3'</w:t>
            </w:r>
          </w:p>
        </w:tc>
      </w:tr>
      <w:tr w:rsidR="00C0588F" w14:paraId="3CF79A91" w14:textId="77777777" w:rsidTr="00C0588F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8" w:type="pct"/>
            <w:noWrap/>
          </w:tcPr>
          <w:p w14:paraId="53AAE23F" w14:textId="77777777" w:rsidR="00C0588F" w:rsidRDefault="00D80799">
            <w:pPr>
              <w:ind w:firstLineChars="200" w:firstLine="402"/>
              <w:jc w:val="left"/>
              <w:rPr>
                <w:rFonts w:ascii="Arial" w:eastAsiaTheme="majorEastAsia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sz w:val="20"/>
                <w:szCs w:val="20"/>
              </w:rPr>
              <w:t>WT Probe</w:t>
            </w:r>
          </w:p>
        </w:tc>
        <w:tc>
          <w:tcPr>
            <w:tcW w:w="3662" w:type="pct"/>
          </w:tcPr>
          <w:p w14:paraId="5DB67D73" w14:textId="77777777" w:rsidR="00C0588F" w:rsidRDefault="00D807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</w:pPr>
            <w:r>
              <w:rPr>
                <w:rStyle w:val="1"/>
                <w:rFonts w:ascii="Arial" w:eastAsiaTheme="majorEastAsia" w:hAnsi="Arial" w:cs="Arial"/>
                <w:i w:val="0"/>
                <w:iCs w:val="0"/>
                <w:color w:val="0D0D0D" w:themeColor="text1" w:themeTint="F2"/>
                <w:sz w:val="20"/>
                <w:szCs w:val="20"/>
              </w:rPr>
              <w:t>5'-FAM-ATGAGCTGCGTGATGAG-MGB-3'</w:t>
            </w:r>
          </w:p>
        </w:tc>
      </w:tr>
    </w:tbl>
    <w:bookmarkEnd w:id="10"/>
    <w:p w14:paraId="01F174D6" w14:textId="77777777" w:rsidR="00C0588F" w:rsidRDefault="00D80799">
      <w:pPr>
        <w:rPr>
          <w:rFonts w:cs="Arial"/>
          <w:szCs w:val="20"/>
        </w:rPr>
      </w:pPr>
      <w:r>
        <w:rPr>
          <w:rFonts w:ascii="Arial" w:hAnsi="Arial" w:cs="Arial"/>
          <w:b/>
          <w:sz w:val="20"/>
          <w:szCs w:val="20"/>
        </w:rPr>
        <w:t>Notes:</w:t>
      </w:r>
      <w:r>
        <w:rPr>
          <w:rFonts w:cs="Arial"/>
          <w:szCs w:val="20"/>
        </w:rPr>
        <w:t xml:space="preserve"> </w:t>
      </w:r>
      <w:r>
        <w:rPr>
          <w:rFonts w:ascii="Arial" w:hAnsi="Arial" w:cs="Arial"/>
          <w:bCs/>
          <w:color w:val="0D0D0D" w:themeColor="text1" w:themeTint="F2"/>
          <w:sz w:val="20"/>
          <w:szCs w:val="20"/>
        </w:rPr>
        <w:t xml:space="preserve">Highlighted in </w:t>
      </w:r>
      <w:r>
        <w:rPr>
          <w:rFonts w:ascii="Arial" w:hAnsi="Arial" w:cs="Arial"/>
          <w:bCs/>
          <w:color w:val="0D0D0D" w:themeColor="text1" w:themeTint="F2"/>
          <w:sz w:val="20"/>
          <w:szCs w:val="20"/>
          <w:highlight w:val="darkGray"/>
        </w:rPr>
        <w:t>gray</w:t>
      </w:r>
      <w:r>
        <w:rPr>
          <w:rFonts w:ascii="Arial" w:hAnsi="Arial" w:cs="Arial"/>
          <w:bCs/>
          <w:color w:val="0D0D0D" w:themeColor="text1" w:themeTint="F2"/>
          <w:sz w:val="20"/>
          <w:szCs w:val="20"/>
        </w:rPr>
        <w:t xml:space="preserve">: probe binding sites; Highlighted in </w:t>
      </w:r>
      <w:r>
        <w:rPr>
          <w:rFonts w:ascii="Arial" w:hAnsi="Arial" w:cs="Arial"/>
          <w:bCs/>
          <w:color w:val="0D0D0D" w:themeColor="text1" w:themeTint="F2"/>
          <w:sz w:val="20"/>
          <w:szCs w:val="20"/>
          <w:highlight w:val="red"/>
        </w:rPr>
        <w:t>red</w:t>
      </w:r>
      <w:r>
        <w:rPr>
          <w:rFonts w:ascii="Arial" w:hAnsi="Arial" w:cs="Arial"/>
          <w:bCs/>
          <w:color w:val="0D0D0D" w:themeColor="text1" w:themeTint="F2"/>
          <w:sz w:val="20"/>
          <w:szCs w:val="20"/>
        </w:rPr>
        <w:t>: mutation sites (</w:t>
      </w:r>
      <w:r>
        <w:rPr>
          <w:rFonts w:ascii="Arial" w:hAnsi="Arial" w:cs="Arial"/>
          <w:bCs/>
          <w:color w:val="FF0000"/>
          <w:sz w:val="20"/>
          <w:szCs w:val="20"/>
        </w:rPr>
        <w:t>C &gt; T</w:t>
      </w:r>
      <w:r>
        <w:rPr>
          <w:rFonts w:ascii="Arial" w:hAnsi="Arial" w:cs="Arial"/>
          <w:bCs/>
          <w:color w:val="0D0D0D" w:themeColor="text1" w:themeTint="F2"/>
          <w:sz w:val="20"/>
          <w:szCs w:val="20"/>
        </w:rPr>
        <w:t xml:space="preserve">); Highlighted in </w:t>
      </w:r>
      <w:r>
        <w:rPr>
          <w:rFonts w:ascii="Arial" w:hAnsi="Arial" w:cs="Arial"/>
          <w:bCs/>
          <w:color w:val="0D0D0D" w:themeColor="text1" w:themeTint="F2"/>
          <w:sz w:val="20"/>
          <w:szCs w:val="20"/>
          <w:highlight w:val="yellow"/>
        </w:rPr>
        <w:t>yellow</w:t>
      </w:r>
      <w:r>
        <w:rPr>
          <w:rFonts w:ascii="Arial" w:hAnsi="Arial" w:cs="Arial"/>
          <w:bCs/>
          <w:color w:val="0D0D0D" w:themeColor="text1" w:themeTint="F2"/>
          <w:sz w:val="20"/>
          <w:szCs w:val="20"/>
        </w:rPr>
        <w:t>: forward and reverse primer</w:t>
      </w:r>
    </w:p>
    <w:p w14:paraId="271BE626" w14:textId="77777777" w:rsidR="00C0588F" w:rsidRDefault="00C0588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05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NE.Ref{03F5868F-8C01-4D3D-9FA4-84E8479F6D2A}" w:val=" ADDIN NE.Ref.{03F5868F-8C01-4D3D-9FA4-84E8479F6D2A}&lt;Citation&gt;&lt;Group&gt;&lt;References&gt;&lt;Item&gt;&lt;ID&gt;504&lt;/ID&gt;&lt;UID&gt;{710E080B-1DC6-43D1-B093-1D189F21F76E}&lt;/UID&gt;&lt;Title&gt;The biology and management of non-small cell lung cancer&lt;/Title&gt;&lt;Template&gt;Journal Article&lt;/Template&gt;&lt;Star&gt;0&lt;/Star&gt;&lt;Tag&gt;0&lt;/Tag&gt;&lt;Author&gt;Herbst, R S; Morgensztern, D; Boshoff, C&lt;/Author&gt;&lt;Year&gt;2018&lt;/Year&gt;&lt;Details&gt;&lt;_accession_num&gt;29364287&lt;/_accession_num&gt;&lt;_author_adr&gt;Yale Cancer Center, Yale School of Medicine, New Haven, Connecticut, USA.; Washington University School of Medicine, St Louis, Missouri, USA.; Yale Cancer Center, Yale School of Medicine, New Haven, Connecticut, USA.; Pfizer, Inc. New York City, New York, USA.&lt;/_author_adr&gt;&lt;_date_display&gt;2018 Jan 24&lt;/_date_display&gt;&lt;_date&gt;2018-01-24&lt;/_date&gt;&lt;_doi&gt;10.1038/nature25183&lt;/_doi&gt;&lt;_isbn&gt;1476-4687 (Electronic); 0028-0836 (Linking)&lt;/_isbn&gt;&lt;_issue&gt;7689&lt;/_issue&gt;&lt;_journal&gt;Nature&lt;/_journal&gt;&lt;_language&gt;eng&lt;/_language&gt;&lt;_pages&gt;446-454&lt;/_pages&gt;&lt;_subject_headings&gt;Carcinoma, Non-Small-Cell Lung/genetics/*metabolism/pathology/*therapy; Clinical Trials as Topic; Humans; Immunotherapy; Lung Neoplasms/genetics/*metabolism/pathology/*therapy; Molecular Targeted Therapy; Precision Medicine; Survival Rate; Tumor Microenvironment/genetics&lt;/_subject_headings&gt;&lt;_tertiary_title&gt;Nature&lt;/_tertiary_title&gt;&lt;_type_work&gt;Journal Article; Research Support, Non-U.S. Gov&amp;apos;t; Review&lt;/_type_work&gt;&lt;_url&gt;http://www.ncbi.nlm.nih.gov/entrez/query.fcgi?cmd=Retrieve&amp;amp;db=pubmed&amp;amp;dopt=Abstract&amp;amp;list_uids=29364287&amp;amp;query_hl=1&lt;/_url&gt;&lt;_volume&gt;553&lt;/_volume&gt;&lt;_created&gt;63597448&lt;/_created&gt;&lt;_modified&gt;63597448&lt;/_modified&gt;&lt;_impact_factor&gt;  42.778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.Ref{1DE812CA-95F5-4046-B94C-256D1F24A8EA}" w:val=" ADDIN NE.Ref.{1DE812CA-95F5-4046-B94C-256D1F24A8EA}&lt;Citation&gt;&lt;Group&gt;&lt;References&gt;&lt;Item&gt;&lt;ID&gt;508&lt;/ID&gt;&lt;UID&gt;{9F835A45-975A-471D-99DC-9BA1EA97E887}&lt;/UID&gt;&lt;Title&gt;NanoHDA: A nanoparticle-assisted isothermal amplification technique for genotyping assays&lt;/Title&gt;&lt;Template&gt;Journal Article&lt;/Template&gt;&lt;Star&gt;0&lt;/Star&gt;&lt;Tag&gt;0&lt;/Tag&gt;&lt;Author&gt;Sedighi, Abootaleb; Oberc, Christopher; Whitehall, Vicki; Li, Paul C H&lt;/Author&gt;&lt;Year&gt;2016&lt;/Year&gt;&lt;Details&gt;&lt;_journal&gt;Nano Research&lt;/_journal&gt;&lt;_created&gt;63598691&lt;/_created&gt;&lt;_modified&gt;63598691&lt;/_modified&gt;&lt;_impact_factor&gt;   8.183&lt;/_impact_factor&gt;&lt;_collection_scope&gt;SCIE;EI&lt;/_collection_scope&gt;&lt;/Details&gt;&lt;Extra&gt;&lt;DBUID&gt;{F96A950B-833F-4880-A151-76DA2D6A2879}&lt;/DBUID&gt;&lt;/Extra&gt;&lt;/Item&gt;&lt;/References&gt;&lt;/Group&gt;&lt;/Citation&gt;_x000a_"/>
    <w:docVar w:name="NE.Ref{3B2A3FBC-A859-4577-8B17-A095DD7E8A11}" w:val=" ADDIN NE.Ref.{3B2A3FBC-A859-4577-8B17-A095DD7E8A11}&lt;Citation&gt;&lt;Group&gt;&lt;References&gt;&lt;Item&gt;&lt;ID&gt;507&lt;/ID&gt;&lt;UID&gt;{B84987C0-2626-4088-AB32-DDA7E0418EDD}&lt;/UID&gt;&lt;Title&gt;Gold nanoparticle-mediated nucleic acid isothermal amplification with enhanced  specificity&lt;/Title&gt;&lt;Template&gt;Journal Article&lt;/Template&gt;&lt;Star&gt;0&lt;/Star&gt;&lt;Tag&gt;0&lt;/Tag&gt;&lt;Author&gt;Ye, X; Fang, X; Li, X; Kong, J&lt;/Author&gt;&lt;Year&gt;2018&lt;/Year&gt;&lt;Details&gt;&lt;_accession_num&gt;30392663&lt;/_accession_num&gt;&lt;_author_adr&gt;Department of Chemistry and Institutes of Biomedical Sciences, Fudan University,  Shanghai, 200433, PR China.; Department of Chemistry and Institutes of Biomedical Sciences, Fudan University,  Shanghai, 200433, PR China. Electronic address: fxech@fudan.edu.cn.; Shanghai Suxin Biotechnology Co. Ltd, Shanghai, 201321, PR China.; Department of Chemistry and Institutes of Biomedical Sciences, Fudan University,  Shanghai, 200433, PR China. Electronic address: jlkong@fudan.edu.cn.&lt;/_author_adr&gt;&lt;_date_display&gt;2018 Dec 28&lt;/_date_display&gt;&lt;_date&gt;2018-12-28&lt;/_date&gt;&lt;_doi&gt;10.1016/j.aca.2018.09.016&lt;/_doi&gt;&lt;_isbn&gt;1873-4324 (Electronic); 0003-2670 (Linking)&lt;/_isbn&gt;&lt;_journal&gt;Anal Chim Acta&lt;/_journal&gt;&lt;_keywords&gt;Gold nanoparticles; Loop-mediated isothermal amplification; Rotavirus; Specificity&lt;/_keywords&gt;&lt;_language&gt;eng&lt;/_language&gt;&lt;_ori_publication&gt;Copyright © 2018 Elsevier B.V. All rights reserved.&lt;/_ori_publication&gt;&lt;_pages&gt;150-157&lt;/_pages&gt;&lt;_subject_headings&gt;Actins/chemistry; Colorimetry; DNA/*analysis/metabolism; DNA Primers/chemistry/metabolism; DNA-Directed DNA Polymerase/metabolism; Gold/*chemistry; Humans; Limit of Detection; Metal Nanoparticles/*chemistry; *Nucleic Acid Amplification Techniques; RNA, Viral/*analysis/metabolism; Rotavirus/genetics&lt;/_subject_headings&gt;&lt;_tertiary_title&gt;Analytica chimica acta&lt;/_tertiary_title&gt;&lt;_type_work&gt;Journal Article&lt;/_type_work&gt;&lt;_url&gt;http://www.ncbi.nlm.nih.gov/entrez/query.fcgi?cmd=Retrieve&amp;amp;db=pubmed&amp;amp;dopt=Abstract&amp;amp;list_uids=30392663&amp;amp;query_hl=1&lt;/_url&gt;&lt;_volume&gt;1043&lt;/_volume&gt;&lt;_created&gt;63597467&lt;/_created&gt;&lt;_modified&gt;63597467&lt;/_modified&gt;&lt;_impact_factor&gt;   5.977&lt;/_impact_factor&gt;&lt;_collection_scope&gt;SCI;SCIE;EI&lt;/_collection_scope&gt;&lt;/Details&gt;&lt;Extra&gt;&lt;DBUID&gt;{F96A950B-833F-4880-A151-76DA2D6A2879}&lt;/DBUID&gt;&lt;/Extra&gt;&lt;/Item&gt;&lt;/References&gt;&lt;/Group&gt;&lt;/Citation&gt;_x000a_"/>
    <w:docVar w:name="NE.Ref{3F577A10-9CCB-445A-B74F-612A415C0058}" w:val=" ADDIN NE.Ref.{3F577A10-9CCB-445A-B74F-612A415C0058}&lt;Citation&gt;&lt;Group&gt;&lt;References&gt;&lt;Item&gt;&lt;ID&gt;495&lt;/ID&gt;&lt;UID&gt;{42762A70-BB2E-4481-B944-CA87A328B9F1}&lt;/UID&gt;&lt;Title&gt;Assessment of Resistance Mechanisms and Clinical Implications in Patients With EGFR  T790M-Positive Lung Cancer and Acquired Resistance to Osimertinib&lt;/Title&gt;&lt;Template&gt;Journal Article&lt;/Template&gt;&lt;Star&gt;0&lt;/Star&gt;&lt;Tag&gt;0&lt;/Tag&gt;&lt;Author&gt;Oxnard, G R; Hu, Y; Mileham, K F; Husain, H; Costa, D B; Tracy, P; Feeney, N; Sholl, L M; Dahlberg, S E; Redig, A J; Kwiatkowski, D J; Rabin, M S; Paweletz, C P; Thress, K S; Jänne, P A&lt;/Author&gt;&lt;Year&gt;2018&lt;/Year&gt;&lt;Details&gt;&lt;_accession_num&gt;30073261&lt;/_accession_num&gt;&lt;_author_adr&gt;Lowe Center for Thoracic Oncology, Dana-Farber Cancer Institute, Boston,  Massachusetts.; Department of Medicine, Brigham and Women&amp;apos;s Hospital, Boston, Massachusetts.; Lowe Center for Thoracic Oncology, Dana-Farber Cancer Institute, Boston,  Massachusetts.; Levine Cancer Institute, Carolinas HealthCare System, Charlotte, North Carolina.; Moores Cancer Center, University of California San Diego, La Jolla.; Beth Israel Deaconess Medical Center, Boston, Massachusetts.; Lowe Center for Thoracic Oncology, Dana-Farber Cancer Institute, Boston,  Massachusetts.; Medical student, Tufts University School of Medicine, Boston, Massachusetts.; Belfer Center for Applied Cancer Science, Dana-Farber Cancer Institute, Boston,  Massachusetts.; Department of Pathology, Brigham and Women&amp;apos;s Hospital, Boston, Massachusetts.; Lowe Center for Thoracic Oncology, Dana-Farber Cancer Institute, Boston,  Massachusetts.; Lowe Center for Thoracic Oncology, Dana-Farber Cancer Institute, Boston,  Massachusetts.; Department of Medicine, Brigham and Women&amp;apos;s Hospital, Boston, Massachusetts.; Lowe Center for Thoracic Oncology, Dana-Farber Cancer Institute, Boston,  Massachusetts.; Department of Medicine, Brigham and Women&amp;apos;s Hospital, Boston, Massachusetts.; Lowe Center for Thoracic Oncology, Dana-Farber Cancer Institute, Boston,  Massachusetts.; Department of Medicine, Brigham and Women&amp;apos;s Hospital, Boston, Massachusetts.; Belfer Center for Applied Cancer Science, Dana-Farber Cancer Institute, Boston,  Massachusetts.; Translational Sciences, Oncology IMED Biotech Unit, AstraZeneca, Boston,  Massachusetts.; Lowe Center for Thoracic Oncology, Dana-Farber Cancer Institute, Boston,  Massachusetts.; Department of Medicine, Brigham and Women&amp;apos;s Hospital, Boston, Massachusetts.; Belfer Center for Applied Cancer Science, Dana-Farber Cancer Institute, Boston,  Massachusetts.&lt;/_author_adr&gt;&lt;_date_display&gt;2018 Nov 1&lt;/_date_display&gt;&lt;_date&gt;2018-11-01&lt;/_date&gt;&lt;_doi&gt;10.1001/jamaoncol.2018.2969&lt;/_doi&gt;&lt;_isbn&gt;2374-2445 (Electronic); 2374-2437 (Print); 2374-2437 (Linking)&lt;/_isbn&gt;&lt;_issue&gt;11&lt;/_issue&gt;&lt;_journal&gt;JAMA Oncol&lt;/_journal&gt;&lt;_language&gt;eng&lt;/_language&gt;&lt;_pages&gt;1527-1534&lt;/_pages&gt;&lt;_subject_headings&gt;Acrylamides/pharmacology/*therapeutic use; Aniline Compounds/pharmacology/*therapeutic use; Drug Resistance, Neoplasm; Female; Humans; Lung Neoplasms/*drug therapy/pathology&lt;/_subject_headings&gt;&lt;_tertiary_title&gt;JAMA oncology&lt;/_tertiary_title&gt;&lt;_type_work&gt;Journal Article&lt;/_type_work&gt;&lt;_url&gt;http://www.ncbi.nlm.nih.gov/entrez/query.fcgi?cmd=Retrieve&amp;amp;db=pubmed&amp;amp;dopt=Abstract&amp;amp;list_uids=30073261&amp;amp;query_hl=1&lt;/_url&gt;&lt;_volume&gt;4&lt;/_volume&gt;&lt;_created&gt;63596014&lt;/_created&gt;&lt;_modified&gt;63596014&lt;/_modified&gt;&lt;_impact_factor&gt;  24.799&lt;/_impact_factor&gt;&lt;_collection_scope&gt;SCIE&lt;/_collection_scope&gt;&lt;/Details&gt;&lt;Extra&gt;&lt;DBUID&gt;{F96A950B-833F-4880-A151-76DA2D6A2879}&lt;/DBUID&gt;&lt;/Extra&gt;&lt;/Item&gt;&lt;/References&gt;&lt;/Group&gt;&lt;Group&gt;&lt;References&gt;&lt;Item&gt;&lt;ID&gt;496&lt;/ID&gt;&lt;UID&gt;{48A00DE0-1372-4BCC-8FF5-5B870C584253}&lt;/UID&gt;&lt;Title&gt;Analysis of tumor specimens at the time of acquired resistance to EGFR-TKI therapy  in 155 patients with EGFR-mutant lung cancers&lt;/Title&gt;&lt;Template&gt;Journal Article&lt;/Template&gt;&lt;Star&gt;0&lt;/Star&gt;&lt;Tag&gt;0&lt;/Tag&gt;&lt;Author&gt;Yu, H A; Arcila, M E; Rekhtman, N; Sima, C S; Zakowski, M F; Pao, W; Kris, M G; Miller, V A; Ladanyi, M; Riely, G J&lt;/Author&gt;&lt;Year&gt;2013&lt;/Year&gt;&lt;Details&gt;&lt;_accession_num&gt;23470965&lt;/_accession_num&gt;&lt;_author_adr&gt;Thoracic Oncology Service, Division of Solid Tumor Oncology, Department of Medicine,  Memorial Sloan-Kettering Cancer Center, New York, New York 10065, USA.&lt;/_author_adr&gt;&lt;_date_display&gt;2013 Apr 15&lt;/_date_display&gt;&lt;_date&gt;2013-04-15&lt;/_date&gt;&lt;_doi&gt;10.1158/1078-0432.CCR-12-2246&lt;/_doi&gt;&lt;_isbn&gt;1078-0432 (Print); 1078-0432 (Linking)&lt;/_isbn&gt;&lt;_issue&gt;8&lt;/_issue&gt;&lt;_journal&gt;Clin Cancer Res&lt;/_journal&gt;&lt;_language&gt;eng&lt;/_language&gt;&lt;_pages&gt;2240-7&lt;/_pages&gt;&lt;_subject_headings&gt;Adenocarcinoma/*drug therapy/genetics/pathology; Adult; Aged; Aged, 80 and over; Biopsy; CD56 Antigen/analysis; DNA Mutational Analysis/methods; Drug Resistance, Neoplasm/genetics; ErbB Receptors/*antagonists &amp;amp; inhibitors/genetics; Erlotinib Hydrochloride; Female; Gefitinib; Humans; Immunohistochemistry; In Situ Hybridization, Fluorescence; Kaplan-Meier Estimate; Ki-67 Antigen/analysis; Lung/drug effects/metabolism/pathology; Lung Neoplasms/*drug therapy/genetics/pathology; Male; Middle Aged; Mutation; Protein Kinase Inhibitors/*therapeutic use; Proto-Oncogene Proteins c-met/genetics; Quinazolines/therapeutic use; Receptor, ErbB-2/genetics&lt;/_subject_headings&gt;&lt;_tertiary_title&gt;Clinical cancer research : an official journal of the American Association for _x000d__x000a_      Cancer Research&lt;/_tertiary_title&gt;&lt;_type_work&gt;Journal Article; Research Support, N.I.H., Extramural&lt;/_type_work&gt;&lt;_url&gt;http://www.ncbi.nlm.nih.gov/entrez/query.fcgi?cmd=Retrieve&amp;amp;db=pubmed&amp;amp;dopt=Abstract&amp;amp;list_uids=23470965&amp;amp;query_hl=1&lt;/_url&gt;&lt;_volume&gt;19&lt;/_volume&gt;&lt;_created&gt;63596017&lt;/_created&gt;&lt;_modified&gt;63596017&lt;/_modified&gt;&lt;_impact_factor&gt;  10.107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.Ref{61BE6C9A-B521-4DCF-B106-4705EE86E2E3}" w:val=" ADDIN NE.Ref.{61BE6C9A-B521-4DCF-B106-4705EE86E2E3}&lt;Citation&gt;&lt;Group&gt;&lt;References&gt;&lt;Item&gt;&lt;ID&gt;495&lt;/ID&gt;&lt;UID&gt;{42762A70-BB2E-4481-B944-CA87A328B9F1}&lt;/UID&gt;&lt;Title&gt;Assessment of Resistance Mechanisms and Clinical Implications in Patients With EGFR  T790M-Positive Lung Cancer and Acquired Resistance to Osimertinib&lt;/Title&gt;&lt;Template&gt;Journal Article&lt;/Template&gt;&lt;Star&gt;0&lt;/Star&gt;&lt;Tag&gt;0&lt;/Tag&gt;&lt;Author&gt;Oxnard, G R; Hu, Y; Mileham, K F; Husain, H; Costa, D B; Tracy, P; Feeney, N; Sholl, L M; Dahlberg, S E; Redig, A J; Kwiatkowski, D J; Rabin, M S; Paweletz, C P; Thress, K S; Jänne, P A&lt;/Author&gt;&lt;Year&gt;2018&lt;/Year&gt;&lt;Details&gt;&lt;_accession_num&gt;30073261&lt;/_accession_num&gt;&lt;_author_adr&gt;Lowe Center for Thoracic Oncology, Dana-Farber Cancer Institute, Boston,  Massachusetts.; Department of Medicine, Brigham and Women&amp;apos;s Hospital, Boston, Massachusetts.; Lowe Center for Thoracic Oncology, Dana-Farber Cancer Institute, Boston,  Massachusetts.; Levine Cancer Institute, Carolinas HealthCare System, Charlotte, North Carolina.; Moores Cancer Center, University of California San Diego, La Jolla.; Beth Israel Deaconess Medical Center, Boston, Massachusetts.; Lowe Center for Thoracic Oncology, Dana-Farber Cancer Institute, Boston,  Massachusetts.; Medical student, Tufts University School of Medicine, Boston, Massachusetts.; Belfer Center for Applied Cancer Science, Dana-Farber Cancer Institute, Boston,  Massachusetts.; Department of Pathology, Brigham and Women&amp;apos;s Hospital, Boston, Massachusetts.; Lowe Center for Thoracic Oncology, Dana-Farber Cancer Institute, Boston,  Massachusetts.; Lowe Center for Thoracic Oncology, Dana-Farber Cancer Institute, Boston,  Massachusetts.; Department of Medicine, Brigham and Women&amp;apos;s Hospital, Boston, Massachusetts.; Lowe Center for Thoracic Oncology, Dana-Farber Cancer Institute, Boston,  Massachusetts.; Department of Medicine, Brigham and Women&amp;apos;s Hospital, Boston, Massachusetts.; Lowe Center for Thoracic Oncology, Dana-Farber Cancer Institute, Boston,  Massachusetts.; Department of Medicine, Brigham and Women&amp;apos;s Hospital, Boston, Massachusetts.; Belfer Center for Applied Cancer Science, Dana-Farber Cancer Institute, Boston,  Massachusetts.; Translational Sciences, Oncology IMED Biotech Unit, AstraZeneca, Boston,  Massachusetts.; Lowe Center for Thoracic Oncology, Dana-Farber Cancer Institute, Boston,  Massachusetts.; Department of Medicine, Brigham and Women&amp;apos;s Hospital, Boston, Massachusetts.; Belfer Center for Applied Cancer Science, Dana-Farber Cancer Institute, Boston,  Massachusetts.&lt;/_author_adr&gt;&lt;_date_display&gt;2018 Nov 1&lt;/_date_display&gt;&lt;_date&gt;2018-11-01&lt;/_date&gt;&lt;_doi&gt;10.1001/jamaoncol.2018.2969&lt;/_doi&gt;&lt;_isbn&gt;2374-2445 (Electronic); 2374-2437 (Print); 2374-2437 (Linking)&lt;/_isbn&gt;&lt;_issue&gt;11&lt;/_issue&gt;&lt;_journal&gt;JAMA Oncol&lt;/_journal&gt;&lt;_language&gt;eng&lt;/_language&gt;&lt;_pages&gt;1527-1534&lt;/_pages&gt;&lt;_subject_headings&gt;Acrylamides/pharmacology/*therapeutic use; Aniline Compounds/pharmacology/*therapeutic use; Drug Resistance, Neoplasm; Female; Humans; Lung Neoplasms/*drug therapy/pathology&lt;/_subject_headings&gt;&lt;_tertiary_title&gt;JAMA oncology&lt;/_tertiary_title&gt;&lt;_type_work&gt;Journal Article&lt;/_type_work&gt;&lt;_url&gt;http://www.ncbi.nlm.nih.gov/entrez/query.fcgi?cmd=Retrieve&amp;amp;db=pubmed&amp;amp;dopt=Abstract&amp;amp;list_uids=30073261&amp;amp;query_hl=1&lt;/_url&gt;&lt;_volume&gt;4&lt;/_volume&gt;&lt;_created&gt;63596014&lt;/_created&gt;&lt;_modified&gt;63596017&lt;/_modified&gt;&lt;_impact_factor&gt;  24.799&lt;/_impact_factor&gt;&lt;_collection_scope&gt;SCIE&lt;/_collection_scope&gt;&lt;/Details&gt;&lt;Extra&gt;&lt;DBUID&gt;{F96A950B-833F-4880-A151-76DA2D6A2879}&lt;/DBUID&gt;&lt;/Extra&gt;&lt;/Item&gt;&lt;/References&gt;&lt;/Group&gt;&lt;Group&gt;&lt;References&gt;&lt;Item&gt;&lt;ID&gt;497&lt;/ID&gt;&lt;UID&gt;{948315DE-8989-4A61-9EC1-8B7A86EB2DFE}&lt;/UID&gt;&lt;Title&gt;Correction to: &amp;quot;Metastatic non-small cell lung cancer: ESMO Clinical Practice  Guidelines for diagnosis, treatment and follow-up&amp;quot;&lt;/Title&gt;&lt;Template&gt;Journal Article&lt;/Template&gt;&lt;Star&gt;0&lt;/Star&gt;&lt;Tag&gt;0&lt;/Tag&gt;&lt;Author&gt;Planchard, D; Popat, S; Kerr, K; Novello, S; Smit, E F; Faivre-Finn, C; Mok, T S; Reck, M; Van Schil, P E; Hellmann, M D; Peters, S&lt;/Author&gt;&lt;Year&gt;2019&lt;/Year&gt;&lt;Details&gt;&lt;_accession_num&gt;31987360&lt;/_accession_num&gt;&lt;_date_display&gt;2019 May&lt;/_date_display&gt;&lt;_date&gt;2019-05-01&lt;/_date&gt;&lt;_doi&gt;10.1093/annonc/mdy474&lt;/_doi&gt;&lt;_isbn&gt;1569-8041 (Electronic); 0923-7534 (Linking)&lt;/_isbn&gt;&lt;_issue&gt;5&lt;/_issue&gt;&lt;_journal&gt;Ann Oncol&lt;/_journal&gt;&lt;_language&gt;eng&lt;/_language&gt;&lt;_pages&gt;863-870&lt;/_pages&gt;&lt;_tertiary_title&gt;Annals of oncology : official journal of the European Society for Medical Oncology&lt;/_tertiary_title&gt;&lt;_type_work&gt;Journal Article; Published Erratum&lt;/_type_work&gt;&lt;_url&gt;http://www.ncbi.nlm.nih.gov/entrez/query.fcgi?cmd=Retrieve&amp;amp;db=pubmed&amp;amp;dopt=Abstract&amp;amp;list_uids=31987360&amp;amp;query_hl=1&lt;/_url&gt;&lt;_volume&gt;30&lt;/_volume&gt;&lt;_created&gt;63596024&lt;/_created&gt;&lt;_modified&gt;63596024&lt;/_modified&gt;&lt;_impact_factor&gt;  18.274&lt;/_impact_factor&gt;&lt;_collection_scope&gt;SCI;SCIE&lt;/_collection_scope&gt;&lt;/Details&gt;&lt;Extra&gt;&lt;DBUID&gt;{F96A950B-833F-4880-A151-76DA2D6A2879}&lt;/DBUID&gt;&lt;/Extra&gt;&lt;/Item&gt;&lt;/References&gt;&lt;/Group&gt;&lt;Group&gt;&lt;References&gt;&lt;Item&gt;&lt;ID&gt;498&lt;/ID&gt;&lt;UID&gt;{D73B64A3-79C9-4DF0-BAE9-70342EFC9547}&lt;/UID&gt;&lt;Title&gt;Osimertinib in T790M-positive and -negative patients with EGFR-mutated advanced  non-small cell lung cancer (the TREM-study)&lt;/Title&gt;&lt;Template&gt;Journal Article&lt;/Template&gt;&lt;Star&gt;0&lt;/Star&gt;&lt;Tag&gt;0&lt;/Tag&gt;&lt;Author&gt;Eide, IJZ; Helland, Å; Ekman, S; Mellemgaard, A; Hansen, K H; Cicenas, S; Koivunen, J; Grønberg, B H; Brustugun, O T&lt;/Author&gt;&lt;Year&gt;2020&lt;/Year&gt;&lt;Details&gt;&lt;_accession_num&gt;32200138&lt;/_accession_num&gt;&lt;_author_adr&gt;Vestre Viken Hospital Trust, Drammen, Norway; Department of Cancer Genetics,  Institute for Cancer Research, Norwegian Radium Hospital, Oslo University Hospital,  Oslo, Norway. Electronic address: ingei@vestreviken.no.; Department of Cancer Genetics, Institute for Cancer Research, Norwegian Radium  Hospital, Oslo University Hospital, Oslo, Norway; Departement of Oncology, Oslo  University Hospital, Oslo, Norway; University of Oslo, Department of Clinical  Medicine, Oslo, Norway.; Thoracic Oncology Center, Karolinska University Hospital/Departement of  Oncology-Pathology, Karolinska Institutet, Stockholm, Sweden.; Herlev Hospital, Copenhagen, Denmark.; Odense University Hospital, Odense, Denmark.; National Cancer Institute, VU MF, Vilnius, Lithuania.; Oulu University Hospital, University of Oulu, MRC Oulu, Oulu, Finland.; Department of Clinical and Molecular Medicine, NTNU, Norwegian University of Science  and Technology, Trondheim, Norway; Department of Oncology, St. Olav&amp;apos;s Hospital,  Trondheim University Hospital, Trondheim, Norway.; Vestre Viken Hospital Trust, Drammen, Norway; Department of Cancer Genetics,  Institute for Cancer Research, Norwegian Radium Hospital, Oslo University Hospital,  Oslo, Norway.&lt;/_author_adr&gt;&lt;_date_display&gt;2020 May&lt;/_date_display&gt;&lt;_date&gt;2020-05-01&lt;/_date&gt;&lt;_doi&gt;10.1016/j.lungcan.2020.03.009&lt;/_doi&gt;&lt;_isbn&gt;1872-8332 (Electronic); 0169-5002 (Linking)&lt;/_isbn&gt;&lt;_journal&gt;Lung Cancer&lt;/_journal&gt;&lt;_keywords&gt;*Brain metastases; *Clinical trial; *Epidermal factor growth receptor (EGFR); *Non-small cell lung cancer; *Osimertinib; *Survival; *T790M; *Tyrosine kinase inhibitor&lt;/_keywords&gt;&lt;_language&gt;eng&lt;/_language&gt;&lt;_ori_publication&gt;Copyright © 2020 Elsevier B.V. All rights reserved.&lt;/_ori_publication&gt;&lt;_pages&gt;27-35&lt;/_pages&gt;&lt;_tertiary_title&gt;Lung cancer (Amsterdam, Netherlands)&lt;/_tertiary_title&gt;&lt;_type_work&gt;Journal Article; Research Support, Non-U.S. Gov&amp;apos;t&lt;/_type_work&gt;&lt;_url&gt;http://www.ncbi.nlm.nih.gov/entrez/query.fcgi?cmd=Retrieve&amp;amp;db=pubmed&amp;amp;dopt=Abstract&amp;amp;list_uids=32200138&amp;amp;query_hl=1&lt;/_url&gt;&lt;_volume&gt;143&lt;/_volume&gt;&lt;_created&gt;63597333&lt;/_created&gt;&lt;_modified&gt;63597334&lt;/_modified&gt;&lt;_impact_factor&gt;   4.702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.Ref{6BE166EE-A6CE-44B1-B05C-F55E5EE5DCF1}" w:val=" ADDIN NE.Ref.{6BE166EE-A6CE-44B1-B05C-F55E5EE5DCF1}&lt;Citation&gt;&lt;Group&gt;&lt;References&gt;&lt;Item&gt;&lt;ID&gt;506&lt;/ID&gt;&lt;UID&gt;{7D4B106B-E84F-4B56-A8A8-3D7A5A0E9A8A}&lt;/UID&gt;&lt;Title&gt;Nanoparticle PCR: nanogold-assisted PCR with enhanced specificity&lt;/Title&gt;&lt;Template&gt;Journal Article&lt;/Template&gt;&lt;Star&gt;0&lt;/Star&gt;&lt;Tag&gt;0&lt;/Tag&gt;&lt;Author&gt;Li, H; Huang, J; Lv, J; An, H; Zhang, X; Zhang, Z; Fan, C; Hu, J&lt;/Author&gt;&lt;Year&gt;2005&lt;/Year&gt;&lt;Details&gt;&lt;_accession_num&gt;15942960&lt;/_accession_num&gt;&lt;_author_adr&gt;Bio-X DNA Computer Consortium, Shanghai Jiao Tong University, Shanghai 200030,  China.&lt;/_author_adr&gt;&lt;_date_display&gt;2005 Aug 12&lt;/_date_display&gt;&lt;_date&gt;2005-08-12&lt;/_date&gt;&lt;_doi&gt;10.1002/anie.200500403&lt;/_doi&gt;&lt;_isbn&gt;1433-7851 (Print); 1433-7851 (Linking)&lt;/_isbn&gt;&lt;_issue&gt;32&lt;/_issue&gt;&lt;_journal&gt;Angew Chem Int Ed Engl&lt;/_journal&gt;&lt;_language&gt;eng&lt;/_language&gt;&lt;_pages&gt;5100-3&lt;/_pages&gt;&lt;_subject_headings&gt;DNA/*analysis; Gold/*chemistry; Nanostructures/*chemistry; Polymerase Chain Reaction/*methods; Sensitivity and Specificity&lt;/_subject_headings&gt;&lt;_tertiary_title&gt;Angewandte Chemie (International ed. in English)&lt;/_tertiary_title&gt;&lt;_type_work&gt;Journal Article; Research Support, Non-U.S. Gov&amp;apos;t&lt;/_type_work&gt;&lt;_url&gt;http://www.ncbi.nlm.nih.gov/entrez/query.fcgi?cmd=Retrieve&amp;amp;db=pubmed&amp;amp;dopt=Abstract&amp;amp;list_uids=15942960&amp;amp;query_hl=1&lt;/_url&gt;&lt;_volume&gt;44&lt;/_volume&gt;&lt;_created&gt;63597466&lt;/_created&gt;&lt;_modified&gt;63597466&lt;/_modified&gt;&lt;_impact_factor&gt;  12.959&lt;/_impact_factor&gt;&lt;/Details&gt;&lt;Extra&gt;&lt;DBUID&gt;{F96A950B-833F-4880-A151-76DA2D6A2879}&lt;/DBUID&gt;&lt;/Extra&gt;&lt;/Item&gt;&lt;/References&gt;&lt;/Group&gt;&lt;/Citation&gt;_x000a_"/>
    <w:docVar w:name="NE.Ref{6EC2B1AE-7DC8-4AF9-8C31-BD1FCD8EA39C}" w:val=" ADDIN NE.Ref.{6EC2B1AE-7DC8-4AF9-8C31-BD1FCD8EA39C}&lt;Citation&gt;&lt;Group&gt;&lt;References&gt;&lt;Item&gt;&lt;ID&gt;505&lt;/ID&gt;&lt;UID&gt;{53AE1107-3868-4623-97EF-3B021D248DC4}&lt;/UID&gt;&lt;Title&gt;Enhancing the efficiency of a PCR using gold nanoparticles&lt;/Title&gt;&lt;Template&gt;Journal Article&lt;/Template&gt;&lt;Star&gt;0&lt;/Star&gt;&lt;Tag&gt;0&lt;/Tag&gt;&lt;Author&gt;Li, M; Lin, Y C; Wu, C C; Liu, H S&lt;/Author&gt;&lt;Year&gt;2005&lt;/Year&gt;&lt;Details&gt;&lt;_accession_num&gt;16314298&lt;/_accession_num&gt;&lt;_author_adr&gt;Department of Engineering Science, National Cheng Kung University, Tainan, Taiwan,  Republic of China.&lt;/_author_adr&gt;&lt;_date_display&gt;2005 Nov 27&lt;/_date_display&gt;&lt;_date&gt;2005-11-27&lt;/_date&gt;&lt;_doi&gt;10.1093/nar/gni183&lt;/_doi&gt;&lt;_isbn&gt;1362-4962 (Electronic); 0305-1048 (Print); 0305-1048 (Linking)&lt;/_isbn&gt;&lt;_issue&gt;21&lt;/_issue&gt;&lt;_journal&gt;Nucleic Acids Res&lt;/_journal&gt;&lt;_language&gt;eng&lt;/_language&gt;&lt;_pages&gt;e184&lt;/_pages&gt;&lt;_subject_headings&gt;DNA/biosynthesis; DNA-Directed DNA Polymerase/metabolism; Gold/*chemistry; Hot Temperature; Nanostructures/*chemistry; Polymerase Chain Reaction/*methods; Time Factors&lt;/_subject_headings&gt;&lt;_tertiary_title&gt;Nucleic acids research&lt;/_tertiary_title&gt;&lt;_type_work&gt;Comparative Study; Evaluation Study; Journal Article; Research Support, Non-U.S. Gov&amp;apos;t&lt;/_type_work&gt;&lt;_url&gt;http://www.ncbi.nlm.nih.gov/entrez/query.fcgi?cmd=Retrieve&amp;amp;db=pubmed&amp;amp;dopt=Abstract&amp;amp;list_uids=16314298&amp;amp;query_hl=1&lt;/_url&gt;&lt;_volume&gt;33&lt;/_volume&gt;&lt;_created&gt;63597454&lt;/_created&gt;&lt;_modified&gt;63597454&lt;/_modified&gt;&lt;_impact_factor&gt;  11.501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.Ref{78E22016-118B-4684-AD21-5A000EC9BBB6}" w:val=" ADDIN NE.Ref.{78E22016-118B-4684-AD21-5A000EC9BBB6}&lt;Citation&gt;&lt;Group&gt;&lt;References&gt;&lt;Item&gt;&lt;ID&gt;501&lt;/ID&gt;&lt;UID&gt;{738BA994-640B-4DE8-8971-6619BF04DD1E}&lt;/UID&gt;&lt;Title&gt;Validation and comparison of two NGS assays for the detection of EGFR T790M  resistance mutation in liquid biopsies of NSCLC patients&lt;/Title&gt;&lt;Template&gt;Journal Article&lt;/Template&gt;&lt;Star&gt;0&lt;/Star&gt;&lt;Tag&gt;0&lt;/Tag&gt;&lt;Author&gt;Vollbrecht, C; Lehmann, A; Lenze, D; Hummel, M&lt;/Author&gt;&lt;Year&gt;2018&lt;/Year&gt;&lt;Details&gt;&lt;_accession_num&gt;29719623&lt;/_accession_num&gt;&lt;_author_adr&gt;Charité-Universitätsmedizin Berlin Corporate Member of Freie Universität Berlin,  Humboldt-Universität zu Berlin, and Berlin Institute of Health, Institute of  Pathology, Berlin, Germany.; German Cancer Consortium (DKTK), Partner Site Berlin, Berlin, Germany.; German Cancer Research Center (DKFZ), Heidelberg, Germany.; Charité-Universitätsmedizin Berlin Corporate Member of Freie Universität Berlin,  Humboldt-Universität zu Berlin, and Berlin Institute of Health, Institute of  Pathology, Berlin, Germany.; Charité-Universitätsmedizin Berlin Corporate Member of Freie Universität Berlin,  Humboldt-Universität zu Berlin, and Berlin Institute of Health, Institute of  Pathology, Berlin, Germany.; Charité-Universitätsmedizin Berlin Corporate Member of Freie Universität Berlin,  Humboldt-Universität zu Berlin, and Berlin Institute of Health, Institute of  Pathology, Berlin, Germany.; German Cancer Consortium (DKTK), Partner Site Berlin, Berlin, Germany.&lt;/_author_adr&gt;&lt;_date_display&gt;2018 Apr 6&lt;/_date_display&gt;&lt;_date&gt;2018-04-06&lt;/_date&gt;&lt;_doi&gt;10.18632/oncotarget.24908&lt;/_doi&gt;&lt;_isbn&gt;1949-2553 (Electronic); 1949-2553 (Linking)&lt;/_isbn&gt;&lt;_issue&gt;26&lt;/_issue&gt;&lt;_journal&gt;Oncotarget&lt;/_journal&gt;&lt;_keywords&gt;NGS; NSCLC; T790M; cfDNA; liquid biopsy&lt;/_keywords&gt;&lt;_language&gt;eng&lt;/_language&gt;&lt;_pages&gt;18529-18539&lt;/_pages&gt;&lt;_tertiary_title&gt;Oncotarget&lt;/_tertiary_title&gt;&lt;_type_work&gt;Journal Article&lt;/_type_work&gt;&lt;_url&gt;http://www.ncbi.nlm.nih.gov/entrez/query.fcgi?cmd=Retrieve&amp;amp;db=pubmed&amp;amp;dopt=Abstract&amp;amp;list_uids=29719623&amp;amp;query_hl=1&lt;/_url&gt;&lt;_volume&gt;9&lt;/_volume&gt;&lt;_created&gt;63597417&lt;/_created&gt;&lt;_modified&gt;63597417&lt;/_modified&gt;&lt;/Details&gt;&lt;Extra&gt;&lt;DBUID&gt;{F96A950B-833F-4880-A151-76DA2D6A2879}&lt;/DBUID&gt;&lt;/Extra&gt;&lt;/Item&gt;&lt;/References&gt;&lt;/Group&gt;&lt;Group&gt;&lt;References&gt;&lt;Item&gt;&lt;ID&gt;502&lt;/ID&gt;&lt;UID&gt;{253ACEEB-6712-4F14-8B1D-FA5C70B590C3}&lt;/UID&gt;&lt;Title&gt;Next-Generation Sequencing of Circulating Tumor DNA for Early Cancer Detection&lt;/Title&gt;&lt;Template&gt;Journal Article&lt;/Template&gt;&lt;Star&gt;0&lt;/Star&gt;&lt;Tag&gt;0&lt;/Tag&gt;&lt;Author&gt;Aravanis, A M; Lee, M; Klausner, R D&lt;/Author&gt;&lt;Year&gt;2017&lt;/Year&gt;&lt;Details&gt;&lt;_accession_num&gt;28187279&lt;/_accession_num&gt;&lt;_author_adr&gt;GRAIL, Menlo Park, CA 94402, USA.; GRAIL, Menlo Park, CA 94402, USA.; GRAIL, Menlo Park, CA 94402, USA. Electronic address: klausner.rick@gmail.com.&lt;/_author_adr&gt;&lt;_date_display&gt;2017 Feb 9&lt;/_date_display&gt;&lt;_date&gt;2017-02-09&lt;/_date&gt;&lt;_doi&gt;10.1016/j.cell.2017.01.030&lt;/_doi&gt;&lt;_isbn&gt;1097-4172 (Electronic); 0092-8674 (Linking)&lt;/_isbn&gt;&lt;_issue&gt;4&lt;/_issue&gt;&lt;_journal&gt;Cell&lt;/_journal&gt;&lt;_language&gt;eng&lt;/_language&gt;&lt;_ori_publication&gt;Copyright © 2017. Published by Elsevier Inc.&lt;/_ori_publication&gt;&lt;_pages&gt;571-574&lt;/_pages&gt;&lt;_subject_headings&gt;DNA/*blood; Early Detection of Cancer; High-Throughput Nucleotide Sequencing/*methods; Humans; Neoplasms/*diagnosis/*genetics; Sequence Analysis, DNA/*methods&lt;/_subject_headings&gt;&lt;_tertiary_title&gt;Cell&lt;/_tertiary_title&gt;&lt;_type_work&gt;Journal Article&lt;/_type_work&gt;&lt;_url&gt;http://www.ncbi.nlm.nih.gov/entrez/query.fcgi?cmd=Retrieve&amp;amp;db=pubmed&amp;amp;dopt=Abstract&amp;amp;list_uids=28187279&amp;amp;query_hl=1&lt;/_url&gt;&lt;_volume&gt;168&lt;/_volume&gt;&lt;_created&gt;63597430&lt;/_created&gt;&lt;_modified&gt;63597430&lt;/_modified&gt;&lt;_impact_factor&gt;  38.637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.Ref{A762F096-871A-4527-B609-D9514D4B54CD}" w:val=" ADDIN NE.Ref.{A762F096-871A-4527-B609-D9514D4B54CD}&lt;Citation&gt;&lt;Group&gt;&lt;References&gt;&lt;Item&gt;&lt;ID&gt;503&lt;/ID&gt;&lt;UID&gt;{3E6717AF-42CF-4514-9795-7EA18505F532}&lt;/UID&gt;&lt;Title&gt;Detection of KRAS Mutations in Circulating Tumor DNA by Digital PCR in Early Stages  of Pancreatic Cancer&lt;/Title&gt;&lt;Template&gt;Journal Article&lt;/Template&gt;&lt;Star&gt;0&lt;/Star&gt;&lt;Tag&gt;0&lt;/Tag&gt;&lt;Author&gt;Brychta, N; Krahn, T; von Ahsen, O&lt;/Author&gt;&lt;Year&gt;2016&lt;/Year&gt;&lt;Details&gt;&lt;_accession_num&gt;27591291&lt;/_accession_num&gt;&lt;_author_adr&gt;Bayer Pharma AG, Biomarker Research, Berlin, Germany.; Bayer Pharma AG, Biomarker Research, Berlin, Germany.; Bayer Pharma AG, Biomarker Research, Berlin, Germany. oliver.vonahsen@bayer.com.&lt;/_author_adr&gt;&lt;_date_display&gt;2016 Nov&lt;/_date_display&gt;&lt;_date&gt;2016-11-01&lt;/_date&gt;&lt;_doi&gt;10.1373/clinchem.2016.257469&lt;/_doi&gt;&lt;_isbn&gt;1530-8561 (Electronic); 0009-9147 (Linking)&lt;/_isbn&gt;&lt;_issue&gt;11&lt;/_issue&gt;&lt;_journal&gt;Clin Chem&lt;/_journal&gt;&lt;_language&gt;eng&lt;/_language&gt;&lt;_ori_publication&gt;© 2016 American Association for Clinical Chemistry.&lt;/_ori_publication&gt;&lt;_pages&gt;1482-1491&lt;/_pages&gt;&lt;_subject_headings&gt;Aged; Biomarkers, Tumor/blood/*genetics; DNA, Neoplasm/*blood/*genetics; Female; Humans; Male; *Mutation; Pancreatic Neoplasms/blood/diagnosis/*genetics; *Polymerase Chain Reaction; Proto-Oncogene Proteins p21(ras)/blood/*genetics&lt;/_subject_headings&gt;&lt;_tertiary_title&gt;Clinical chemistry&lt;/_tertiary_title&gt;&lt;_type_work&gt;Journal Article&lt;/_type_work&gt;&lt;_url&gt;http://www.ncbi.nlm.nih.gov/entrez/query.fcgi?cmd=Retrieve&amp;amp;db=pubmed&amp;amp;dopt=Abstract&amp;amp;list_uids=27591291&amp;amp;query_hl=1&lt;/_url&gt;&lt;_volume&gt;62&lt;/_volume&gt;&lt;_created&gt;63597433&lt;/_created&gt;&lt;_modified&gt;63597433&lt;/_modified&gt;&lt;_impact_factor&gt;   7.292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.Ref{B4D8DA88-98CD-4E8C-BBCC-1103AD3DB4B8}" w:val=" ADDIN NE.Ref.{B4D8DA88-98CD-4E8C-BBCC-1103AD3DB4B8}&lt;Citation&gt;&lt;Group&gt;&lt;References&gt;&lt;Item&gt;&lt;ID&gt;499&lt;/ID&gt;&lt;UID&gt;{BE9A01A1-B844-4CBD-B4A7-C614146EF668}&lt;/UID&gt;&lt;Title&gt;Use of SuperARMS EGFR Mutation Detection Kit to Detect EGFR in Plasma Cell-free DNA  of Patients With Lung Adenocarcinoma&lt;/Title&gt;&lt;Template&gt;Journal Article&lt;/Template&gt;&lt;Star&gt;0&lt;/Star&gt;&lt;Tag&gt;0&lt;/Tag&gt;&lt;Author&gt;Cui, S; Ye, L; Wang, H; Chu, T; Zhao, Y; Gu, A; Xiong, L; Shi, C; Jiang, L&lt;/Author&gt;&lt;Year&gt;2018&lt;/Year&gt;&lt;Details&gt;&lt;_accession_num&gt;29329944&lt;/_accession_num&gt;&lt;_author_adr&gt;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; Department of Respiratory Medicine, Shanghai Chest Hospital, Shanghai Jiao Tong  University, Shanghai, China. Electronic address: Jiang_liyan2000@126.com.&lt;/_author_adr&gt;&lt;_date_display&gt;2018 May&lt;/_date_display&gt;&lt;_date&gt;2018-05-01&lt;/_date&gt;&lt;_doi&gt;10.1016/j.cllc.2017.12.009&lt;/_doi&gt;&lt;_isbn&gt;1938-0690 (Electronic); 1525-7304 (Linking)&lt;/_isbn&gt;&lt;_issue&gt;3&lt;/_issue&gt;&lt;_journal&gt;Clin Lung Cancer&lt;/_journal&gt;&lt;_keywords&gt;*Epidermal growth factor receptor; *Liquid biopsy; *Lung cancer; *SuperARMS; *cfDNA&lt;/_keywords&gt;&lt;_language&gt;eng&lt;/_language&gt;&lt;_ori_publication&gt;Copyright © 2017 Elsevier Inc. All rights reserved.&lt;/_ori_publication&gt;&lt;_pages&gt;e313-e322&lt;/_pages&gt;&lt;_subject_headings&gt;Adenocarcinoma of Lung/*blood/*genetics/pathology; Adult; Aged; Aged, 80 and over; Biomarkers, Tumor/*blood/genetics; Cell-Free Nucleic Acids/*analysis/genetics; DNA Mutational Analysis/methods; ErbB Receptors/genetics; Female; Humans; Liquid Biopsy/methods; Male; Middle Aged; Mutation; Reagent Kits, Diagnostic; Real-Time Polymerase Chain Reaction/methods; Retrospective Studies; Sensitivity and Specificity&lt;/_subject_headings&gt;&lt;_tertiary_title&gt;Clinical lung cancer&lt;/_tertiary_title&gt;&lt;_type_work&gt;Journal Article; Research Support, Non-U.S. Gov&amp;apos;t&lt;/_type_work&gt;&lt;_url&gt;http://www.ncbi.nlm.nih.gov/entrez/query.fcgi?cmd=Retrieve&amp;amp;db=pubmed&amp;amp;dopt=Abstract&amp;amp;list_uids=29329944&amp;amp;query_hl=1&lt;/_url&gt;&lt;_volume&gt;19&lt;/_volume&gt;&lt;_created&gt;63597412&lt;/_created&gt;&lt;_modified&gt;63597412&lt;/_modified&gt;&lt;_impact_factor&gt;   3.550&lt;/_impact_factor&gt;&lt;_collection_scope&gt;SCIE&lt;/_collection_scope&gt;&lt;/Details&gt;&lt;Extra&gt;&lt;DBUID&gt;{F96A950B-833F-4880-A151-76DA2D6A2879}&lt;/DBUID&gt;&lt;/Extra&gt;&lt;/Item&gt;&lt;/References&gt;&lt;/Group&gt;&lt;Group&gt;&lt;References&gt;&lt;Item&gt;&lt;ID&gt;500&lt;/ID&gt;&lt;UID&gt;{7E25AB53-078D-4605-B25C-BDFBA924A13C}&lt;/UID&gt;&lt;Title&gt;A comparison of EGFR mutation status in tissue and plasma cell-free DNA detected by  ADx-ARMS in advanced lung adenocarcinoma patients&lt;/Title&gt;&lt;Template&gt;Journal Article&lt;/Template&gt;&lt;Star&gt;0&lt;/Star&gt;&lt;Tag&gt;0&lt;/Tag&gt;&lt;Author&gt;Xu, H; Baidoo, AAH; Su, S; Ye, J; Chen, C; Xie, Y; Bertolaccini, L; Ismail, M; Ricciuti, B; Ng, CSH; Flores, R M; Li, Y&lt;/Author&gt;&lt;Year&gt;2019&lt;/Year&gt;&lt;Details&gt;&lt;_accession_num&gt;31106124&lt;/_accession_num&gt;&lt;_author_adr&gt;The Key Laboratory of Interventional Pulmonology of Zhejiang Province, Department of  Pulmonary and Critical Care Medicine, The First Affiliated Hospital of Wenzhou  Medical University, Wenzhou 325015, China.; The Key Laboratory of Interventional Pulmonology of Zhejiang Province, Department of  Pulmonary and Critical Care Medicine, The First Affiliated Hospital of Wenzhou  Medical University, Wenzhou 325015, China.; The Key Laboratory of Interventional Pulmonology of Zhejiang Province, Department of  Pulmonary and Critical Care Medicine, The First Affiliated Hospital of Wenzhou  Medical University, Wenzhou 325015, China.; The Key Laboratory of Interventional Pulmonology of Zhejiang Province, Department of  Pulmonary and Critical Care Medicine, The First Affiliated Hospital of Wenzhou  Medical University, Wenzhou 325015, China.; The Key Laboratory of Interventional Pulmonology of Zhejiang Province, Department of  Pulmonary and Critical Care Medicine, The First Affiliated Hospital of Wenzhou  Medical University, Wenzhou 325015, China.; The Key Laboratory of Interventional Pulmonology of Zhejiang Province, Department of  Pulmonary and Critical Care Medicine, The First Affiliated Hospital of Wenzhou  Medical University, Wenzhou 325015, China.; Department of Thoracic Surgery, Maggiore Teaching Hospital, Bologna, Italy.; Department for Thoracic Surgery, Klinikum Ernst von Bergmann, Academic Hospital of  the Charité - Universitätsmedizin, Humboldt University Berlin, Berlin, Germany.; Medical Oncology, Santa Maria della Misericordia Hospital, Azienda Ospedaliera di  Perugia, Perugia, Italy.; Department of Surgery, The Chinese University of Hong Kong, Prince of Wales  Hospital, Hong Kong, China.; Department of Thoracic Surgery, Icahn School of Medicine at Mount Sinai, New York,  NY, USA.; The Key Laboratory of Interventional Pulmonology of Zhejiang Province, Department of  Pulmonary and Critical Care Medicine, The First Affiliated Hospital of Wenzhou  Medical University, Wenzhou 325015, China.&lt;/_author_adr&gt;&lt;_date_display&gt;2019 Apr&lt;/_date_display&gt;&lt;_date&gt;2019-04-01&lt;/_date&gt;&lt;_doi&gt;10.21037/tlcr.2019.03.10&lt;/_doi&gt;&lt;_isbn&gt;2218-6751 (Print); 2226-4477 (Electronic); 2218-6751 (Linking)&lt;/_isbn&gt;&lt;_issue&gt;2&lt;/_issue&gt;&lt;_journal&gt;Transl Lung Cancer Res&lt;/_journal&gt;&lt;_keywords&gt;Epidermal growth factor receptor (EGFR); cfDNA; lung adenocarcinoma&lt;/_keywords&gt;&lt;_language&gt;eng&lt;/_language&gt;&lt;_pages&gt;135-143&lt;/_pages&gt;&lt;_tertiary_title&gt;Translational lung cancer research&lt;/_tertiary_title&gt;&lt;_type_work&gt;Journal Article&lt;/_type_work&gt;&lt;_url&gt;http://www.ncbi.nlm.nih.gov/entrez/query.fcgi?cmd=Retrieve&amp;amp;db=pubmed&amp;amp;dopt=Abstract&amp;amp;list_uids=31106124&amp;amp;query_hl=1&lt;/_url&gt;&lt;_volume&gt;8&lt;/_volume&gt;&lt;_created&gt;63597415&lt;/_created&gt;&lt;_modified&gt;63597415&lt;/_modified&gt;&lt;_impact_factor&gt;   5.132&lt;/_impact_factor&gt;&lt;/Details&gt;&lt;Extra&gt;&lt;DBUID&gt;{F96A950B-833F-4880-A151-76DA2D6A2879}&lt;/DBUID&gt;&lt;/Extra&gt;&lt;/Item&gt;&lt;/References&gt;&lt;/Group&gt;&lt;/Citation&gt;_x000a_"/>
    <w:docVar w:name="NE.Ref{C22FE35B-33D8-4F39-BF8C-EEF8D9006655}" w:val=" ADDIN NE.Ref.{C22FE35B-33D8-4F39-BF8C-EEF8D9006655}&lt;Citation&gt;&lt;Group&gt;&lt;References&gt;&lt;Item&gt;&lt;ID&gt;494&lt;/ID&gt;&lt;UID&gt;{FAD1BD1F-E3D1-425C-BB11-FE2CB66D327B}&lt;/UID&gt;&lt;Title&gt;EGFR mutations in lung cancer: correlation with clinical response to gefitinib  therapy&lt;/Title&gt;&lt;Template&gt;Journal Article&lt;/Template&gt;&lt;Star&gt;0&lt;/Star&gt;&lt;Tag&gt;0&lt;/Tag&gt;&lt;Author&gt;Paez, J G; Jänne, P A; Lee, J C; Tracy, S; Greulich, H; Gabriel, S; Herman, P; Kaye, F J; Lindeman, N; Boggon, T J; Naoki, K; Sasaki, H; Fujii, Y; Eck, M J; Sellers, W R; Johnson, B E; Meyerson, M&lt;/Author&gt;&lt;Year&gt;2004&lt;/Year&gt;&lt;Details&gt;&lt;_accession_num&gt;15118125&lt;/_accession_num&gt;&lt;_author_adr&gt;Departments of Medical Oncology and Cancer Biology, Dana-Farber Cancer Institute,  Boston, MA 02115, USA.&lt;/_author_adr&gt;&lt;_date_display&gt;2004 Jun 4&lt;/_date_display&gt;&lt;_date&gt;2004-06-04&lt;/_date&gt;&lt;_doi&gt;10.1126/science.1099314&lt;/_doi&gt;&lt;_isbn&gt;1095-9203 (Electronic); 0036-8075 (Linking)&lt;/_isbn&gt;&lt;_issue&gt;5676&lt;/_issue&gt;&lt;_journal&gt;Science&lt;/_journal&gt;&lt;_language&gt;eng&lt;/_language&gt;&lt;_pages&gt;1497-500&lt;/_pages&gt;&lt;_subject_headings&gt;Adenocarcinoma/drug therapy/genetics/metabolism; Amino Acid Motifs; Amino Acid Sequence; Amino Acid Substitution; Antineoplastic Agents/pharmacology/therapeutic use; Carcinoma, Non-Small-Cell Lung/drug therapy/*genetics/metabolism; Cell Line, Tumor; Controlled Clinical Trials as Topic; Enzyme Inhibitors/pharmacology/therapeutic use; ErbB Receptors/*antagonists &amp;amp; inhibitors/chemistry/genetics/metabolism; Female; Gefitinib; *Genes, erbB-1; Humans; Japan; Lung Neoplasms/drug therapy/*genetics/metabolism; Male; Molecular Sequence Data; *Mutation; Mutation, Missense; Phosphorylation; Protein Conformation; Protein Structure, Tertiary; Quinazolines/pharmacology/*therapeutic use; Sequence Deletion; Treatment Outcome; United States&lt;/_subject_headings&gt;&lt;_tertiary_title&gt;Science (New York, N.Y.)&lt;/_tertiary_title&gt;&lt;_type_work&gt;Journal Article; Research Support, Non-U.S. Gov&amp;apos;t; Research Support, U.S. Gov&amp;apos;t, P.H.S.&lt;/_type_work&gt;&lt;_url&gt;http://www.ncbi.nlm.nih.gov/entrez/query.fcgi?cmd=Retrieve&amp;amp;db=pubmed&amp;amp;dopt=Abstract&amp;amp;list_uids=15118125&amp;amp;query_hl=1&lt;/_url&gt;&lt;_volume&gt;304&lt;/_volume&gt;&lt;_created&gt;63596008&lt;/_created&gt;&lt;_modified&gt;63596008&lt;/_modified&gt;&lt;_impact_factor&gt;  41.845&lt;/_impact_factor&gt;&lt;_collection_scope&gt;SCI;SCIE&lt;/_collection_scope&gt;&lt;/Details&gt;&lt;Extra&gt;&lt;DBUID&gt;{F96A950B-833F-4880-A151-76DA2D6A2879}&lt;/DBUID&gt;&lt;/Extra&gt;&lt;/Item&gt;&lt;/References&gt;&lt;/Group&gt;&lt;Group&gt;&lt;References&gt;&lt;Item&gt;&lt;ID&gt;496&lt;/ID&gt;&lt;UID&gt;{48A00DE0-1372-4BCC-8FF5-5B870C584253}&lt;/UID&gt;&lt;Title&gt;Analysis of tumor specimens at the time of acquired resistance to EGFR-TKI therapy  in 155 patients with EGFR-mutant lung cancers&lt;/Title&gt;&lt;Template&gt;Journal Article&lt;/Template&gt;&lt;Star&gt;0&lt;/Star&gt;&lt;Tag&gt;0&lt;/Tag&gt;&lt;Author&gt;Yu, H A; Arcila, M E; Rekhtman, N; Sima, C S; Zakowski, M F; Pao, W; Kris, M G; Miller, V A; Ladanyi, M; Riely, G J&lt;/Author&gt;&lt;Year&gt;2013&lt;/Year&gt;&lt;Details&gt;&lt;_accession_num&gt;23470965&lt;/_accession_num&gt;&lt;_author_adr&gt;Thoracic Oncology Service, Division of Solid Tumor Oncology, Department of Medicine,  Memorial Sloan-Kettering Cancer Center, New York, New York 10065, USA.&lt;/_author_adr&gt;&lt;_date_display&gt;2013 Apr 15&lt;/_date_display&gt;&lt;_date&gt;2013-04-15&lt;/_date&gt;&lt;_doi&gt;10.1158/1078-0432.CCR-12-2246&lt;/_doi&gt;&lt;_isbn&gt;1078-0432 (Print); 1078-0432 (Linking)&lt;/_isbn&gt;&lt;_issue&gt;8&lt;/_issue&gt;&lt;_journal&gt;Clin Cancer Res&lt;/_journal&gt;&lt;_language&gt;eng&lt;/_language&gt;&lt;_pages&gt;2240-7&lt;/_pages&gt;&lt;_subject_headings&gt;Adenocarcinoma/*drug therapy/genetics/pathology; Adult; Aged; Aged, 80 and over; Biopsy; CD56 Antigen/analysis; DNA Mutational Analysis/methods; Drug Resistance, Neoplasm/genetics; ErbB Receptors/*antagonists &amp;amp; inhibitors/genetics; Erlotinib Hydrochloride; Female; Gefitinib; Humans; Immunohistochemistry; In Situ Hybridization, Fluorescence; Kaplan-Meier Estimate; Ki-67 Antigen/analysis; Lung/drug effects/metabolism/pathology; Lung Neoplasms/*drug therapy/genetics/pathology; Male; Middle Aged; Mutation; Protein Kinase Inhibitors/*therapeutic use; Proto-Oncogene Proteins c-met/genetics; Quinazolines/therapeutic use; Receptor, ErbB-2/genetics&lt;/_subject_headings&gt;&lt;_tertiary_title&gt;Clinical cancer research : an official journal of the American Association for _x000d__x000a_      Cancer Research&lt;/_tertiary_title&gt;&lt;_type_work&gt;Journal Article; Research Support, N.I.H., Extramural&lt;/_type_work&gt;&lt;_url&gt;http://www.ncbi.nlm.nih.gov/entrez/query.fcgi?cmd=Retrieve&amp;amp;db=pubmed&amp;amp;dopt=Abstract&amp;amp;list_uids=23470965&amp;amp;query_hl=1&lt;/_url&gt;&lt;_volume&gt;19&lt;/_volume&gt;&lt;_created&gt;63596017&lt;/_created&gt;&lt;_modified&gt;63596017&lt;/_modified&gt;&lt;_impact_factor&gt;  10.107&lt;/_impact_factor&gt;&lt;_collection_scope&gt;SCI;SCIE&lt;/_collection_scope&gt;&lt;/Details&gt;&lt;Extra&gt;&lt;DBUID&gt;{F96A950B-833F-4880-A151-76DA2D6A2879}&lt;/DBUID&gt;&lt;/Extra&gt;&lt;/Item&gt;&lt;/References&gt;&lt;/Group&gt;&lt;/Citation&gt;_x000a_"/>
    <w:docVar w:name="ne_docsoft" w:val="MSWord"/>
    <w:docVar w:name="ne_docversion" w:val="NoteExpress 2.0"/>
    <w:docVar w:name="ne_stylename" w:val="Analytical Chem"/>
  </w:docVars>
  <w:rsids>
    <w:rsidRoot w:val="00B96003"/>
    <w:rsid w:val="00034A91"/>
    <w:rsid w:val="00043936"/>
    <w:rsid w:val="000604B2"/>
    <w:rsid w:val="00074887"/>
    <w:rsid w:val="00075DD6"/>
    <w:rsid w:val="000960B5"/>
    <w:rsid w:val="000B578A"/>
    <w:rsid w:val="000C5D74"/>
    <w:rsid w:val="000C65F2"/>
    <w:rsid w:val="001758D7"/>
    <w:rsid w:val="001F358E"/>
    <w:rsid w:val="002103EA"/>
    <w:rsid w:val="00230FD9"/>
    <w:rsid w:val="00252BC7"/>
    <w:rsid w:val="00255466"/>
    <w:rsid w:val="00260E49"/>
    <w:rsid w:val="00293C78"/>
    <w:rsid w:val="00295214"/>
    <w:rsid w:val="002A1D4E"/>
    <w:rsid w:val="002B0933"/>
    <w:rsid w:val="002F0784"/>
    <w:rsid w:val="002F27EE"/>
    <w:rsid w:val="003234B6"/>
    <w:rsid w:val="003311DF"/>
    <w:rsid w:val="00331BE1"/>
    <w:rsid w:val="00385D2F"/>
    <w:rsid w:val="003B434E"/>
    <w:rsid w:val="003B4D27"/>
    <w:rsid w:val="003C55D1"/>
    <w:rsid w:val="003D62F0"/>
    <w:rsid w:val="00433948"/>
    <w:rsid w:val="00463742"/>
    <w:rsid w:val="004653F9"/>
    <w:rsid w:val="00473377"/>
    <w:rsid w:val="004A086E"/>
    <w:rsid w:val="004B0A1A"/>
    <w:rsid w:val="004B463D"/>
    <w:rsid w:val="004C426C"/>
    <w:rsid w:val="004D40D6"/>
    <w:rsid w:val="00545EEE"/>
    <w:rsid w:val="005765DE"/>
    <w:rsid w:val="005F0A9D"/>
    <w:rsid w:val="005F72D8"/>
    <w:rsid w:val="0063274F"/>
    <w:rsid w:val="006334D5"/>
    <w:rsid w:val="006A5BA9"/>
    <w:rsid w:val="006A76FD"/>
    <w:rsid w:val="006C5436"/>
    <w:rsid w:val="006D1BED"/>
    <w:rsid w:val="006F25C8"/>
    <w:rsid w:val="00722CDF"/>
    <w:rsid w:val="007306E7"/>
    <w:rsid w:val="007575D2"/>
    <w:rsid w:val="00765921"/>
    <w:rsid w:val="007E1983"/>
    <w:rsid w:val="007F1134"/>
    <w:rsid w:val="007F475A"/>
    <w:rsid w:val="00800C29"/>
    <w:rsid w:val="00831183"/>
    <w:rsid w:val="00874EA2"/>
    <w:rsid w:val="00884D54"/>
    <w:rsid w:val="008D43E2"/>
    <w:rsid w:val="008D7D45"/>
    <w:rsid w:val="008E4E33"/>
    <w:rsid w:val="00903130"/>
    <w:rsid w:val="00904DFD"/>
    <w:rsid w:val="00940D73"/>
    <w:rsid w:val="00947680"/>
    <w:rsid w:val="00951071"/>
    <w:rsid w:val="0095544C"/>
    <w:rsid w:val="00992CF1"/>
    <w:rsid w:val="009A7401"/>
    <w:rsid w:val="009A7D05"/>
    <w:rsid w:val="009E03D8"/>
    <w:rsid w:val="00A1490E"/>
    <w:rsid w:val="00A22C2B"/>
    <w:rsid w:val="00A37DC1"/>
    <w:rsid w:val="00A45DA1"/>
    <w:rsid w:val="00A469EE"/>
    <w:rsid w:val="00A5144C"/>
    <w:rsid w:val="00A56698"/>
    <w:rsid w:val="00B2596A"/>
    <w:rsid w:val="00B90701"/>
    <w:rsid w:val="00B96003"/>
    <w:rsid w:val="00BD1920"/>
    <w:rsid w:val="00BE2410"/>
    <w:rsid w:val="00BF2869"/>
    <w:rsid w:val="00BF4A54"/>
    <w:rsid w:val="00C0588F"/>
    <w:rsid w:val="00C17EAB"/>
    <w:rsid w:val="00C366B0"/>
    <w:rsid w:val="00C56D36"/>
    <w:rsid w:val="00C614C8"/>
    <w:rsid w:val="00C64AA7"/>
    <w:rsid w:val="00C80707"/>
    <w:rsid w:val="00C9581A"/>
    <w:rsid w:val="00D004FC"/>
    <w:rsid w:val="00D06397"/>
    <w:rsid w:val="00D10BB1"/>
    <w:rsid w:val="00D10E31"/>
    <w:rsid w:val="00D10FB7"/>
    <w:rsid w:val="00D25100"/>
    <w:rsid w:val="00D34705"/>
    <w:rsid w:val="00D64F52"/>
    <w:rsid w:val="00D80799"/>
    <w:rsid w:val="00D82689"/>
    <w:rsid w:val="00D91142"/>
    <w:rsid w:val="00D934FB"/>
    <w:rsid w:val="00DA3D2B"/>
    <w:rsid w:val="00DA614F"/>
    <w:rsid w:val="00DD25E9"/>
    <w:rsid w:val="00DF3D68"/>
    <w:rsid w:val="00E26671"/>
    <w:rsid w:val="00E270C0"/>
    <w:rsid w:val="00E273A8"/>
    <w:rsid w:val="00E86044"/>
    <w:rsid w:val="00EA3152"/>
    <w:rsid w:val="00EB6018"/>
    <w:rsid w:val="00EF1912"/>
    <w:rsid w:val="00F02FD3"/>
    <w:rsid w:val="00F35323"/>
    <w:rsid w:val="00F7107E"/>
    <w:rsid w:val="00F9537C"/>
    <w:rsid w:val="00FA33F9"/>
    <w:rsid w:val="00FA6476"/>
    <w:rsid w:val="00FD36E1"/>
    <w:rsid w:val="00FE3DE3"/>
    <w:rsid w:val="00FE5431"/>
    <w:rsid w:val="00FE6CDF"/>
    <w:rsid w:val="175A1FE8"/>
    <w:rsid w:val="37D74E9C"/>
    <w:rsid w:val="39F40D08"/>
    <w:rsid w:val="5F2C3CAE"/>
    <w:rsid w:val="64CC3EC0"/>
    <w:rsid w:val="767C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6E2355"/>
  <w15:docId w15:val="{12BB05DC-3E6C-484A-85AC-8342B583B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MediumList1">
    <w:name w:val="Medium List 1"/>
    <w:basedOn w:val="TableNormal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table" w:customStyle="1" w:styleId="11">
    <w:name w:val="中等深浅列表 11"/>
    <w:basedOn w:val="TableNormal"/>
    <w:uiPriority w:val="65"/>
    <w:qFormat/>
    <w:rPr>
      <w:rFonts w:ascii="Calibri" w:eastAsia="Times New Roman" w:hAnsi="Calibri"/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SimSu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paragraph" w:customStyle="1" w:styleId="DecimalAligned">
    <w:name w:val="Decimal Aligned"/>
    <w:basedOn w:val="Normal"/>
    <w:uiPriority w:val="40"/>
    <w:qFormat/>
    <w:pPr>
      <w:widowControl/>
      <w:tabs>
        <w:tab w:val="decimal" w:pos="360"/>
      </w:tabs>
      <w:spacing w:after="200" w:line="276" w:lineRule="auto"/>
      <w:jc w:val="left"/>
    </w:pPr>
    <w:rPr>
      <w:rFonts w:eastAsiaTheme="minorHAnsi"/>
      <w:kern w:val="0"/>
      <w:sz w:val="22"/>
    </w:rPr>
  </w:style>
  <w:style w:type="character" w:customStyle="1" w:styleId="1">
    <w:name w:val="不明显强调1"/>
    <w:basedOn w:val="DefaultParagraphFont"/>
    <w:uiPriority w:val="19"/>
    <w:qFormat/>
    <w:rPr>
      <w:i/>
      <w:iCs/>
      <w:color w:val="00000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58355-0304-4F01-9F82-50CE77286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dc:description>NE.Ref</dc:description>
  <cp:lastModifiedBy>Patel, Sonam Kajal</cp:lastModifiedBy>
  <cp:revision>24</cp:revision>
  <dcterms:created xsi:type="dcterms:W3CDTF">2021-01-06T11:58:00Z</dcterms:created>
  <dcterms:modified xsi:type="dcterms:W3CDTF">2021-04-07T01:17:00Z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C21E7756CA374DEAB13CEFDB37C5DD85</vt:lpwstr>
  </property>
</Properties>
</file>