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43A9" w14:textId="5FE431B5" w:rsidR="00AB1B01" w:rsidRPr="00D12313" w:rsidRDefault="00AB1B01">
      <w:pPr>
        <w:rPr>
          <w:b/>
          <w:bCs/>
        </w:rPr>
      </w:pPr>
      <w:r w:rsidRPr="00D12313">
        <w:rPr>
          <w:b/>
          <w:bCs/>
        </w:rPr>
        <w:t>Supplementary Fig</w:t>
      </w:r>
      <w:r w:rsidR="00473BBE" w:rsidRPr="00D12313">
        <w:rPr>
          <w:b/>
          <w:bCs/>
        </w:rPr>
        <w:t>ure</w:t>
      </w:r>
      <w:r w:rsidRPr="00D12313">
        <w:rPr>
          <w:b/>
          <w:bCs/>
        </w:rPr>
        <w:t xml:space="preserve"> 1</w:t>
      </w:r>
    </w:p>
    <w:p w14:paraId="14728781" w14:textId="1F2A7770" w:rsidR="00AB1B01" w:rsidRDefault="00AB1B01"/>
    <w:p w14:paraId="0C165BAF" w14:textId="295B7708" w:rsidR="00AB1B01" w:rsidRDefault="00AB1B01"/>
    <w:p w14:paraId="260B8EA4" w14:textId="7863C8AB" w:rsidR="00AB1B01" w:rsidRDefault="008A1D51">
      <w:r>
        <w:rPr>
          <w:noProof/>
        </w:rPr>
        <mc:AlternateContent>
          <mc:Choice Requires="wps">
            <w:drawing>
              <wp:anchor distT="45720" distB="45720" distL="114300" distR="114300" simplePos="0" relativeHeight="251661312" behindDoc="0" locked="0" layoutInCell="1" allowOverlap="1" wp14:anchorId="2716397D" wp14:editId="571DD1F6">
                <wp:simplePos x="0" y="0"/>
                <wp:positionH relativeFrom="margin">
                  <wp:align>left</wp:align>
                </wp:positionH>
                <wp:positionV relativeFrom="paragraph">
                  <wp:posOffset>2720975</wp:posOffset>
                </wp:positionV>
                <wp:extent cx="850265" cy="551815"/>
                <wp:effectExtent l="0" t="0" r="6985" b="635"/>
                <wp:wrapNone/>
                <wp:docPr id="190224064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551815"/>
                        </a:xfrm>
                        <a:prstGeom prst="rect">
                          <a:avLst/>
                        </a:prstGeom>
                        <a:solidFill>
                          <a:srgbClr val="FFFFFF"/>
                        </a:solidFill>
                        <a:ln w="9525">
                          <a:noFill/>
                          <a:miter lim="800000"/>
                          <a:headEnd/>
                          <a:tailEnd/>
                        </a:ln>
                      </wps:spPr>
                      <wps:txbx>
                        <w:txbxContent>
                          <w:p w14:paraId="566F0319" w14:textId="35663E0A" w:rsidR="008A1D51" w:rsidRPr="008A1D51" w:rsidRDefault="008A1D51" w:rsidP="008A1D51">
                            <w:pPr>
                              <w:rPr>
                                <w:rFonts w:ascii="Arial" w:hAnsi="Arial" w:cs="Arial"/>
                                <w:b/>
                                <w:bCs/>
                                <w:sz w:val="28"/>
                                <w:szCs w:val="28"/>
                              </w:rPr>
                            </w:pPr>
                            <w:r>
                              <w:rPr>
                                <w:rFonts w:ascii="Arial" w:hAnsi="Arial" w:cs="Arial"/>
                                <w:b/>
                                <w:bCs/>
                                <w:sz w:val="28"/>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6397D" id="_x0000_t202" coordsize="21600,21600" o:spt="202" path="m,l,21600r21600,l21600,xe">
                <v:stroke joinstyle="miter"/>
                <v:path gradientshapeok="t" o:connecttype="rect"/>
              </v:shapetype>
              <v:shape id="Pole tekstowe 2" o:spid="_x0000_s1026" type="#_x0000_t202" style="position:absolute;margin-left:0;margin-top:214.25pt;width:66.95pt;height:43.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" stroked="f">
                <v:textbox>
                  <w:txbxContent>
                    <w:p w14:paraId="566F0319" w14:textId="35663E0A" w:rsidR="008A1D51" w:rsidRPr="008A1D51" w:rsidRDefault="008A1D51" w:rsidP="008A1D51">
                      <w:pPr>
                        <w:rPr>
                          <w:rFonts w:ascii="Arial" w:hAnsi="Arial" w:cs="Arial"/>
                          <w:b/>
                          <w:bCs/>
                          <w:sz w:val="28"/>
                          <w:szCs w:val="28"/>
                        </w:rPr>
                      </w:pPr>
                      <w:r>
                        <w:rPr>
                          <w:rFonts w:ascii="Arial" w:hAnsi="Arial" w:cs="Arial"/>
                          <w:b/>
                          <w:bCs/>
                          <w:sz w:val="28"/>
                          <w:szCs w:val="28"/>
                        </w:rPr>
                        <w:t>B</w:t>
                      </w: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59C6D4B3" wp14:editId="3C15A2F0">
                <wp:simplePos x="0" y="0"/>
                <wp:positionH relativeFrom="margin">
                  <wp:align>left</wp:align>
                </wp:positionH>
                <wp:positionV relativeFrom="paragraph">
                  <wp:posOffset>8476</wp:posOffset>
                </wp:positionV>
                <wp:extent cx="850265" cy="551815"/>
                <wp:effectExtent l="0" t="0" r="6985"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551815"/>
                        </a:xfrm>
                        <a:prstGeom prst="rect">
                          <a:avLst/>
                        </a:prstGeom>
                        <a:solidFill>
                          <a:srgbClr val="FFFFFF"/>
                        </a:solidFill>
                        <a:ln w="9525">
                          <a:noFill/>
                          <a:miter lim="800000"/>
                          <a:headEnd/>
                          <a:tailEnd/>
                        </a:ln>
                      </wps:spPr>
                      <wps:txbx>
                        <w:txbxContent>
                          <w:p w14:paraId="1303B4A6" w14:textId="75024A1E" w:rsidR="008A1D51" w:rsidRPr="008A1D51" w:rsidRDefault="008A1D51">
                            <w:pPr>
                              <w:rPr>
                                <w:rFonts w:ascii="Arial" w:hAnsi="Arial" w:cs="Arial"/>
                                <w:b/>
                                <w:bCs/>
                                <w:sz w:val="28"/>
                                <w:szCs w:val="28"/>
                              </w:rPr>
                            </w:pPr>
                            <w:r w:rsidRPr="008A1D51">
                              <w:rPr>
                                <w:rFonts w:ascii="Arial" w:hAnsi="Arial" w:cs="Arial"/>
                                <w:b/>
                                <w:bCs/>
                                <w:sz w:val="28"/>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6D4B3" id="_x0000_s1027" type="#_x0000_t202" style="position:absolute;margin-left:0;margin-top:.65pt;width:66.95pt;height:43.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" stroked="f">
                <v:textbox>
                  <w:txbxContent>
                    <w:p w14:paraId="1303B4A6" w14:textId="75024A1E" w:rsidR="008A1D51" w:rsidRPr="008A1D51" w:rsidRDefault="008A1D51">
                      <w:pPr>
                        <w:rPr>
                          <w:rFonts w:ascii="Arial" w:hAnsi="Arial" w:cs="Arial"/>
                          <w:b/>
                          <w:bCs/>
                          <w:sz w:val="28"/>
                          <w:szCs w:val="28"/>
                        </w:rPr>
                      </w:pPr>
                      <w:r w:rsidRPr="008A1D51">
                        <w:rPr>
                          <w:rFonts w:ascii="Arial" w:hAnsi="Arial" w:cs="Arial"/>
                          <w:b/>
                          <w:bCs/>
                          <w:sz w:val="28"/>
                          <w:szCs w:val="28"/>
                        </w:rPr>
                        <w:t>A</w:t>
                      </w:r>
                    </w:p>
                  </w:txbxContent>
                </v:textbox>
                <w10:wrap anchorx="margin"/>
              </v:shape>
            </w:pict>
          </mc:Fallback>
        </mc:AlternateContent>
      </w:r>
      <w:r w:rsidR="00AB1B01">
        <w:rPr>
          <w:noProof/>
        </w:rPr>
        <w:drawing>
          <wp:inline distT="0" distB="0" distL="0" distR="0" wp14:anchorId="5A447B29" wp14:editId="53374C12">
            <wp:extent cx="4608576" cy="2849880"/>
            <wp:effectExtent l="0" t="0" r="1905" b="7620"/>
            <wp:docPr id="638949243" name="Obraz 1" descr="Obraz zawierający tekst, zrzut ekranu, diagram,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49243" name="Obraz 1" descr="Obraz zawierający tekst, zrzut ekranu, diagram, design&#10;&#10;Opis wygenerowany automatyczni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08576" cy="2849880"/>
                    </a:xfrm>
                    <a:prstGeom prst="rect">
                      <a:avLst/>
                    </a:prstGeom>
                  </pic:spPr>
                </pic:pic>
              </a:graphicData>
            </a:graphic>
          </wp:inline>
        </w:drawing>
      </w:r>
    </w:p>
    <w:p w14:paraId="718E0646" w14:textId="1C3F1169" w:rsidR="00C77571" w:rsidRDefault="006F0C01">
      <w:r>
        <w:rPr>
          <w:noProof/>
        </w:rPr>
        <w:drawing>
          <wp:inline distT="0" distB="0" distL="0" distR="0" wp14:anchorId="3A8BA4A3" wp14:editId="1E457B48">
            <wp:extent cx="5867400" cy="2002460"/>
            <wp:effectExtent l="0" t="0" r="0" b="0"/>
            <wp:docPr id="1124004020" name="Obraz 2" descr="Obraz zawierający tekst, diagram,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04020" name="Obraz 2" descr="Obraz zawierający tekst, diagram, Czcionka, linia&#10;&#10;Opis wygenerowany automatyczni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87128" cy="2009193"/>
                    </a:xfrm>
                    <a:prstGeom prst="rect">
                      <a:avLst/>
                    </a:prstGeom>
                  </pic:spPr>
                </pic:pic>
              </a:graphicData>
            </a:graphic>
          </wp:inline>
        </w:drawing>
      </w:r>
    </w:p>
    <w:p w14:paraId="65A15308" w14:textId="77777777" w:rsidR="00C77571" w:rsidRDefault="00C77571" w:rsidP="00C77571"/>
    <w:p w14:paraId="78FB55E9" w14:textId="251131F3" w:rsidR="00C77571" w:rsidRDefault="00C77571" w:rsidP="00C77571"/>
    <w:p w14:paraId="6C2F1764" w14:textId="648E433F" w:rsidR="00C77571" w:rsidRPr="00EF4211" w:rsidRDefault="00487DE3" w:rsidP="00C77571">
      <w:pPr>
        <w:rPr>
          <w:lang w:val="en-US"/>
        </w:rPr>
      </w:pPr>
      <w:r>
        <w:rPr>
          <w:b/>
          <w:bCs/>
          <w:noProof/>
          <w:lang w:val="en-US"/>
        </w:rPr>
        <w:t xml:space="preserve">Supplementary </w:t>
      </w:r>
      <w:r w:rsidRPr="00D10F4A">
        <w:rPr>
          <w:b/>
          <w:bCs/>
          <w:noProof/>
          <w:lang w:val="en-US"/>
        </w:rPr>
        <w:t>Fig</w:t>
      </w:r>
      <w:r>
        <w:rPr>
          <w:b/>
          <w:bCs/>
          <w:noProof/>
          <w:lang w:val="en-US"/>
        </w:rPr>
        <w:t>ure</w:t>
      </w:r>
      <w:r w:rsidRPr="00D10F4A">
        <w:rPr>
          <w:b/>
          <w:bCs/>
          <w:noProof/>
          <w:lang w:val="en-US"/>
        </w:rPr>
        <w:t xml:space="preserve"> </w:t>
      </w:r>
      <w:r>
        <w:rPr>
          <w:b/>
          <w:bCs/>
          <w:noProof/>
          <w:lang w:val="en-US"/>
        </w:rPr>
        <w:t xml:space="preserve">1. </w:t>
      </w:r>
      <w:r w:rsidR="00C77571" w:rsidRPr="00EF4211">
        <w:rPr>
          <w:lang w:val="en-US"/>
        </w:rPr>
        <w:t xml:space="preserve">Tannic-acid modified Ag/AuNPs (TA-Ag/AuNPs) can </w:t>
      </w:r>
      <w:r w:rsidR="00767A88" w:rsidRPr="00EF4211">
        <w:rPr>
          <w:lang w:val="en-US"/>
        </w:rPr>
        <w:t>inhibit</w:t>
      </w:r>
      <w:r w:rsidR="00C77571" w:rsidRPr="00EF4211">
        <w:rPr>
          <w:lang w:val="en-US"/>
        </w:rPr>
        <w:t xml:space="preserve"> HSV-1 infection. </w:t>
      </w:r>
      <w:r w:rsidR="00767A88" w:rsidRPr="00EF4211">
        <w:rPr>
          <w:lang w:val="en-US"/>
        </w:rPr>
        <w:t xml:space="preserve">(A) </w:t>
      </w:r>
      <w:r w:rsidR="00A877D2" w:rsidRPr="00EF4211">
        <w:rPr>
          <w:lang w:val="en-US"/>
        </w:rPr>
        <w:t>HSV-1 was pre-incubated for 1</w:t>
      </w:r>
      <w:r w:rsidR="00EF4211">
        <w:rPr>
          <w:lang w:val="en-US"/>
        </w:rPr>
        <w:t xml:space="preserve"> </w:t>
      </w:r>
      <w:r w:rsidR="00A877D2" w:rsidRPr="00EF4211">
        <w:rPr>
          <w:lang w:val="en-US"/>
        </w:rPr>
        <w:t>h with 7</w:t>
      </w:r>
      <w:r w:rsidR="00EF4211">
        <w:rPr>
          <w:lang w:val="en-US"/>
        </w:rPr>
        <w:t>.</w:t>
      </w:r>
      <w:r w:rsidR="00767A88" w:rsidRPr="00EF4211">
        <w:rPr>
          <w:lang w:val="en-US"/>
        </w:rPr>
        <w:t xml:space="preserve">5 µg/mL </w:t>
      </w:r>
      <w:r w:rsidR="00A877D2" w:rsidRPr="00EF4211">
        <w:rPr>
          <w:lang w:val="en-US"/>
        </w:rPr>
        <w:t xml:space="preserve">of </w:t>
      </w:r>
      <w:r w:rsidR="00767A88" w:rsidRPr="00EF4211">
        <w:rPr>
          <w:lang w:val="en-US"/>
        </w:rPr>
        <w:t xml:space="preserve">5 nm </w:t>
      </w:r>
      <w:r w:rsidR="00A877D2" w:rsidRPr="00EF4211">
        <w:rPr>
          <w:lang w:val="en-US"/>
        </w:rPr>
        <w:t>TA-</w:t>
      </w:r>
      <w:r w:rsidR="00767A88" w:rsidRPr="00EF4211">
        <w:rPr>
          <w:lang w:val="en-US"/>
        </w:rPr>
        <w:t xml:space="preserve">AuNPs, 30 </w:t>
      </w:r>
      <w:r w:rsidR="00A877D2" w:rsidRPr="00EF4211">
        <w:rPr>
          <w:lang w:val="en-US"/>
        </w:rPr>
        <w:t>nm TA-</w:t>
      </w:r>
      <w:r w:rsidR="00767A88" w:rsidRPr="00EF4211">
        <w:rPr>
          <w:lang w:val="en-US"/>
        </w:rPr>
        <w:t xml:space="preserve">AuNPs, </w:t>
      </w:r>
      <w:r w:rsidR="00A877D2" w:rsidRPr="00EF4211">
        <w:rPr>
          <w:lang w:val="en-US"/>
        </w:rPr>
        <w:t xml:space="preserve">5 nm TA-AgNPs and </w:t>
      </w:r>
      <w:r w:rsidR="00767A88" w:rsidRPr="00EF4211">
        <w:rPr>
          <w:lang w:val="en-US"/>
        </w:rPr>
        <w:t>30</w:t>
      </w:r>
      <w:r w:rsidR="00A877D2" w:rsidRPr="00EF4211">
        <w:rPr>
          <w:lang w:val="en-US"/>
        </w:rPr>
        <w:t>nm TA</w:t>
      </w:r>
      <w:r w:rsidR="00767A88" w:rsidRPr="00EF4211">
        <w:rPr>
          <w:lang w:val="en-US"/>
        </w:rPr>
        <w:t xml:space="preserve"> AgNPs</w:t>
      </w:r>
      <w:r w:rsidR="00A877D2" w:rsidRPr="00EF4211">
        <w:rPr>
          <w:lang w:val="en-US"/>
        </w:rPr>
        <w:t xml:space="preserve">, </w:t>
      </w:r>
      <w:r w:rsidR="00EF4211" w:rsidRPr="00EF4211">
        <w:rPr>
          <w:lang w:val="en-US"/>
        </w:rPr>
        <w:t>th</w:t>
      </w:r>
      <w:r w:rsidR="00EF4211">
        <w:rPr>
          <w:lang w:val="en-US"/>
        </w:rPr>
        <w:t>e</w:t>
      </w:r>
      <w:r w:rsidR="00EF4211" w:rsidRPr="00EF4211">
        <w:rPr>
          <w:lang w:val="en-US"/>
        </w:rPr>
        <w:t xml:space="preserve">n </w:t>
      </w:r>
      <w:r w:rsidR="00A877D2" w:rsidRPr="00EF4211">
        <w:rPr>
          <w:lang w:val="en-US"/>
        </w:rPr>
        <w:t>added to Vero cells and further incubated for 24</w:t>
      </w:r>
      <w:r w:rsidR="00EF4211">
        <w:rPr>
          <w:lang w:val="en-US"/>
        </w:rPr>
        <w:t xml:space="preserve"> </w:t>
      </w:r>
      <w:r w:rsidR="00A877D2" w:rsidRPr="00EF4211">
        <w:rPr>
          <w:lang w:val="en-US"/>
        </w:rPr>
        <w:t xml:space="preserve">h. Next, the cultures were subjected to titration of HSV-1 using PFU method. The data are expressed as means from three independent experiments ± SEM. ** represents significant differences with p ≤ 0.01 in comparison to untreated infected control (two-way ANOVA test). (B) </w:t>
      </w:r>
      <w:r w:rsidR="00C77571" w:rsidRPr="00EF4211">
        <w:rPr>
          <w:lang w:val="en-US"/>
        </w:rPr>
        <w:t>Neuro-2a cell line, primary neurons culture and mixed glial culture were infected for 6</w:t>
      </w:r>
      <w:r w:rsidR="00EF4211">
        <w:rPr>
          <w:lang w:val="en-US"/>
        </w:rPr>
        <w:t xml:space="preserve"> </w:t>
      </w:r>
      <w:r w:rsidR="00C77571" w:rsidRPr="00EF4211">
        <w:rPr>
          <w:lang w:val="en-US"/>
        </w:rPr>
        <w:t>h, then washed and treated with non-toxic concentration of tannic acid-modified AgNPs, or AuNPs sized 5 and 30 nm (2.5 µg/mL for 5 nm AuNPs, 30 AuNPs, 30 AgNPs  and 1 µg/mL for 5 nm AgNPs ). At 24 h p.i., cells were subjected to HSV-1 copies titration by qPCR. The data are expressed as means from three independent experiments ± SEM. * represents significant differences with p ≤ 0.05, ** p ≤ 0.01 in comparison to untreated infected control (two-way ANOVA test).</w:t>
      </w:r>
    </w:p>
    <w:p w14:paraId="10668019" w14:textId="77777777" w:rsidR="00D12313" w:rsidRPr="00D10F4A" w:rsidRDefault="00D12313" w:rsidP="00D12313">
      <w:pPr>
        <w:rPr>
          <w:b/>
          <w:bCs/>
          <w:noProof/>
          <w:lang w:val="en-US"/>
        </w:rPr>
      </w:pPr>
      <w:r>
        <w:rPr>
          <w:b/>
          <w:bCs/>
          <w:noProof/>
          <w:lang w:val="en-US"/>
        </w:rPr>
        <w:lastRenderedPageBreak/>
        <w:t xml:space="preserve">Supplementary </w:t>
      </w:r>
      <w:r w:rsidRPr="00D10F4A">
        <w:rPr>
          <w:b/>
          <w:bCs/>
          <w:noProof/>
          <w:lang w:val="en-US"/>
        </w:rPr>
        <w:t>Fig</w:t>
      </w:r>
      <w:r>
        <w:rPr>
          <w:b/>
          <w:bCs/>
          <w:noProof/>
          <w:lang w:val="en-US"/>
        </w:rPr>
        <w:t>ure</w:t>
      </w:r>
      <w:r w:rsidRPr="00D10F4A">
        <w:rPr>
          <w:b/>
          <w:bCs/>
          <w:noProof/>
          <w:lang w:val="en-US"/>
        </w:rPr>
        <w:t xml:space="preserve"> 2</w:t>
      </w:r>
    </w:p>
    <w:p w14:paraId="74200880" w14:textId="77777777" w:rsidR="00F44057" w:rsidRPr="00EF4211" w:rsidRDefault="00F44057" w:rsidP="00C77571">
      <w:pPr>
        <w:rPr>
          <w:lang w:val="en-US"/>
        </w:rPr>
      </w:pPr>
    </w:p>
    <w:p w14:paraId="15CD482A" w14:textId="2030E956" w:rsidR="00215A41" w:rsidRDefault="00D10F4A" w:rsidP="00C77571">
      <w:r>
        <w:rPr>
          <w:noProof/>
        </w:rPr>
        <w:drawing>
          <wp:inline distT="0" distB="0" distL="0" distR="0" wp14:anchorId="0F743DF8" wp14:editId="5B05699D">
            <wp:extent cx="4660392" cy="2310384"/>
            <wp:effectExtent l="0" t="0" r="6985" b="0"/>
            <wp:docPr id="1597182297" name="Obraz 1" descr="Obraz zawierający tekst, diagram, Rysunek techniczn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82297" name="Obraz 1" descr="Obraz zawierający tekst, diagram, Rysunek techniczny, zrzut ekranu&#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0392" cy="2310384"/>
                    </a:xfrm>
                    <a:prstGeom prst="rect">
                      <a:avLst/>
                    </a:prstGeom>
                  </pic:spPr>
                </pic:pic>
              </a:graphicData>
            </a:graphic>
          </wp:inline>
        </w:drawing>
      </w:r>
    </w:p>
    <w:p w14:paraId="5997EA2A" w14:textId="41AD18C5" w:rsidR="00001901" w:rsidRDefault="00487DE3" w:rsidP="00001901">
      <w:pPr>
        <w:rPr>
          <w:lang w:val="en-US"/>
        </w:rPr>
      </w:pPr>
      <w:r>
        <w:rPr>
          <w:b/>
          <w:bCs/>
          <w:noProof/>
          <w:lang w:val="en-US"/>
        </w:rPr>
        <w:t xml:space="preserve">Supplementary </w:t>
      </w:r>
      <w:r w:rsidRPr="00D10F4A">
        <w:rPr>
          <w:b/>
          <w:bCs/>
          <w:noProof/>
          <w:lang w:val="en-US"/>
        </w:rPr>
        <w:t>Fig</w:t>
      </w:r>
      <w:r>
        <w:rPr>
          <w:b/>
          <w:bCs/>
          <w:noProof/>
          <w:lang w:val="en-US"/>
        </w:rPr>
        <w:t>ure</w:t>
      </w:r>
      <w:r w:rsidRPr="00D10F4A">
        <w:rPr>
          <w:b/>
          <w:bCs/>
          <w:noProof/>
          <w:lang w:val="en-US"/>
        </w:rPr>
        <w:t xml:space="preserve"> </w:t>
      </w:r>
      <w:r>
        <w:rPr>
          <w:b/>
          <w:bCs/>
          <w:noProof/>
          <w:lang w:val="en-US"/>
        </w:rPr>
        <w:t xml:space="preserve">2. </w:t>
      </w:r>
      <w:r w:rsidR="00001901" w:rsidRPr="00D10F4A">
        <w:rPr>
          <w:rFonts w:cs="Arial"/>
          <w:lang w:val="en-US"/>
        </w:rPr>
        <w:t>The t</w:t>
      </w:r>
      <w:r w:rsidR="00001901" w:rsidRPr="00D10F4A">
        <w:rPr>
          <w:lang w:val="en-US"/>
        </w:rPr>
        <w:t>annic-acid modified Ag/AuNPs</w:t>
      </w:r>
      <w:r w:rsidR="00B951E5" w:rsidRPr="00D10F4A">
        <w:rPr>
          <w:lang w:val="en-US"/>
        </w:rPr>
        <w:t xml:space="preserve"> upregulate early antiviral response in vitro. </w:t>
      </w:r>
      <w:r w:rsidR="00001901" w:rsidRPr="00D10F4A">
        <w:rPr>
          <w:lang w:val="en-US"/>
        </w:rPr>
        <w:t>The mixed glial culture was infected for 6</w:t>
      </w:r>
      <w:r w:rsidR="00EF4211">
        <w:rPr>
          <w:lang w:val="en-US"/>
        </w:rPr>
        <w:t xml:space="preserve"> </w:t>
      </w:r>
      <w:r w:rsidR="00001901" w:rsidRPr="00D10F4A">
        <w:rPr>
          <w:lang w:val="en-US"/>
        </w:rPr>
        <w:t>h</w:t>
      </w:r>
      <w:r w:rsidR="00B951E5" w:rsidRPr="00D10F4A">
        <w:rPr>
          <w:lang w:val="en-US"/>
        </w:rPr>
        <w:t xml:space="preserve"> with HSV-1 (PFU 1/ml)</w:t>
      </w:r>
      <w:r w:rsidR="00001901" w:rsidRPr="00D10F4A">
        <w:rPr>
          <w:lang w:val="en-US"/>
        </w:rPr>
        <w:t xml:space="preserve">, then washed and treated with </w:t>
      </w:r>
      <w:r w:rsidR="00B951E5" w:rsidRPr="00D10F4A">
        <w:rPr>
          <w:lang w:val="en-US"/>
        </w:rPr>
        <w:t xml:space="preserve">non-toxic concentration of tannic acid-modified AgNPs, or AuNPs sized 5 and 30 nm (2.5 µg/mL for 5 nm AuNPs, 30 AuNPs, 30 AgNPs  and 1 µg/mL for 5 nm AgNPs ). At 24 h p.i., cells were subjected to RNA isolation and qPCR measurements. </w:t>
      </w:r>
      <w:r w:rsidR="00B951E5" w:rsidRPr="00D10F4A">
        <w:rPr>
          <w:rFonts w:cs="Arial"/>
          <w:lang w:val="en-US"/>
        </w:rPr>
        <w:t>Levels of IFN-</w:t>
      </w:r>
      <w:r w:rsidR="00B951E5">
        <w:rPr>
          <w:rFonts w:cs="Arial"/>
        </w:rPr>
        <w:sym w:font="Symbol" w:char="F061"/>
      </w:r>
      <w:r w:rsidR="00B951E5" w:rsidRPr="00D10F4A">
        <w:rPr>
          <w:rFonts w:cs="Arial"/>
          <w:lang w:val="en-US"/>
        </w:rPr>
        <w:t xml:space="preserve">, CXCL9 and CXCL10 mRNAs are shown as expression relative to control based on the 2-∆∆Ct method. N = 3. </w:t>
      </w:r>
      <w:r w:rsidR="00001901" w:rsidRPr="00D10F4A">
        <w:rPr>
          <w:lang w:val="en-US"/>
        </w:rPr>
        <w:t>The data are expressed as means from three independent experiments ± SEM. * represents significant differences with p ≤ 0.05, ** p ≤ 0.01 in comparison to untreated infected control (two-way ANOVA test).</w:t>
      </w:r>
    </w:p>
    <w:p w14:paraId="584FFE41" w14:textId="77777777" w:rsidR="00D12313" w:rsidRDefault="00D12313" w:rsidP="00001901">
      <w:pPr>
        <w:rPr>
          <w:lang w:val="en-US"/>
        </w:rPr>
      </w:pPr>
    </w:p>
    <w:p w14:paraId="375BB6EC" w14:textId="77777777" w:rsidR="00D12313" w:rsidRDefault="00D12313" w:rsidP="00001901">
      <w:pPr>
        <w:rPr>
          <w:lang w:val="en-US"/>
        </w:rPr>
      </w:pPr>
    </w:p>
    <w:p w14:paraId="1764FA47" w14:textId="77777777" w:rsidR="00D12313" w:rsidRDefault="00D12313" w:rsidP="00001901">
      <w:pPr>
        <w:rPr>
          <w:lang w:val="en-US"/>
        </w:rPr>
      </w:pPr>
    </w:p>
    <w:p w14:paraId="5E91BCFB" w14:textId="77777777" w:rsidR="00D12313" w:rsidRDefault="00D12313" w:rsidP="00001901">
      <w:pPr>
        <w:rPr>
          <w:lang w:val="en-US"/>
        </w:rPr>
      </w:pPr>
    </w:p>
    <w:p w14:paraId="5AE45AAD" w14:textId="77777777" w:rsidR="00D12313" w:rsidRDefault="00D12313" w:rsidP="00001901">
      <w:pPr>
        <w:rPr>
          <w:lang w:val="en-US"/>
        </w:rPr>
      </w:pPr>
    </w:p>
    <w:p w14:paraId="526F3458" w14:textId="77777777" w:rsidR="00D12313" w:rsidRDefault="00D12313" w:rsidP="00001901">
      <w:pPr>
        <w:rPr>
          <w:lang w:val="en-US"/>
        </w:rPr>
      </w:pPr>
    </w:p>
    <w:p w14:paraId="6F1E1635" w14:textId="77777777" w:rsidR="00D12313" w:rsidRDefault="00D12313" w:rsidP="00001901">
      <w:pPr>
        <w:rPr>
          <w:lang w:val="en-US"/>
        </w:rPr>
      </w:pPr>
    </w:p>
    <w:p w14:paraId="68103EB5" w14:textId="77777777" w:rsidR="00D12313" w:rsidRDefault="00D12313" w:rsidP="00001901">
      <w:pPr>
        <w:rPr>
          <w:lang w:val="en-US"/>
        </w:rPr>
      </w:pPr>
    </w:p>
    <w:p w14:paraId="5CE93318" w14:textId="77777777" w:rsidR="00D12313" w:rsidRDefault="00D12313" w:rsidP="00001901">
      <w:pPr>
        <w:rPr>
          <w:lang w:val="en-US"/>
        </w:rPr>
      </w:pPr>
    </w:p>
    <w:p w14:paraId="0FB5C75C" w14:textId="77777777" w:rsidR="00D12313" w:rsidRDefault="00D12313" w:rsidP="00001901">
      <w:pPr>
        <w:rPr>
          <w:lang w:val="en-US"/>
        </w:rPr>
      </w:pPr>
    </w:p>
    <w:p w14:paraId="67197A5C" w14:textId="77777777" w:rsidR="00D12313" w:rsidRDefault="00D12313" w:rsidP="00001901">
      <w:pPr>
        <w:rPr>
          <w:lang w:val="en-US"/>
        </w:rPr>
      </w:pPr>
    </w:p>
    <w:p w14:paraId="32EE7BA6" w14:textId="77777777" w:rsidR="00D12313" w:rsidRDefault="00D12313" w:rsidP="00001901">
      <w:pPr>
        <w:rPr>
          <w:lang w:val="en-US"/>
        </w:rPr>
      </w:pPr>
    </w:p>
    <w:p w14:paraId="60433239" w14:textId="77777777" w:rsidR="00D12313" w:rsidRDefault="00D12313" w:rsidP="00001901">
      <w:pPr>
        <w:rPr>
          <w:lang w:val="en-US"/>
        </w:rPr>
      </w:pPr>
    </w:p>
    <w:p w14:paraId="1D20BCE6" w14:textId="77777777" w:rsidR="00D12313" w:rsidRDefault="00D12313" w:rsidP="00001901">
      <w:pPr>
        <w:rPr>
          <w:lang w:val="en-US"/>
        </w:rPr>
      </w:pPr>
    </w:p>
    <w:p w14:paraId="4C343B7F" w14:textId="77777777" w:rsidR="00D12313" w:rsidRDefault="00D12313" w:rsidP="00001901">
      <w:pPr>
        <w:rPr>
          <w:lang w:val="en-US"/>
        </w:rPr>
      </w:pPr>
    </w:p>
    <w:p w14:paraId="70D91A36" w14:textId="77777777" w:rsidR="00D12313" w:rsidRPr="00D10F4A" w:rsidRDefault="00D12313" w:rsidP="00D12313">
      <w:pPr>
        <w:rPr>
          <w:b/>
          <w:bCs/>
          <w:lang w:val="en-US"/>
        </w:rPr>
      </w:pPr>
      <w:r>
        <w:rPr>
          <w:b/>
          <w:bCs/>
          <w:noProof/>
          <w:lang w:val="en-US"/>
        </w:rPr>
        <w:t xml:space="preserve">Supplementary </w:t>
      </w:r>
      <w:r w:rsidRPr="00D10F4A">
        <w:rPr>
          <w:b/>
          <w:bCs/>
          <w:noProof/>
          <w:lang w:val="en-US"/>
        </w:rPr>
        <w:t>Fig</w:t>
      </w:r>
      <w:r>
        <w:rPr>
          <w:b/>
          <w:bCs/>
          <w:noProof/>
          <w:lang w:val="en-US"/>
        </w:rPr>
        <w:t>ure</w:t>
      </w:r>
      <w:r w:rsidRPr="00D10F4A">
        <w:rPr>
          <w:b/>
          <w:bCs/>
          <w:noProof/>
          <w:lang w:val="en-US"/>
        </w:rPr>
        <w:t xml:space="preserve"> 3</w:t>
      </w:r>
    </w:p>
    <w:p w14:paraId="3AAB52E5" w14:textId="66C8C3FB" w:rsidR="00001901" w:rsidRPr="00D10F4A" w:rsidRDefault="00D10F4A" w:rsidP="00C77571">
      <w:pPr>
        <w:rPr>
          <w:b/>
          <w:bCs/>
          <w:noProof/>
          <w:lang w:val="en-US"/>
        </w:rPr>
      </w:pPr>
      <w:r>
        <w:rPr>
          <w:b/>
          <w:bCs/>
          <w:noProof/>
          <w:lang w:val="en-US"/>
        </w:rPr>
        <w:drawing>
          <wp:inline distT="0" distB="0" distL="0" distR="0" wp14:anchorId="3F1373F0" wp14:editId="4E5954D5">
            <wp:extent cx="4321402" cy="8077697"/>
            <wp:effectExtent l="0" t="0" r="3175" b="0"/>
            <wp:docPr id="1299045957" name="Obraz 2" descr="Obraz zawierający tekst, diagram, Rysunek techniczny, Pla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45957" name="Obraz 2" descr="Obraz zawierający tekst, diagram, Rysunek techniczny, Plan&#10;&#10;Opis wygenerowany automatycznie"/>
                    <pic:cNvPicPr/>
                  </pic:nvPicPr>
                  <pic:blipFill>
                    <a:blip r:embed="rId9">
                      <a:extLst>
                        <a:ext uri="{28A0092B-C50C-407E-A947-70E740481C1C}">
                          <a14:useLocalDpi xmlns:a14="http://schemas.microsoft.com/office/drawing/2010/main" val="0"/>
                        </a:ext>
                      </a:extLst>
                    </a:blip>
                    <a:stretch>
                      <a:fillRect/>
                    </a:stretch>
                  </pic:blipFill>
                  <pic:spPr>
                    <a:xfrm>
                      <a:off x="0" y="0"/>
                      <a:ext cx="4341389" cy="8115057"/>
                    </a:xfrm>
                    <a:prstGeom prst="rect">
                      <a:avLst/>
                    </a:prstGeom>
                  </pic:spPr>
                </pic:pic>
              </a:graphicData>
            </a:graphic>
          </wp:inline>
        </w:drawing>
      </w:r>
    </w:p>
    <w:p w14:paraId="580514CB" w14:textId="7B29357C" w:rsidR="00487DE3" w:rsidRDefault="00487DE3" w:rsidP="00487DE3">
      <w:pPr>
        <w:rPr>
          <w:rFonts w:cs="Arial"/>
          <w:lang w:val="en-US"/>
        </w:rPr>
      </w:pPr>
      <w:r>
        <w:rPr>
          <w:b/>
          <w:bCs/>
          <w:noProof/>
          <w:lang w:val="en-US"/>
        </w:rPr>
        <w:lastRenderedPageBreak/>
        <w:t xml:space="preserve">Supplementary </w:t>
      </w:r>
      <w:r w:rsidRPr="00D10F4A">
        <w:rPr>
          <w:b/>
          <w:bCs/>
          <w:noProof/>
          <w:lang w:val="en-US"/>
        </w:rPr>
        <w:t>Fig</w:t>
      </w:r>
      <w:r>
        <w:rPr>
          <w:b/>
          <w:bCs/>
          <w:noProof/>
          <w:lang w:val="en-US"/>
        </w:rPr>
        <w:t>ure</w:t>
      </w:r>
      <w:r w:rsidRPr="00D10F4A">
        <w:rPr>
          <w:b/>
          <w:bCs/>
          <w:noProof/>
          <w:lang w:val="en-US"/>
        </w:rPr>
        <w:t xml:space="preserve"> </w:t>
      </w:r>
      <w:r>
        <w:rPr>
          <w:b/>
          <w:bCs/>
          <w:noProof/>
          <w:lang w:val="en-US"/>
        </w:rPr>
        <w:t xml:space="preserve">3. </w:t>
      </w:r>
      <w:r w:rsidRPr="00D10F4A">
        <w:rPr>
          <w:rFonts w:cs="Arial"/>
          <w:lang w:val="en-US"/>
        </w:rPr>
        <w:t>Tannic acid-modified Ag/AuNPs of both 5 and 30 nm induce anti-viral response in HSV-1 infection better than unmodified NPs. Cytokine and chemokine expression in the TGs</w:t>
      </w:r>
      <w:r>
        <w:rPr>
          <w:rFonts w:cs="Arial"/>
          <w:lang w:val="en-US"/>
        </w:rPr>
        <w:t xml:space="preserve"> (A, B)</w:t>
      </w:r>
      <w:r w:rsidRPr="00D10F4A">
        <w:rPr>
          <w:rFonts w:cs="Arial"/>
          <w:lang w:val="en-US"/>
        </w:rPr>
        <w:t xml:space="preserve"> and brains </w:t>
      </w:r>
      <w:r>
        <w:rPr>
          <w:rFonts w:cs="Arial"/>
          <w:lang w:val="en-US"/>
        </w:rPr>
        <w:t xml:space="preserve">(C) </w:t>
      </w:r>
      <w:r w:rsidRPr="00D10F4A">
        <w:rPr>
          <w:rFonts w:cs="Arial"/>
          <w:lang w:val="en-US"/>
        </w:rPr>
        <w:t xml:space="preserve">at </w:t>
      </w:r>
      <w:r>
        <w:rPr>
          <w:rFonts w:cs="Arial"/>
          <w:lang w:val="en-US"/>
        </w:rPr>
        <w:t xml:space="preserve">3 and </w:t>
      </w:r>
      <w:r w:rsidRPr="00D10F4A">
        <w:rPr>
          <w:rFonts w:cs="Arial"/>
          <w:lang w:val="en-US"/>
        </w:rPr>
        <w:t xml:space="preserve">7 days p.i. after treatment with </w:t>
      </w:r>
      <w:r w:rsidRPr="00D10F4A">
        <w:rPr>
          <w:lang w:val="en-US"/>
        </w:rPr>
        <w:t xml:space="preserve">tannic acid-modified or unmodified </w:t>
      </w:r>
      <w:r w:rsidRPr="00D10F4A">
        <w:rPr>
          <w:rFonts w:cs="Arial"/>
          <w:lang w:val="en-US"/>
        </w:rPr>
        <w:t xml:space="preserve">5 nm AgNPs, 30 nm AgNPs, 5 nm AuNPs or </w:t>
      </w:r>
      <w:r>
        <w:rPr>
          <w:rFonts w:cs="Arial"/>
          <w:lang w:val="en-US"/>
        </w:rPr>
        <w:t xml:space="preserve">0.9% </w:t>
      </w:r>
      <w:r w:rsidRPr="00D10F4A">
        <w:rPr>
          <w:rFonts w:cs="Arial"/>
          <w:lang w:val="en-US"/>
        </w:rPr>
        <w:t>NaCl. Levels of IFN-</w:t>
      </w:r>
      <w:r>
        <w:rPr>
          <w:rFonts w:cs="Arial"/>
        </w:rPr>
        <w:sym w:font="Symbol" w:char="F067"/>
      </w:r>
      <w:r w:rsidRPr="00D10F4A">
        <w:rPr>
          <w:rFonts w:cs="Arial"/>
          <w:lang w:val="en-US"/>
        </w:rPr>
        <w:t>, CXCL9 and CXCL10 mRNAs are shown as expression relative to control based on the 2-∆∆Ct method. N = 7. * Represents significant differences with p ≤ 0.05, ** p ≤ 0.01 in comparison to uninfected tissues.</w:t>
      </w:r>
    </w:p>
    <w:p w14:paraId="6C1E0DD2" w14:textId="77777777" w:rsidR="00487DE3" w:rsidRDefault="00487DE3" w:rsidP="00487DE3">
      <w:pPr>
        <w:rPr>
          <w:b/>
          <w:bCs/>
          <w:noProof/>
          <w:lang w:val="en-US"/>
        </w:rPr>
      </w:pPr>
    </w:p>
    <w:p w14:paraId="218C8D84" w14:textId="30EF6C64" w:rsidR="00487DE3" w:rsidRPr="00D10F4A" w:rsidRDefault="00487DE3" w:rsidP="00487DE3">
      <w:pPr>
        <w:rPr>
          <w:b/>
          <w:bCs/>
          <w:lang w:val="en-US"/>
        </w:rPr>
      </w:pPr>
      <w:r>
        <w:rPr>
          <w:b/>
          <w:bCs/>
          <w:noProof/>
          <w:lang w:val="en-US"/>
        </w:rPr>
        <w:t xml:space="preserve">Supplementary </w:t>
      </w:r>
      <w:r w:rsidRPr="00D10F4A">
        <w:rPr>
          <w:b/>
          <w:bCs/>
          <w:noProof/>
          <w:lang w:val="en-US"/>
        </w:rPr>
        <w:t>Fig</w:t>
      </w:r>
      <w:r>
        <w:rPr>
          <w:b/>
          <w:bCs/>
          <w:noProof/>
          <w:lang w:val="en-US"/>
        </w:rPr>
        <w:t>ure</w:t>
      </w:r>
      <w:r w:rsidRPr="00D10F4A">
        <w:rPr>
          <w:b/>
          <w:bCs/>
          <w:noProof/>
          <w:lang w:val="en-US"/>
        </w:rPr>
        <w:t xml:space="preserve"> </w:t>
      </w:r>
      <w:r>
        <w:rPr>
          <w:b/>
          <w:bCs/>
          <w:noProof/>
          <w:lang w:val="en-US"/>
        </w:rPr>
        <w:t>4</w:t>
      </w:r>
    </w:p>
    <w:p w14:paraId="57FD91F1" w14:textId="2B01559C" w:rsidR="00487DE3" w:rsidRPr="00487DE3" w:rsidRDefault="00487DE3" w:rsidP="00487DE3">
      <w:pPr>
        <w:rPr>
          <w:noProof/>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478"/>
      </w:tblGrid>
      <w:tr w:rsidR="00487DE3" w:rsidRPr="00487DE3" w14:paraId="13D5DB84" w14:textId="77777777" w:rsidTr="00487DE3">
        <w:trPr>
          <w:jc w:val="center"/>
        </w:trPr>
        <w:tc>
          <w:tcPr>
            <w:tcW w:w="4593" w:type="dxa"/>
            <w:hideMark/>
          </w:tcPr>
          <w:p w14:paraId="35D4A9F0" w14:textId="1D706097" w:rsidR="00487DE3" w:rsidRPr="00487DE3" w:rsidRDefault="00487DE3" w:rsidP="00487DE3">
            <w:pPr>
              <w:spacing w:after="160" w:line="259" w:lineRule="auto"/>
              <w:rPr>
                <w:b/>
                <w:bCs/>
                <w:noProof/>
              </w:rPr>
            </w:pPr>
            <w:r w:rsidRPr="00487DE3">
              <w:rPr>
                <w:b/>
                <w:bCs/>
                <w:noProof/>
              </w:rPr>
              <w:drawing>
                <wp:inline distT="0" distB="0" distL="0" distR="0" wp14:anchorId="0369AA71" wp14:editId="5DF429C8">
                  <wp:extent cx="2695575" cy="1438275"/>
                  <wp:effectExtent l="0" t="0" r="9525" b="9525"/>
                  <wp:docPr id="2108107378" name="Obraz 8" descr="Obraz zawierający tekst, linia, Wykres, diagram&#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07378" name="Obraz 8" descr="Obraz zawierający tekst, linia, Wykres, diagram&#10;&#10;Zawartość wygenerowana przez sztuczną inteligencję może być niepopraw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1438275"/>
                          </a:xfrm>
                          <a:prstGeom prst="rect">
                            <a:avLst/>
                          </a:prstGeom>
                          <a:noFill/>
                          <a:ln>
                            <a:noFill/>
                          </a:ln>
                        </pic:spPr>
                      </pic:pic>
                    </a:graphicData>
                  </a:graphic>
                </wp:inline>
              </w:drawing>
            </w:r>
          </w:p>
        </w:tc>
        <w:tc>
          <w:tcPr>
            <w:tcW w:w="4479" w:type="dxa"/>
            <w:hideMark/>
          </w:tcPr>
          <w:p w14:paraId="3A8823E5" w14:textId="353E2A86" w:rsidR="00487DE3" w:rsidRPr="00487DE3" w:rsidRDefault="00487DE3" w:rsidP="00487DE3">
            <w:pPr>
              <w:spacing w:after="160" w:line="259" w:lineRule="auto"/>
              <w:rPr>
                <w:b/>
                <w:bCs/>
                <w:noProof/>
              </w:rPr>
            </w:pPr>
            <w:r w:rsidRPr="00487DE3">
              <w:rPr>
                <w:b/>
                <w:bCs/>
                <w:noProof/>
              </w:rPr>
              <w:drawing>
                <wp:inline distT="0" distB="0" distL="0" distR="0" wp14:anchorId="07BC6761" wp14:editId="3D60C076">
                  <wp:extent cx="2819400" cy="1438275"/>
                  <wp:effectExtent l="0" t="0" r="0" b="9525"/>
                  <wp:docPr id="1723849539" name="Obraz 7" descr="Obraz zawierający tekst, Wykres, lini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49539" name="Obraz 7" descr="Obraz zawierający tekst, Wykres, linia, zrzut ekranu&#10;&#10;Zawartość wygenerowana przez sztuczną inteligencję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1438275"/>
                          </a:xfrm>
                          <a:prstGeom prst="rect">
                            <a:avLst/>
                          </a:prstGeom>
                          <a:noFill/>
                          <a:ln>
                            <a:noFill/>
                          </a:ln>
                        </pic:spPr>
                      </pic:pic>
                    </a:graphicData>
                  </a:graphic>
                </wp:inline>
              </w:drawing>
            </w:r>
          </w:p>
        </w:tc>
      </w:tr>
      <w:tr w:rsidR="00487DE3" w:rsidRPr="00487DE3" w14:paraId="5F99A41D" w14:textId="77777777" w:rsidTr="00487DE3">
        <w:trPr>
          <w:jc w:val="center"/>
        </w:trPr>
        <w:tc>
          <w:tcPr>
            <w:tcW w:w="4593" w:type="dxa"/>
            <w:hideMark/>
          </w:tcPr>
          <w:p w14:paraId="0E5309D5" w14:textId="77777777" w:rsidR="00487DE3" w:rsidRPr="00487DE3" w:rsidRDefault="00487DE3" w:rsidP="00487DE3">
            <w:pPr>
              <w:spacing w:after="160" w:line="259" w:lineRule="auto"/>
              <w:rPr>
                <w:b/>
                <w:bCs/>
                <w:noProof/>
              </w:rPr>
            </w:pPr>
            <w:r w:rsidRPr="00487DE3">
              <w:rPr>
                <w:b/>
                <w:bCs/>
                <w:noProof/>
              </w:rPr>
              <w:t>(a)</w:t>
            </w:r>
          </w:p>
        </w:tc>
        <w:tc>
          <w:tcPr>
            <w:tcW w:w="4479" w:type="dxa"/>
            <w:hideMark/>
          </w:tcPr>
          <w:p w14:paraId="22ACF0AB" w14:textId="77777777" w:rsidR="00487DE3" w:rsidRPr="00487DE3" w:rsidRDefault="00487DE3" w:rsidP="00487DE3">
            <w:pPr>
              <w:spacing w:after="160" w:line="259" w:lineRule="auto"/>
              <w:rPr>
                <w:b/>
                <w:bCs/>
                <w:noProof/>
              </w:rPr>
            </w:pPr>
            <w:r w:rsidRPr="00487DE3">
              <w:rPr>
                <w:b/>
                <w:bCs/>
                <w:noProof/>
              </w:rPr>
              <w:t>(b)</w:t>
            </w:r>
          </w:p>
        </w:tc>
      </w:tr>
      <w:tr w:rsidR="00487DE3" w:rsidRPr="00487DE3" w14:paraId="5D774D96" w14:textId="77777777" w:rsidTr="00487DE3">
        <w:trPr>
          <w:jc w:val="center"/>
        </w:trPr>
        <w:tc>
          <w:tcPr>
            <w:tcW w:w="4593" w:type="dxa"/>
            <w:hideMark/>
          </w:tcPr>
          <w:p w14:paraId="2439DE21" w14:textId="74878422" w:rsidR="00487DE3" w:rsidRPr="00487DE3" w:rsidRDefault="00487DE3" w:rsidP="00487DE3">
            <w:pPr>
              <w:spacing w:after="160" w:line="259" w:lineRule="auto"/>
              <w:rPr>
                <w:b/>
                <w:bCs/>
                <w:noProof/>
              </w:rPr>
            </w:pPr>
            <w:r w:rsidRPr="00487DE3">
              <w:rPr>
                <w:b/>
                <w:bCs/>
                <w:noProof/>
              </w:rPr>
              <w:drawing>
                <wp:inline distT="0" distB="0" distL="0" distR="0" wp14:anchorId="61D69BCC" wp14:editId="40B6BC40">
                  <wp:extent cx="2895600" cy="1438275"/>
                  <wp:effectExtent l="0" t="0" r="0" b="9525"/>
                  <wp:docPr id="385602986" name="Obraz 6" descr="Obraz zawierający tekst, Wykres, zrzut ekranu,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02986" name="Obraz 6" descr="Obraz zawierający tekst, Wykres, zrzut ekranu, linia&#10;&#10;Zawartość wygenerowana przez sztuczną inteligencję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600" cy="1438275"/>
                          </a:xfrm>
                          <a:prstGeom prst="rect">
                            <a:avLst/>
                          </a:prstGeom>
                          <a:noFill/>
                          <a:ln>
                            <a:noFill/>
                          </a:ln>
                        </pic:spPr>
                      </pic:pic>
                    </a:graphicData>
                  </a:graphic>
                </wp:inline>
              </w:drawing>
            </w:r>
          </w:p>
        </w:tc>
        <w:tc>
          <w:tcPr>
            <w:tcW w:w="4479" w:type="dxa"/>
            <w:hideMark/>
          </w:tcPr>
          <w:p w14:paraId="5B0B598D" w14:textId="1BE6EEBF" w:rsidR="00487DE3" w:rsidRPr="00487DE3" w:rsidRDefault="00487DE3" w:rsidP="00487DE3">
            <w:pPr>
              <w:spacing w:after="160" w:line="259" w:lineRule="auto"/>
              <w:rPr>
                <w:b/>
                <w:bCs/>
                <w:noProof/>
              </w:rPr>
            </w:pPr>
            <w:r w:rsidRPr="00487DE3">
              <w:rPr>
                <w:b/>
                <w:bCs/>
                <w:noProof/>
              </w:rPr>
              <w:drawing>
                <wp:inline distT="0" distB="0" distL="0" distR="0" wp14:anchorId="0123DDB8" wp14:editId="14D000FE">
                  <wp:extent cx="2695575" cy="1438275"/>
                  <wp:effectExtent l="0" t="0" r="9525" b="9525"/>
                  <wp:docPr id="272228045" name="Obraz 5" descr="Obraz zawierający tekst, Wykres, linia, diagram&#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8045" name="Obraz 5" descr="Obraz zawierający tekst, Wykres, linia, diagram&#10;&#10;Zawartość wygenerowana przez sztuczną inteligencję może być niepopraw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575" cy="1438275"/>
                          </a:xfrm>
                          <a:prstGeom prst="rect">
                            <a:avLst/>
                          </a:prstGeom>
                          <a:noFill/>
                          <a:ln>
                            <a:noFill/>
                          </a:ln>
                        </pic:spPr>
                      </pic:pic>
                    </a:graphicData>
                  </a:graphic>
                </wp:inline>
              </w:drawing>
            </w:r>
          </w:p>
        </w:tc>
      </w:tr>
      <w:tr w:rsidR="00487DE3" w:rsidRPr="00487DE3" w14:paraId="3067F539" w14:textId="77777777" w:rsidTr="00487DE3">
        <w:trPr>
          <w:jc w:val="center"/>
        </w:trPr>
        <w:tc>
          <w:tcPr>
            <w:tcW w:w="4593" w:type="dxa"/>
            <w:hideMark/>
          </w:tcPr>
          <w:p w14:paraId="44E86BC1" w14:textId="77777777" w:rsidR="00487DE3" w:rsidRPr="00487DE3" w:rsidRDefault="00487DE3" w:rsidP="00487DE3">
            <w:pPr>
              <w:spacing w:after="160" w:line="259" w:lineRule="auto"/>
              <w:rPr>
                <w:b/>
                <w:bCs/>
                <w:noProof/>
                <w:lang w:val="en-GB"/>
              </w:rPr>
            </w:pPr>
            <w:r w:rsidRPr="00487DE3">
              <w:rPr>
                <w:b/>
                <w:bCs/>
                <w:noProof/>
                <w:lang w:val="en-GB"/>
              </w:rPr>
              <w:t>(c)</w:t>
            </w:r>
          </w:p>
        </w:tc>
        <w:tc>
          <w:tcPr>
            <w:tcW w:w="4479" w:type="dxa"/>
            <w:hideMark/>
          </w:tcPr>
          <w:p w14:paraId="237A930C" w14:textId="77777777" w:rsidR="00487DE3" w:rsidRPr="00487DE3" w:rsidRDefault="00487DE3" w:rsidP="00487DE3">
            <w:pPr>
              <w:spacing w:after="160" w:line="259" w:lineRule="auto"/>
              <w:rPr>
                <w:b/>
                <w:bCs/>
                <w:noProof/>
              </w:rPr>
            </w:pPr>
            <w:r w:rsidRPr="00487DE3">
              <w:rPr>
                <w:b/>
                <w:bCs/>
                <w:noProof/>
              </w:rPr>
              <w:t>(d)</w:t>
            </w:r>
          </w:p>
        </w:tc>
      </w:tr>
      <w:tr w:rsidR="00487DE3" w:rsidRPr="00487DE3" w14:paraId="294E33E8" w14:textId="77777777" w:rsidTr="00487DE3">
        <w:trPr>
          <w:jc w:val="center"/>
        </w:trPr>
        <w:tc>
          <w:tcPr>
            <w:tcW w:w="9072" w:type="dxa"/>
            <w:gridSpan w:val="2"/>
            <w:hideMark/>
          </w:tcPr>
          <w:p w14:paraId="1F375896" w14:textId="4B244BD7" w:rsidR="00487DE3" w:rsidRPr="00487DE3" w:rsidRDefault="00487DE3" w:rsidP="00487DE3">
            <w:pPr>
              <w:spacing w:after="160" w:line="259" w:lineRule="auto"/>
              <w:rPr>
                <w:b/>
                <w:bCs/>
                <w:noProof/>
                <w:lang w:val="en-GB"/>
              </w:rPr>
            </w:pPr>
            <w:r w:rsidRPr="00487DE3">
              <w:rPr>
                <w:b/>
                <w:bCs/>
                <w:noProof/>
                <w:lang w:val="en-US"/>
              </w:rPr>
              <w:t>Supplementary</w:t>
            </w:r>
            <w:r w:rsidRPr="00487DE3">
              <w:rPr>
                <w:b/>
                <w:bCs/>
                <w:noProof/>
                <w:lang w:val="en-GB"/>
              </w:rPr>
              <w:t xml:space="preserve"> Figure</w:t>
            </w:r>
            <w:r>
              <w:rPr>
                <w:b/>
                <w:bCs/>
                <w:noProof/>
                <w:lang w:val="en-GB"/>
              </w:rPr>
              <w:t xml:space="preserve"> 4</w:t>
            </w:r>
            <w:r w:rsidRPr="00487DE3">
              <w:rPr>
                <w:b/>
                <w:bCs/>
                <w:noProof/>
                <w:lang w:val="en-GB"/>
              </w:rPr>
              <w:t xml:space="preserve">. </w:t>
            </w:r>
            <w:r w:rsidRPr="00487DE3">
              <w:rPr>
                <w:noProof/>
                <w:lang w:val="en-GB"/>
              </w:rPr>
              <w:t>DLS size distribution histogram of TA-AgNPs colloid stored at different conditions: colloid stored in transparent vial at sunlight (a); colloid stored in dark vial at sunlight (b); colloid stored in darkness (c); colloid stored with access of oxygen from the air (d); tests carried directly after TA-AgNPs colloid preparation (t</w:t>
            </w:r>
            <w:r w:rsidRPr="00487DE3">
              <w:rPr>
                <w:noProof/>
                <w:vertAlign w:val="subscript"/>
                <w:lang w:val="en-GB"/>
              </w:rPr>
              <w:t>o</w:t>
            </w:r>
            <w:r w:rsidRPr="00487DE3">
              <w:rPr>
                <w:noProof/>
                <w:lang w:val="en-GB"/>
              </w:rPr>
              <w:t>) and after 7 (t</w:t>
            </w:r>
            <w:r w:rsidRPr="00487DE3">
              <w:rPr>
                <w:noProof/>
                <w:vertAlign w:val="subscript"/>
                <w:lang w:val="en-GB"/>
              </w:rPr>
              <w:t>7</w:t>
            </w:r>
            <w:r w:rsidRPr="00487DE3">
              <w:rPr>
                <w:noProof/>
                <w:lang w:val="en-GB"/>
              </w:rPr>
              <w:t>), 14 (t</w:t>
            </w:r>
            <w:r w:rsidRPr="00487DE3">
              <w:rPr>
                <w:noProof/>
                <w:vertAlign w:val="subscript"/>
                <w:lang w:val="en-GB"/>
              </w:rPr>
              <w:t>14</w:t>
            </w:r>
            <w:r w:rsidRPr="00487DE3">
              <w:rPr>
                <w:noProof/>
                <w:lang w:val="en-GB"/>
              </w:rPr>
              <w:t>), 21 (t</w:t>
            </w:r>
            <w:r w:rsidRPr="00487DE3">
              <w:rPr>
                <w:noProof/>
                <w:vertAlign w:val="subscript"/>
                <w:lang w:val="en-GB"/>
              </w:rPr>
              <w:t>21</w:t>
            </w:r>
            <w:r w:rsidRPr="00487DE3">
              <w:rPr>
                <w:noProof/>
                <w:lang w:val="en-GB"/>
              </w:rPr>
              <w:t>), 28 (t</w:t>
            </w:r>
            <w:r w:rsidRPr="00487DE3">
              <w:rPr>
                <w:noProof/>
                <w:vertAlign w:val="subscript"/>
                <w:lang w:val="en-GB"/>
              </w:rPr>
              <w:t>28</w:t>
            </w:r>
            <w:r w:rsidRPr="00487DE3">
              <w:rPr>
                <w:noProof/>
                <w:lang w:val="en-GB"/>
              </w:rPr>
              <w:t>), and after 35 days (t</w:t>
            </w:r>
            <w:r w:rsidRPr="00487DE3">
              <w:rPr>
                <w:noProof/>
                <w:vertAlign w:val="subscript"/>
                <w:lang w:val="en-GB"/>
              </w:rPr>
              <w:t>35</w:t>
            </w:r>
            <w:r w:rsidRPr="00487DE3">
              <w:rPr>
                <w:noProof/>
                <w:lang w:val="en-GB"/>
              </w:rPr>
              <w:t>) of storage in specific conditions.</w:t>
            </w:r>
          </w:p>
        </w:tc>
      </w:tr>
    </w:tbl>
    <w:p w14:paraId="382A14B6" w14:textId="77777777" w:rsidR="00487DE3" w:rsidRPr="00487DE3" w:rsidRDefault="00487DE3" w:rsidP="00487DE3">
      <w:pPr>
        <w:rPr>
          <w:b/>
          <w:bCs/>
          <w:noProof/>
          <w:lang w:val="en-GB"/>
        </w:rPr>
      </w:pPr>
    </w:p>
    <w:p w14:paraId="41696442" w14:textId="77777777" w:rsidR="00487DE3" w:rsidRPr="00487DE3" w:rsidRDefault="00487DE3" w:rsidP="00487DE3">
      <w:pPr>
        <w:rPr>
          <w:noProof/>
          <w:lang w:val="en-GB"/>
        </w:rPr>
      </w:pPr>
      <w:r w:rsidRPr="00487DE3">
        <w:rPr>
          <w:noProof/>
          <w:lang w:val="en-US"/>
        </w:rPr>
        <w:t>The stability of nanoparticles under different storage conditions depends mainly on the type of modifier present on the surface of the nanoparticles. Our studies clearly indicate that the use of tannic acid provides AgNPs long-term colloidal stability.</w:t>
      </w:r>
    </w:p>
    <w:p w14:paraId="1086720B" w14:textId="1345C02D" w:rsidR="0028665E" w:rsidRDefault="0028665E" w:rsidP="00C77571">
      <w:pPr>
        <w:rPr>
          <w:b/>
          <w:bCs/>
          <w:noProof/>
        </w:rPr>
      </w:pPr>
    </w:p>
    <w:p w14:paraId="7CFF2DE7" w14:textId="77777777" w:rsidR="007A75BF" w:rsidRDefault="007A75BF" w:rsidP="00001901">
      <w:pPr>
        <w:rPr>
          <w:b/>
          <w:bCs/>
          <w:noProof/>
          <w:lang w:val="en-US"/>
        </w:rPr>
      </w:pPr>
    </w:p>
    <w:p w14:paraId="254615F7" w14:textId="77777777" w:rsidR="007A75BF" w:rsidRDefault="007A75BF" w:rsidP="00001901">
      <w:pPr>
        <w:rPr>
          <w:b/>
          <w:bCs/>
          <w:noProof/>
          <w:lang w:val="en-US"/>
        </w:rPr>
      </w:pPr>
    </w:p>
    <w:p w14:paraId="7853ACAC" w14:textId="1FF98123" w:rsidR="00AE6BAC" w:rsidRDefault="007A75BF" w:rsidP="00001901">
      <w:pPr>
        <w:rPr>
          <w:b/>
          <w:bCs/>
          <w:noProof/>
          <w:lang w:val="en-US"/>
        </w:rPr>
      </w:pPr>
      <w:r>
        <w:rPr>
          <w:b/>
          <w:bCs/>
          <w:noProof/>
          <w:lang w:val="en-US"/>
        </w:rPr>
        <w:lastRenderedPageBreak/>
        <w:t xml:space="preserve">Supplementary </w:t>
      </w:r>
      <w:r w:rsidRPr="00D10F4A">
        <w:rPr>
          <w:b/>
          <w:bCs/>
          <w:noProof/>
          <w:lang w:val="en-US"/>
        </w:rPr>
        <w:t>Fig</w:t>
      </w:r>
      <w:r>
        <w:rPr>
          <w:b/>
          <w:bCs/>
          <w:noProof/>
          <w:lang w:val="en-US"/>
        </w:rPr>
        <w:t>ure</w:t>
      </w:r>
      <w:r w:rsidRPr="00D10F4A">
        <w:rPr>
          <w:b/>
          <w:bCs/>
          <w:noProof/>
          <w:lang w:val="en-US"/>
        </w:rPr>
        <w:t xml:space="preserve"> </w:t>
      </w:r>
      <w:r>
        <w:rPr>
          <w:b/>
          <w:bCs/>
          <w:noProof/>
          <w:lang w:val="en-US"/>
        </w:rPr>
        <w:t>5</w:t>
      </w:r>
    </w:p>
    <w:p w14:paraId="2AB1B015" w14:textId="77777777" w:rsidR="007A75BF" w:rsidRDefault="007A75BF" w:rsidP="00001901">
      <w:pPr>
        <w:rPr>
          <w:b/>
          <w:bCs/>
          <w:noProof/>
          <w:lang w:val="en-US"/>
        </w:rPr>
      </w:pPr>
    </w:p>
    <w:p w14:paraId="54A5FB7B" w14:textId="211D6398" w:rsidR="007A75BF" w:rsidRDefault="00F71350" w:rsidP="00001901">
      <w:pPr>
        <w:rPr>
          <w:rFonts w:cs="Arial"/>
          <w:lang w:val="en-US"/>
        </w:rPr>
      </w:pPr>
      <w:r>
        <w:rPr>
          <w:rFonts w:cs="Arial"/>
          <w:noProof/>
          <w:lang w:val="en-US"/>
        </w:rPr>
        <w:drawing>
          <wp:inline distT="0" distB="0" distL="0" distR="0" wp14:anchorId="7F827E47" wp14:editId="4E9DFED1">
            <wp:extent cx="4209288" cy="1271016"/>
            <wp:effectExtent l="0" t="0" r="1270" b="5715"/>
            <wp:docPr id="597483316" name="Obraz 10" descr="Obraz zawierający szkic, zrzut ekranu, kreskówka, sztu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83316" name="Obraz 10" descr="Obraz zawierający szkic, zrzut ekranu, kreskówka, sztuka&#10;&#10;Zawartość wygenerowana przez sztuczną inteligencję może być niepoprawn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09288" cy="1271016"/>
                    </a:xfrm>
                    <a:prstGeom prst="rect">
                      <a:avLst/>
                    </a:prstGeom>
                  </pic:spPr>
                </pic:pic>
              </a:graphicData>
            </a:graphic>
          </wp:inline>
        </w:drawing>
      </w:r>
    </w:p>
    <w:p w14:paraId="67FE7EDD" w14:textId="38986725" w:rsidR="001A6D8A" w:rsidRPr="00640DA2" w:rsidRDefault="00640DA2" w:rsidP="00582799">
      <w:pPr>
        <w:rPr>
          <w:rFonts w:cs="Arial"/>
          <w:lang w:val="en-US"/>
        </w:rPr>
      </w:pPr>
      <w:r>
        <w:rPr>
          <w:b/>
          <w:bCs/>
          <w:noProof/>
          <w:lang w:val="en-US"/>
        </w:rPr>
        <w:t xml:space="preserve">Supplementary </w:t>
      </w:r>
      <w:r w:rsidRPr="00D10F4A">
        <w:rPr>
          <w:b/>
          <w:bCs/>
          <w:noProof/>
          <w:lang w:val="en-US"/>
        </w:rPr>
        <w:t>Fig</w:t>
      </w:r>
      <w:r>
        <w:rPr>
          <w:b/>
          <w:bCs/>
          <w:noProof/>
          <w:lang w:val="en-US"/>
        </w:rPr>
        <w:t>ure</w:t>
      </w:r>
      <w:r w:rsidRPr="00D10F4A">
        <w:rPr>
          <w:b/>
          <w:bCs/>
          <w:noProof/>
          <w:lang w:val="en-US"/>
        </w:rPr>
        <w:t xml:space="preserve"> </w:t>
      </w:r>
      <w:r>
        <w:rPr>
          <w:b/>
          <w:bCs/>
          <w:noProof/>
          <w:lang w:val="en-US"/>
        </w:rPr>
        <w:t xml:space="preserve">5. </w:t>
      </w:r>
      <w:r w:rsidR="001A6D8A" w:rsidRPr="004C656E">
        <w:rPr>
          <w:lang w:val="en-GB"/>
        </w:rPr>
        <w:t xml:space="preserve">Mucosal tissue upon treatment </w:t>
      </w:r>
      <w:r w:rsidR="004C656E" w:rsidRPr="004C656E">
        <w:rPr>
          <w:lang w:val="en-GB"/>
        </w:rPr>
        <w:t>with different</w:t>
      </w:r>
      <w:r w:rsidR="001A6D8A" w:rsidRPr="004C656E">
        <w:rPr>
          <w:lang w:val="en-GB"/>
        </w:rPr>
        <w:t xml:space="preserve"> doses of 30 nm TA-AgNPs. The vaginal </w:t>
      </w:r>
      <w:r w:rsidR="00F71350" w:rsidRPr="004C656E">
        <w:rPr>
          <w:lang w:val="en-GB"/>
        </w:rPr>
        <w:t>m</w:t>
      </w:r>
      <w:r w:rsidR="001A6D8A" w:rsidRPr="004C656E">
        <w:rPr>
          <w:lang w:val="en-GB"/>
        </w:rPr>
        <w:t xml:space="preserve">ucosal tissue was treated 3 times every 24h with 100 ul of NaCl (control), 100 ul of 10 </w:t>
      </w:r>
      <w:r w:rsidR="001A6D8A" w:rsidRPr="004C656E">
        <w:rPr>
          <w:lang w:val="en-GB"/>
        </w:rPr>
        <w:sym w:font="Symbol" w:char="F06D"/>
      </w:r>
      <w:r w:rsidR="001A6D8A" w:rsidRPr="004C656E">
        <w:rPr>
          <w:lang w:val="en-GB"/>
        </w:rPr>
        <w:t xml:space="preserve">g/ml (middle photo), and 100 ul of 100 </w:t>
      </w:r>
      <w:r w:rsidR="001A6D8A" w:rsidRPr="004C656E">
        <w:rPr>
          <w:lang w:val="en-GB"/>
        </w:rPr>
        <w:sym w:font="Symbol" w:char="F06D"/>
      </w:r>
      <w:r w:rsidR="001A6D8A" w:rsidRPr="004C656E">
        <w:rPr>
          <w:lang w:val="en-GB"/>
        </w:rPr>
        <w:t xml:space="preserve">g/ml TA-AgNPs (right photo). After 24 hours from the last treatment tissues were subjected to paraffin processing, followed by classical histopathological procedures. Slides were stained with </w:t>
      </w:r>
      <w:r w:rsidR="004C656E" w:rsidRPr="004C656E">
        <w:rPr>
          <w:lang w:val="en-GB"/>
        </w:rPr>
        <w:t>haematoxylin</w:t>
      </w:r>
      <w:r w:rsidR="001A6D8A" w:rsidRPr="004C656E">
        <w:rPr>
          <w:lang w:val="en-GB"/>
        </w:rPr>
        <w:t xml:space="preserve">-eosin (HE) and subjected to histological analysis. </w:t>
      </w:r>
      <w:r w:rsidR="00F71350" w:rsidRPr="004C656E">
        <w:rPr>
          <w:lang w:val="en-GB"/>
        </w:rPr>
        <w:t xml:space="preserve">Application of the lower dose (10 </w:t>
      </w:r>
      <w:r w:rsidR="00F71350" w:rsidRPr="004C656E">
        <w:rPr>
          <w:lang w:val="en-GB"/>
        </w:rPr>
        <w:sym w:font="Symbol" w:char="F06D"/>
      </w:r>
      <w:r w:rsidR="00F71350" w:rsidRPr="004C656E">
        <w:rPr>
          <w:lang w:val="en-GB"/>
        </w:rPr>
        <w:t xml:space="preserve">g/ml) led to increased infiltration of monocytes with no other signs of local toxicity (black arrows), while the higher dose (100 </w:t>
      </w:r>
      <w:r w:rsidR="00F71350" w:rsidRPr="004C656E">
        <w:rPr>
          <w:lang w:val="en-GB"/>
        </w:rPr>
        <w:sym w:font="Symbol" w:char="F06D"/>
      </w:r>
      <w:r w:rsidR="00F71350" w:rsidRPr="004C656E">
        <w:rPr>
          <w:lang w:val="en-GB"/>
        </w:rPr>
        <w:t>g/ml) cause increased inflammatory reaction accompanied by acanthosis of the epithelial tissue (red arrows), which strongly influenced fun</w:t>
      </w:r>
      <w:r w:rsidR="004C656E" w:rsidRPr="004C656E">
        <w:rPr>
          <w:lang w:val="en-GB"/>
        </w:rPr>
        <w:t>c</w:t>
      </w:r>
      <w:r w:rsidR="00F71350" w:rsidRPr="004C656E">
        <w:rPr>
          <w:lang w:val="en-GB"/>
        </w:rPr>
        <w:t>tionality of the mucosal tissue</w:t>
      </w:r>
      <w:r w:rsidR="00F71350">
        <w:rPr>
          <w:noProof/>
          <w:lang w:val="en-US"/>
        </w:rPr>
        <w:t xml:space="preserve">. </w:t>
      </w:r>
    </w:p>
    <w:p w14:paraId="6A6F217D" w14:textId="77777777" w:rsidR="00F71350" w:rsidRDefault="00F71350" w:rsidP="00001901">
      <w:pPr>
        <w:rPr>
          <w:rFonts w:cs="Arial"/>
          <w:b/>
          <w:bCs/>
          <w:lang w:val="en-US"/>
        </w:rPr>
      </w:pPr>
    </w:p>
    <w:p w14:paraId="1A43B41C" w14:textId="0159E4C4" w:rsidR="00064309" w:rsidRPr="00D12313" w:rsidRDefault="00D12313" w:rsidP="00001901">
      <w:pPr>
        <w:rPr>
          <w:rFonts w:cs="Arial"/>
          <w:b/>
          <w:bCs/>
          <w:lang w:val="en-US"/>
        </w:rPr>
      </w:pPr>
      <w:r w:rsidRPr="00D12313">
        <w:rPr>
          <w:rFonts w:cs="Arial"/>
          <w:b/>
          <w:bCs/>
          <w:lang w:val="en-US"/>
        </w:rPr>
        <w:t xml:space="preserve">Supplementary </w:t>
      </w:r>
      <w:r w:rsidR="00AE6BAC" w:rsidRPr="00D12313">
        <w:rPr>
          <w:rFonts w:cs="Arial"/>
          <w:b/>
          <w:bCs/>
          <w:lang w:val="en-US"/>
        </w:rPr>
        <w:t xml:space="preserve">Table </w:t>
      </w:r>
      <w:r w:rsidR="003E7209">
        <w:rPr>
          <w:rFonts w:cs="Arial"/>
          <w:b/>
          <w:bCs/>
          <w:lang w:val="en-US"/>
        </w:rPr>
        <w:t>S</w:t>
      </w:r>
      <w:r w:rsidR="00AE6BAC" w:rsidRPr="00D12313">
        <w:rPr>
          <w:rFonts w:cs="Arial"/>
          <w:b/>
          <w:bCs/>
          <w:lang w:val="en-US"/>
        </w:rPr>
        <w:t>1</w:t>
      </w:r>
    </w:p>
    <w:p w14:paraId="4B10458D" w14:textId="4C8B6237" w:rsidR="00AE6BAC" w:rsidRDefault="00064309" w:rsidP="00001901">
      <w:pPr>
        <w:rPr>
          <w:rFonts w:cs="Arial"/>
          <w:lang w:val="en-US"/>
        </w:rPr>
      </w:pPr>
      <w:r>
        <w:rPr>
          <w:rFonts w:cs="Arial"/>
          <w:lang w:val="en-US"/>
        </w:rPr>
        <w:t>The list of antibodies used in the study</w:t>
      </w:r>
    </w:p>
    <w:p w14:paraId="0F6AA089" w14:textId="77777777" w:rsidR="00AE6BAC" w:rsidRDefault="00AE6BAC" w:rsidP="00001901">
      <w:pPr>
        <w:rPr>
          <w:rFonts w:cs="Arial"/>
          <w:lang w:val="en-US"/>
        </w:rPr>
      </w:pPr>
    </w:p>
    <w:tbl>
      <w:tblPr>
        <w:tblStyle w:val="TableGrid"/>
        <w:tblW w:w="0" w:type="auto"/>
        <w:tblLook w:val="04A0" w:firstRow="1" w:lastRow="0" w:firstColumn="1" w:lastColumn="0" w:noHBand="0" w:noVBand="1"/>
      </w:tblPr>
      <w:tblGrid>
        <w:gridCol w:w="2689"/>
        <w:gridCol w:w="2977"/>
        <w:gridCol w:w="2835"/>
      </w:tblGrid>
      <w:tr w:rsidR="00064309" w14:paraId="16A6AACC" w14:textId="59031283" w:rsidTr="00064309">
        <w:tc>
          <w:tcPr>
            <w:tcW w:w="2689" w:type="dxa"/>
          </w:tcPr>
          <w:p w14:paraId="23EBFEED" w14:textId="02646F44" w:rsidR="00064309" w:rsidRDefault="00064309" w:rsidP="00001901">
            <w:pPr>
              <w:rPr>
                <w:rFonts w:cs="Arial"/>
                <w:lang w:val="en-US"/>
              </w:rPr>
            </w:pPr>
            <w:r>
              <w:rPr>
                <w:rFonts w:cs="Arial"/>
                <w:lang w:val="en-US"/>
              </w:rPr>
              <w:t>Antigen</w:t>
            </w:r>
          </w:p>
        </w:tc>
        <w:tc>
          <w:tcPr>
            <w:tcW w:w="2977" w:type="dxa"/>
          </w:tcPr>
          <w:p w14:paraId="2F9F8B10" w14:textId="1E230194" w:rsidR="00064309" w:rsidRDefault="00064309" w:rsidP="00001901">
            <w:pPr>
              <w:rPr>
                <w:rFonts w:cs="Arial"/>
                <w:lang w:val="en-US"/>
              </w:rPr>
            </w:pPr>
            <w:r>
              <w:rPr>
                <w:rFonts w:cs="Arial"/>
                <w:lang w:val="en-US"/>
              </w:rPr>
              <w:t>Clone</w:t>
            </w:r>
          </w:p>
        </w:tc>
        <w:tc>
          <w:tcPr>
            <w:tcW w:w="2835" w:type="dxa"/>
          </w:tcPr>
          <w:p w14:paraId="65EA1982" w14:textId="5A48C5E1" w:rsidR="00064309" w:rsidRDefault="00064309" w:rsidP="00001901">
            <w:pPr>
              <w:rPr>
                <w:rFonts w:cs="Arial"/>
                <w:lang w:val="en-US"/>
              </w:rPr>
            </w:pPr>
            <w:r>
              <w:rPr>
                <w:rFonts w:cs="Arial"/>
                <w:lang w:val="en-US"/>
              </w:rPr>
              <w:t>Manufacturer</w:t>
            </w:r>
          </w:p>
        </w:tc>
      </w:tr>
      <w:tr w:rsidR="00064309" w14:paraId="1A076722" w14:textId="60E17BF9" w:rsidTr="00064309">
        <w:tc>
          <w:tcPr>
            <w:tcW w:w="2689" w:type="dxa"/>
          </w:tcPr>
          <w:p w14:paraId="12F3209D" w14:textId="7343FEFB" w:rsidR="00064309" w:rsidRDefault="00064309" w:rsidP="00001901">
            <w:pPr>
              <w:rPr>
                <w:rFonts w:cs="Arial"/>
                <w:lang w:val="en-US"/>
              </w:rPr>
            </w:pPr>
            <w:r>
              <w:t>anti-CD3-FITC</w:t>
            </w:r>
          </w:p>
        </w:tc>
        <w:tc>
          <w:tcPr>
            <w:tcW w:w="2977" w:type="dxa"/>
          </w:tcPr>
          <w:p w14:paraId="1436EBF9" w14:textId="02A326AD" w:rsidR="00064309" w:rsidRDefault="00064309" w:rsidP="00001901">
            <w:pPr>
              <w:rPr>
                <w:rFonts w:cs="Arial"/>
                <w:lang w:val="en-US"/>
              </w:rPr>
            </w:pPr>
            <w:r>
              <w:t>145-2C11</w:t>
            </w:r>
          </w:p>
        </w:tc>
        <w:tc>
          <w:tcPr>
            <w:tcW w:w="2835" w:type="dxa"/>
          </w:tcPr>
          <w:p w14:paraId="455DE0F0" w14:textId="31E59F6C" w:rsidR="00064309" w:rsidRDefault="00064309" w:rsidP="00001901">
            <w:pPr>
              <w:rPr>
                <w:rFonts w:cs="Arial"/>
                <w:lang w:val="en-US"/>
              </w:rPr>
            </w:pPr>
            <w:r>
              <w:t>ThermoFisher Scientific</w:t>
            </w:r>
          </w:p>
        </w:tc>
      </w:tr>
      <w:tr w:rsidR="00064309" w14:paraId="154B6DA0" w14:textId="3D8B3D17" w:rsidTr="00064309">
        <w:tc>
          <w:tcPr>
            <w:tcW w:w="2689" w:type="dxa"/>
          </w:tcPr>
          <w:p w14:paraId="290C3541" w14:textId="1244DD06" w:rsidR="00064309" w:rsidRDefault="00064309" w:rsidP="00001901">
            <w:pPr>
              <w:rPr>
                <w:rFonts w:cs="Arial"/>
                <w:lang w:val="en-US"/>
              </w:rPr>
            </w:pPr>
            <w:r>
              <w:t>anti-CD8-PE or BV421</w:t>
            </w:r>
          </w:p>
        </w:tc>
        <w:tc>
          <w:tcPr>
            <w:tcW w:w="2977" w:type="dxa"/>
          </w:tcPr>
          <w:p w14:paraId="5463D767" w14:textId="1C678D58" w:rsidR="00064309" w:rsidRDefault="00064309" w:rsidP="00001901">
            <w:pPr>
              <w:rPr>
                <w:rFonts w:cs="Arial"/>
                <w:lang w:val="en-US"/>
              </w:rPr>
            </w:pPr>
            <w:r>
              <w:t>53-6.7</w:t>
            </w:r>
          </w:p>
        </w:tc>
        <w:tc>
          <w:tcPr>
            <w:tcW w:w="2835" w:type="dxa"/>
          </w:tcPr>
          <w:p w14:paraId="21B37665" w14:textId="0E46DDD1" w:rsidR="00064309" w:rsidRDefault="00064309" w:rsidP="00001901">
            <w:pPr>
              <w:rPr>
                <w:rFonts w:cs="Arial"/>
                <w:lang w:val="en-US"/>
              </w:rPr>
            </w:pPr>
            <w:r>
              <w:t>BD Biosciences</w:t>
            </w:r>
          </w:p>
        </w:tc>
      </w:tr>
      <w:tr w:rsidR="00064309" w14:paraId="7DA2EA3B" w14:textId="7CD1CEC3" w:rsidTr="00064309">
        <w:tc>
          <w:tcPr>
            <w:tcW w:w="2689" w:type="dxa"/>
          </w:tcPr>
          <w:p w14:paraId="09B9597C" w14:textId="5209BC57" w:rsidR="00064309" w:rsidRDefault="00064309" w:rsidP="00001901">
            <w:pPr>
              <w:rPr>
                <w:rFonts w:cs="Arial"/>
                <w:lang w:val="en-US"/>
              </w:rPr>
            </w:pPr>
            <w:r>
              <w:t>anti- NK1.1-APC</w:t>
            </w:r>
          </w:p>
        </w:tc>
        <w:tc>
          <w:tcPr>
            <w:tcW w:w="2977" w:type="dxa"/>
          </w:tcPr>
          <w:p w14:paraId="26AAB307" w14:textId="7CA54E8F" w:rsidR="00064309" w:rsidRDefault="00064309" w:rsidP="00001901">
            <w:pPr>
              <w:rPr>
                <w:rFonts w:cs="Arial"/>
                <w:lang w:val="en-US"/>
              </w:rPr>
            </w:pPr>
            <w:r>
              <w:t>PK136</w:t>
            </w:r>
          </w:p>
        </w:tc>
        <w:tc>
          <w:tcPr>
            <w:tcW w:w="2835" w:type="dxa"/>
          </w:tcPr>
          <w:p w14:paraId="17F61963" w14:textId="3333ED2D" w:rsidR="00064309" w:rsidRDefault="00064309" w:rsidP="00001901">
            <w:pPr>
              <w:rPr>
                <w:rFonts w:cs="Arial"/>
                <w:lang w:val="en-US"/>
              </w:rPr>
            </w:pPr>
            <w:r>
              <w:t>BD Biosciences</w:t>
            </w:r>
          </w:p>
        </w:tc>
      </w:tr>
      <w:tr w:rsidR="00064309" w14:paraId="2B25CC83" w14:textId="77777777" w:rsidTr="00064309">
        <w:tc>
          <w:tcPr>
            <w:tcW w:w="2689" w:type="dxa"/>
          </w:tcPr>
          <w:p w14:paraId="1C17F154" w14:textId="36B05FF2" w:rsidR="00064309" w:rsidRDefault="00BA2026" w:rsidP="00001901">
            <w:pPr>
              <w:rPr>
                <w:rFonts w:cs="Arial"/>
                <w:lang w:val="en-US"/>
              </w:rPr>
            </w:pPr>
            <w:r>
              <w:t>anti-CD11b-PE</w:t>
            </w:r>
          </w:p>
        </w:tc>
        <w:tc>
          <w:tcPr>
            <w:tcW w:w="2977" w:type="dxa"/>
          </w:tcPr>
          <w:p w14:paraId="5D91DAF6" w14:textId="14410570" w:rsidR="00064309" w:rsidRDefault="00BA2026" w:rsidP="00001901">
            <w:pPr>
              <w:rPr>
                <w:rFonts w:cs="Arial"/>
                <w:lang w:val="en-US"/>
              </w:rPr>
            </w:pPr>
            <w:r>
              <w:t>RB6-8C5</w:t>
            </w:r>
          </w:p>
        </w:tc>
        <w:tc>
          <w:tcPr>
            <w:tcW w:w="2835" w:type="dxa"/>
          </w:tcPr>
          <w:p w14:paraId="3F89F917" w14:textId="6AA9B75C" w:rsidR="00064309" w:rsidRDefault="00BA2026" w:rsidP="00001901">
            <w:pPr>
              <w:rPr>
                <w:rFonts w:cs="Arial"/>
                <w:lang w:val="en-US"/>
              </w:rPr>
            </w:pPr>
            <w:r>
              <w:t>BD Biosciences</w:t>
            </w:r>
          </w:p>
        </w:tc>
      </w:tr>
      <w:tr w:rsidR="00064309" w14:paraId="6BE673E5" w14:textId="77777777" w:rsidTr="00064309">
        <w:tc>
          <w:tcPr>
            <w:tcW w:w="2689" w:type="dxa"/>
          </w:tcPr>
          <w:p w14:paraId="63012F3C" w14:textId="0533C43F" w:rsidR="00064309" w:rsidRDefault="00BA2026" w:rsidP="00001901">
            <w:pPr>
              <w:rPr>
                <w:rFonts w:cs="Arial"/>
                <w:lang w:val="en-US"/>
              </w:rPr>
            </w:pPr>
            <w:r>
              <w:t>anti-CD192-BV421</w:t>
            </w:r>
          </w:p>
        </w:tc>
        <w:tc>
          <w:tcPr>
            <w:tcW w:w="2977" w:type="dxa"/>
          </w:tcPr>
          <w:p w14:paraId="3F7DFF2B" w14:textId="6AAA7FF3" w:rsidR="00064309" w:rsidRDefault="00BA2026" w:rsidP="00001901">
            <w:pPr>
              <w:rPr>
                <w:rFonts w:cs="Arial"/>
                <w:lang w:val="en-US"/>
              </w:rPr>
            </w:pPr>
            <w:r>
              <w:t>475301</w:t>
            </w:r>
          </w:p>
        </w:tc>
        <w:tc>
          <w:tcPr>
            <w:tcW w:w="2835" w:type="dxa"/>
          </w:tcPr>
          <w:p w14:paraId="5FB2DD73" w14:textId="126D386C" w:rsidR="00064309" w:rsidRDefault="00BA2026" w:rsidP="00001901">
            <w:pPr>
              <w:rPr>
                <w:rFonts w:cs="Arial"/>
                <w:lang w:val="en-US"/>
              </w:rPr>
            </w:pPr>
            <w:r>
              <w:t>BD Biosciences</w:t>
            </w:r>
          </w:p>
        </w:tc>
      </w:tr>
      <w:tr w:rsidR="00064309" w14:paraId="32BD3C97" w14:textId="77777777" w:rsidTr="00064309">
        <w:tc>
          <w:tcPr>
            <w:tcW w:w="2689" w:type="dxa"/>
          </w:tcPr>
          <w:p w14:paraId="1134F746" w14:textId="19B05224" w:rsidR="00064309" w:rsidRDefault="00BA2026" w:rsidP="00001901">
            <w:pPr>
              <w:rPr>
                <w:rFonts w:cs="Arial"/>
                <w:lang w:val="en-US"/>
              </w:rPr>
            </w:pPr>
            <w:r>
              <w:t>anti-Ly6C-APC-Cy7</w:t>
            </w:r>
          </w:p>
        </w:tc>
        <w:tc>
          <w:tcPr>
            <w:tcW w:w="2977" w:type="dxa"/>
          </w:tcPr>
          <w:p w14:paraId="37FEE769" w14:textId="64716E63" w:rsidR="00064309" w:rsidRDefault="00BA2026" w:rsidP="00001901">
            <w:pPr>
              <w:rPr>
                <w:rFonts w:cs="Arial"/>
                <w:lang w:val="en-US"/>
              </w:rPr>
            </w:pPr>
            <w:r>
              <w:t>AL-21</w:t>
            </w:r>
          </w:p>
        </w:tc>
        <w:tc>
          <w:tcPr>
            <w:tcW w:w="2835" w:type="dxa"/>
          </w:tcPr>
          <w:p w14:paraId="49007CB6" w14:textId="0CFBB549" w:rsidR="00064309" w:rsidRDefault="00BA2026" w:rsidP="00001901">
            <w:pPr>
              <w:rPr>
                <w:rFonts w:cs="Arial"/>
                <w:lang w:val="en-US"/>
              </w:rPr>
            </w:pPr>
            <w:r>
              <w:t>BD Biosciences</w:t>
            </w:r>
          </w:p>
        </w:tc>
      </w:tr>
      <w:tr w:rsidR="00BA2026" w14:paraId="53E5C016" w14:textId="77777777" w:rsidTr="00064309">
        <w:tc>
          <w:tcPr>
            <w:tcW w:w="2689" w:type="dxa"/>
          </w:tcPr>
          <w:p w14:paraId="092084F4" w14:textId="5DE4D70F" w:rsidR="00BA2026" w:rsidRDefault="00BA2026" w:rsidP="00001901">
            <w:r>
              <w:t>anti-IBA-1-FITC</w:t>
            </w:r>
          </w:p>
        </w:tc>
        <w:tc>
          <w:tcPr>
            <w:tcW w:w="2977" w:type="dxa"/>
          </w:tcPr>
          <w:p w14:paraId="3F993C76" w14:textId="5AE606EF" w:rsidR="00BA2026" w:rsidRDefault="00BA2026" w:rsidP="00001901">
            <w:r>
              <w:t>EPR16588</w:t>
            </w:r>
          </w:p>
        </w:tc>
        <w:tc>
          <w:tcPr>
            <w:tcW w:w="2835" w:type="dxa"/>
          </w:tcPr>
          <w:p w14:paraId="74B16111" w14:textId="28045D07" w:rsidR="00BA2026" w:rsidRDefault="00BA2026" w:rsidP="00001901">
            <w:r>
              <w:t>Abcam</w:t>
            </w:r>
          </w:p>
        </w:tc>
      </w:tr>
      <w:tr w:rsidR="00BA2026" w14:paraId="7DEB9F0D" w14:textId="77777777" w:rsidTr="00064309">
        <w:tc>
          <w:tcPr>
            <w:tcW w:w="2689" w:type="dxa"/>
          </w:tcPr>
          <w:p w14:paraId="54F7BC56" w14:textId="3A595D56" w:rsidR="00BA2026" w:rsidRDefault="00BA2026" w:rsidP="00001901">
            <w:r>
              <w:t>anti-CD86-PE</w:t>
            </w:r>
          </w:p>
        </w:tc>
        <w:tc>
          <w:tcPr>
            <w:tcW w:w="2977" w:type="dxa"/>
          </w:tcPr>
          <w:p w14:paraId="3F010EC7" w14:textId="0A96C905" w:rsidR="00BA2026" w:rsidRDefault="00BA2026" w:rsidP="00001901">
            <w:r>
              <w:t>GL1</w:t>
            </w:r>
          </w:p>
        </w:tc>
        <w:tc>
          <w:tcPr>
            <w:tcW w:w="2835" w:type="dxa"/>
          </w:tcPr>
          <w:p w14:paraId="26A0B279" w14:textId="02AFCA0C" w:rsidR="00BA2026" w:rsidRDefault="00BA2026" w:rsidP="00001901">
            <w:r>
              <w:t>BD Biosciences</w:t>
            </w:r>
          </w:p>
        </w:tc>
      </w:tr>
      <w:tr w:rsidR="00BA2026" w14:paraId="033259F5" w14:textId="77777777" w:rsidTr="00064309">
        <w:tc>
          <w:tcPr>
            <w:tcW w:w="2689" w:type="dxa"/>
          </w:tcPr>
          <w:p w14:paraId="28600709" w14:textId="37B1F5F7" w:rsidR="00BA2026" w:rsidRDefault="00BA2026" w:rsidP="00001901">
            <w:r>
              <w:t>anti-CD206-APC</w:t>
            </w:r>
          </w:p>
        </w:tc>
        <w:tc>
          <w:tcPr>
            <w:tcW w:w="2977" w:type="dxa"/>
          </w:tcPr>
          <w:p w14:paraId="06FABD5D" w14:textId="5D978880" w:rsidR="00BA2026" w:rsidRDefault="00BA2026" w:rsidP="00001901">
            <w:r>
              <w:t>MMR</w:t>
            </w:r>
          </w:p>
        </w:tc>
        <w:tc>
          <w:tcPr>
            <w:tcW w:w="2835" w:type="dxa"/>
          </w:tcPr>
          <w:p w14:paraId="5C3F4B23" w14:textId="1297524C" w:rsidR="00BA2026" w:rsidRDefault="00BA2026" w:rsidP="00001901">
            <w:r>
              <w:t>ThermoFisher Scientific</w:t>
            </w:r>
          </w:p>
        </w:tc>
      </w:tr>
      <w:tr w:rsidR="00BA2026" w14:paraId="0E4AC9D4" w14:textId="77777777" w:rsidTr="00064309">
        <w:tc>
          <w:tcPr>
            <w:tcW w:w="2689" w:type="dxa"/>
          </w:tcPr>
          <w:p w14:paraId="46AD2A0C" w14:textId="7A2737B9" w:rsidR="00BA2026" w:rsidRDefault="00BA2026" w:rsidP="00001901">
            <w:r>
              <w:t>anti-CD69</w:t>
            </w:r>
            <w:r w:rsidR="004635A1">
              <w:t>-APC</w:t>
            </w:r>
          </w:p>
        </w:tc>
        <w:tc>
          <w:tcPr>
            <w:tcW w:w="2977" w:type="dxa"/>
          </w:tcPr>
          <w:p w14:paraId="7C32FA2E" w14:textId="3DD9B7EA" w:rsidR="00BA2026" w:rsidRDefault="004635A1" w:rsidP="00001901">
            <w:r w:rsidRPr="004635A1">
              <w:t xml:space="preserve">H1.2F3 </w:t>
            </w:r>
          </w:p>
        </w:tc>
        <w:tc>
          <w:tcPr>
            <w:tcW w:w="2835" w:type="dxa"/>
          </w:tcPr>
          <w:p w14:paraId="4AB49F29" w14:textId="7830B691" w:rsidR="00BA2026" w:rsidRDefault="004635A1" w:rsidP="00001901">
            <w:r w:rsidRPr="004635A1">
              <w:t>eBioscience™</w:t>
            </w:r>
          </w:p>
        </w:tc>
      </w:tr>
      <w:tr w:rsidR="00BA2026" w14:paraId="3C780999" w14:textId="77777777" w:rsidTr="00064309">
        <w:tc>
          <w:tcPr>
            <w:tcW w:w="2689" w:type="dxa"/>
          </w:tcPr>
          <w:p w14:paraId="60A9F908" w14:textId="360E97BB" w:rsidR="00BA2026" w:rsidRDefault="00BA2026" w:rsidP="00001901">
            <w:r>
              <w:t>anti-</w:t>
            </w:r>
            <w:r w:rsidRPr="00BA2026">
              <w:t xml:space="preserve"> CD207 (Langerin)</w:t>
            </w:r>
            <w:r>
              <w:t>-PE</w:t>
            </w:r>
          </w:p>
        </w:tc>
        <w:tc>
          <w:tcPr>
            <w:tcW w:w="2977" w:type="dxa"/>
          </w:tcPr>
          <w:p w14:paraId="73C399F2" w14:textId="5D8F4322" w:rsidR="00BA2026" w:rsidRDefault="00BA2026" w:rsidP="00001901">
            <w:r w:rsidRPr="00BA2026">
              <w:t>eBioL31)</w:t>
            </w:r>
          </w:p>
        </w:tc>
        <w:tc>
          <w:tcPr>
            <w:tcW w:w="2835" w:type="dxa"/>
          </w:tcPr>
          <w:p w14:paraId="31F5C44A" w14:textId="78132115" w:rsidR="00BA2026" w:rsidRDefault="00BA2026" w:rsidP="00001901">
            <w:r w:rsidRPr="00BA2026">
              <w:t>eBioscience™</w:t>
            </w:r>
          </w:p>
        </w:tc>
      </w:tr>
    </w:tbl>
    <w:p w14:paraId="2A0BE350" w14:textId="77777777" w:rsidR="00AE6BAC" w:rsidRPr="00D10F4A" w:rsidRDefault="00AE6BAC" w:rsidP="00001901">
      <w:pPr>
        <w:rPr>
          <w:rFonts w:cs="Arial"/>
          <w:lang w:val="en-US"/>
        </w:rPr>
      </w:pPr>
    </w:p>
    <w:sectPr w:rsidR="00AE6BAC" w:rsidRPr="00D10F4A">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7D7" w14:textId="77777777" w:rsidR="00246728" w:rsidRDefault="00246728" w:rsidP="003E7209">
      <w:pPr>
        <w:spacing w:after="0" w:line="240" w:lineRule="auto"/>
      </w:pPr>
      <w:r>
        <w:separator/>
      </w:r>
    </w:p>
  </w:endnote>
  <w:endnote w:type="continuationSeparator" w:id="0">
    <w:p w14:paraId="7EF1939E" w14:textId="77777777" w:rsidR="00246728" w:rsidRDefault="00246728" w:rsidP="003E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0CF3" w14:textId="791FC6A6" w:rsidR="003E7209" w:rsidRDefault="003E7209">
    <w:pPr>
      <w:pStyle w:val="Footer"/>
    </w:pPr>
    <w:r>
      <w:rPr>
        <w:noProof/>
      </w:rPr>
      <mc:AlternateContent>
        <mc:Choice Requires="wps">
          <w:drawing>
            <wp:anchor distT="0" distB="0" distL="0" distR="0" simplePos="0" relativeHeight="251659264" behindDoc="0" locked="0" layoutInCell="1" allowOverlap="1" wp14:anchorId="5314CF8E" wp14:editId="0AACE617">
              <wp:simplePos x="635" y="635"/>
              <wp:positionH relativeFrom="page">
                <wp:align>left</wp:align>
              </wp:positionH>
              <wp:positionV relativeFrom="page">
                <wp:align>bottom</wp:align>
              </wp:positionV>
              <wp:extent cx="2085975" cy="335280"/>
              <wp:effectExtent l="0" t="0" r="9525" b="0"/>
              <wp:wrapNone/>
              <wp:docPr id="130221039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083A0DF" w14:textId="74BF4C32" w:rsidR="003E7209" w:rsidRPr="003E7209" w:rsidRDefault="003E7209" w:rsidP="003E7209">
                          <w:pPr>
                            <w:spacing w:after="0"/>
                            <w:rPr>
                              <w:rFonts w:ascii="Rockwell" w:eastAsia="Rockwell" w:hAnsi="Rockwell" w:cs="Rockwell"/>
                              <w:noProof/>
                              <w:color w:val="0078D7"/>
                              <w:sz w:val="18"/>
                              <w:szCs w:val="18"/>
                            </w:rPr>
                          </w:pPr>
                          <w:r w:rsidRPr="003E720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14CF8E" id="_x0000_t202" coordsize="21600,21600" o:spt="202" path="m,l,21600r21600,l21600,xe">
              <v:stroke joinstyle="miter"/>
              <v:path gradientshapeok="t" o:connecttype="rect"/>
            </v:shapetype>
            <v:shape id="Text Box 2" o:spid="_x0000_s1028"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083A0DF" w14:textId="74BF4C32" w:rsidR="003E7209" w:rsidRPr="003E7209" w:rsidRDefault="003E7209" w:rsidP="003E7209">
                    <w:pPr>
                      <w:spacing w:after="0"/>
                      <w:rPr>
                        <w:rFonts w:ascii="Rockwell" w:eastAsia="Rockwell" w:hAnsi="Rockwell" w:cs="Rockwell"/>
                        <w:noProof/>
                        <w:color w:val="0078D7"/>
                        <w:sz w:val="18"/>
                        <w:szCs w:val="18"/>
                      </w:rPr>
                    </w:pPr>
                    <w:r w:rsidRPr="003E720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0F09" w14:textId="78FC8E31" w:rsidR="003E7209" w:rsidRDefault="003E7209">
    <w:pPr>
      <w:pStyle w:val="Footer"/>
    </w:pPr>
    <w:r>
      <w:rPr>
        <w:noProof/>
      </w:rPr>
      <mc:AlternateContent>
        <mc:Choice Requires="wps">
          <w:drawing>
            <wp:anchor distT="0" distB="0" distL="0" distR="0" simplePos="0" relativeHeight="251660288" behindDoc="0" locked="0" layoutInCell="1" allowOverlap="1" wp14:anchorId="0BE7E7A3" wp14:editId="1F385192">
              <wp:simplePos x="904875" y="10067925"/>
              <wp:positionH relativeFrom="page">
                <wp:align>left</wp:align>
              </wp:positionH>
              <wp:positionV relativeFrom="page">
                <wp:align>bottom</wp:align>
              </wp:positionV>
              <wp:extent cx="2085975" cy="335280"/>
              <wp:effectExtent l="0" t="0" r="9525" b="0"/>
              <wp:wrapNone/>
              <wp:docPr id="66357629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EAEDC2B" w14:textId="5541228E" w:rsidR="003E7209" w:rsidRPr="003E7209" w:rsidRDefault="003E7209" w:rsidP="003E7209">
                          <w:pPr>
                            <w:spacing w:after="0"/>
                            <w:rPr>
                              <w:rFonts w:ascii="Rockwell" w:eastAsia="Rockwell" w:hAnsi="Rockwell" w:cs="Rockwell"/>
                              <w:noProof/>
                              <w:color w:val="0078D7"/>
                              <w:sz w:val="18"/>
                              <w:szCs w:val="18"/>
                            </w:rPr>
                          </w:pPr>
                          <w:r w:rsidRPr="003E720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E7E7A3" id="_x0000_t202" coordsize="21600,21600" o:spt="202" path="m,l,21600r21600,l21600,xe">
              <v:stroke joinstyle="miter"/>
              <v:path gradientshapeok="t" o:connecttype="rect"/>
            </v:shapetype>
            <v:shape id="Text Box 3" o:spid="_x0000_s1029"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3EAEDC2B" w14:textId="5541228E" w:rsidR="003E7209" w:rsidRPr="003E7209" w:rsidRDefault="003E7209" w:rsidP="003E7209">
                    <w:pPr>
                      <w:spacing w:after="0"/>
                      <w:rPr>
                        <w:rFonts w:ascii="Rockwell" w:eastAsia="Rockwell" w:hAnsi="Rockwell" w:cs="Rockwell"/>
                        <w:noProof/>
                        <w:color w:val="0078D7"/>
                        <w:sz w:val="18"/>
                        <w:szCs w:val="18"/>
                      </w:rPr>
                    </w:pPr>
                    <w:r w:rsidRPr="003E720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CEE" w14:textId="6CB1C1F6" w:rsidR="003E7209" w:rsidRDefault="003E7209">
    <w:pPr>
      <w:pStyle w:val="Footer"/>
    </w:pPr>
    <w:r>
      <w:rPr>
        <w:noProof/>
      </w:rPr>
      <mc:AlternateContent>
        <mc:Choice Requires="wps">
          <w:drawing>
            <wp:anchor distT="0" distB="0" distL="0" distR="0" simplePos="0" relativeHeight="251658240" behindDoc="0" locked="0" layoutInCell="1" allowOverlap="1" wp14:anchorId="7A6AFCF7" wp14:editId="30C0261D">
              <wp:simplePos x="635" y="635"/>
              <wp:positionH relativeFrom="page">
                <wp:align>left</wp:align>
              </wp:positionH>
              <wp:positionV relativeFrom="page">
                <wp:align>bottom</wp:align>
              </wp:positionV>
              <wp:extent cx="2085975" cy="335280"/>
              <wp:effectExtent l="0" t="0" r="9525" b="0"/>
              <wp:wrapNone/>
              <wp:docPr id="154583535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42F80C8" w14:textId="2D6C23AB" w:rsidR="003E7209" w:rsidRPr="003E7209" w:rsidRDefault="003E7209" w:rsidP="003E7209">
                          <w:pPr>
                            <w:spacing w:after="0"/>
                            <w:rPr>
                              <w:rFonts w:ascii="Rockwell" w:eastAsia="Rockwell" w:hAnsi="Rockwell" w:cs="Rockwell"/>
                              <w:noProof/>
                              <w:color w:val="0078D7"/>
                              <w:sz w:val="18"/>
                              <w:szCs w:val="18"/>
                            </w:rPr>
                          </w:pPr>
                          <w:r w:rsidRPr="003E720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6AFCF7" id="_x0000_t202" coordsize="21600,21600" o:spt="202" path="m,l,21600r21600,l21600,xe">
              <v:stroke joinstyle="miter"/>
              <v:path gradientshapeok="t" o:connecttype="rect"/>
            </v:shapetype>
            <v:shape id="Text Box 1" o:spid="_x0000_s1030"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42F80C8" w14:textId="2D6C23AB" w:rsidR="003E7209" w:rsidRPr="003E7209" w:rsidRDefault="003E7209" w:rsidP="003E7209">
                    <w:pPr>
                      <w:spacing w:after="0"/>
                      <w:rPr>
                        <w:rFonts w:ascii="Rockwell" w:eastAsia="Rockwell" w:hAnsi="Rockwell" w:cs="Rockwell"/>
                        <w:noProof/>
                        <w:color w:val="0078D7"/>
                        <w:sz w:val="18"/>
                        <w:szCs w:val="18"/>
                      </w:rPr>
                    </w:pPr>
                    <w:r w:rsidRPr="003E720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C7B8" w14:textId="77777777" w:rsidR="00246728" w:rsidRDefault="00246728" w:rsidP="003E7209">
      <w:pPr>
        <w:spacing w:after="0" w:line="240" w:lineRule="auto"/>
      </w:pPr>
      <w:r>
        <w:separator/>
      </w:r>
    </w:p>
  </w:footnote>
  <w:footnote w:type="continuationSeparator" w:id="0">
    <w:p w14:paraId="5609B1C1" w14:textId="77777777" w:rsidR="00246728" w:rsidRDefault="00246728" w:rsidP="003E72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01"/>
    <w:rsid w:val="00001901"/>
    <w:rsid w:val="00064309"/>
    <w:rsid w:val="001A6D8A"/>
    <w:rsid w:val="001A7D28"/>
    <w:rsid w:val="00215A41"/>
    <w:rsid w:val="00246728"/>
    <w:rsid w:val="0028665E"/>
    <w:rsid w:val="002B08AA"/>
    <w:rsid w:val="003E7209"/>
    <w:rsid w:val="004635A1"/>
    <w:rsid w:val="00471E05"/>
    <w:rsid w:val="00473BBE"/>
    <w:rsid w:val="00487DE3"/>
    <w:rsid w:val="004C656E"/>
    <w:rsid w:val="00582799"/>
    <w:rsid w:val="005D7E70"/>
    <w:rsid w:val="00640DA2"/>
    <w:rsid w:val="006F0C01"/>
    <w:rsid w:val="006F629A"/>
    <w:rsid w:val="00767A88"/>
    <w:rsid w:val="007A75BF"/>
    <w:rsid w:val="008A1D51"/>
    <w:rsid w:val="009B4C1D"/>
    <w:rsid w:val="00A877D2"/>
    <w:rsid w:val="00AB1B01"/>
    <w:rsid w:val="00AE6BAC"/>
    <w:rsid w:val="00B83CC7"/>
    <w:rsid w:val="00B951E5"/>
    <w:rsid w:val="00BA2026"/>
    <w:rsid w:val="00BB1BB9"/>
    <w:rsid w:val="00BC7B73"/>
    <w:rsid w:val="00C77571"/>
    <w:rsid w:val="00D10F4A"/>
    <w:rsid w:val="00D12313"/>
    <w:rsid w:val="00D50B34"/>
    <w:rsid w:val="00DC24F6"/>
    <w:rsid w:val="00E35707"/>
    <w:rsid w:val="00EF4211"/>
    <w:rsid w:val="00F44057"/>
    <w:rsid w:val="00F713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6E36"/>
  <w15:chartTrackingRefBased/>
  <w15:docId w15:val="{7011443A-A01C-42D7-A671-B689C6B7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B01"/>
    <w:rPr>
      <w:rFonts w:eastAsiaTheme="majorEastAsia" w:cstheme="majorBidi"/>
      <w:color w:val="272727" w:themeColor="text1" w:themeTint="D8"/>
    </w:rPr>
  </w:style>
  <w:style w:type="paragraph" w:styleId="Title">
    <w:name w:val="Title"/>
    <w:basedOn w:val="Normal"/>
    <w:next w:val="Normal"/>
    <w:link w:val="TitleChar"/>
    <w:uiPriority w:val="10"/>
    <w:qFormat/>
    <w:rsid w:val="00AB1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B01"/>
    <w:pPr>
      <w:spacing w:before="160"/>
      <w:jc w:val="center"/>
    </w:pPr>
    <w:rPr>
      <w:i/>
      <w:iCs/>
      <w:color w:val="404040" w:themeColor="text1" w:themeTint="BF"/>
    </w:rPr>
  </w:style>
  <w:style w:type="character" w:customStyle="1" w:styleId="QuoteChar">
    <w:name w:val="Quote Char"/>
    <w:basedOn w:val="DefaultParagraphFont"/>
    <w:link w:val="Quote"/>
    <w:uiPriority w:val="29"/>
    <w:rsid w:val="00AB1B01"/>
    <w:rPr>
      <w:i/>
      <w:iCs/>
      <w:color w:val="404040" w:themeColor="text1" w:themeTint="BF"/>
    </w:rPr>
  </w:style>
  <w:style w:type="paragraph" w:styleId="ListParagraph">
    <w:name w:val="List Paragraph"/>
    <w:basedOn w:val="Normal"/>
    <w:uiPriority w:val="34"/>
    <w:qFormat/>
    <w:rsid w:val="00AB1B01"/>
    <w:pPr>
      <w:ind w:left="720"/>
      <w:contextualSpacing/>
    </w:pPr>
  </w:style>
  <w:style w:type="character" w:styleId="IntenseEmphasis">
    <w:name w:val="Intense Emphasis"/>
    <w:basedOn w:val="DefaultParagraphFont"/>
    <w:uiPriority w:val="21"/>
    <w:qFormat/>
    <w:rsid w:val="00AB1B01"/>
    <w:rPr>
      <w:i/>
      <w:iCs/>
      <w:color w:val="0F4761" w:themeColor="accent1" w:themeShade="BF"/>
    </w:rPr>
  </w:style>
  <w:style w:type="paragraph" w:styleId="IntenseQuote">
    <w:name w:val="Intense Quote"/>
    <w:basedOn w:val="Normal"/>
    <w:next w:val="Normal"/>
    <w:link w:val="IntenseQuoteChar"/>
    <w:uiPriority w:val="30"/>
    <w:qFormat/>
    <w:rsid w:val="00AB1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B01"/>
    <w:rPr>
      <w:i/>
      <w:iCs/>
      <w:color w:val="0F4761" w:themeColor="accent1" w:themeShade="BF"/>
    </w:rPr>
  </w:style>
  <w:style w:type="character" w:styleId="IntenseReference">
    <w:name w:val="Intense Reference"/>
    <w:basedOn w:val="DefaultParagraphFont"/>
    <w:uiPriority w:val="32"/>
    <w:qFormat/>
    <w:rsid w:val="00AB1B01"/>
    <w:rPr>
      <w:b/>
      <w:bCs/>
      <w:smallCaps/>
      <w:color w:val="0F4761" w:themeColor="accent1" w:themeShade="BF"/>
      <w:spacing w:val="5"/>
    </w:rPr>
  </w:style>
  <w:style w:type="paragraph" w:styleId="Revision">
    <w:name w:val="Revision"/>
    <w:hidden/>
    <w:uiPriority w:val="99"/>
    <w:semiHidden/>
    <w:rsid w:val="00EF4211"/>
    <w:pPr>
      <w:spacing w:after="0" w:line="240" w:lineRule="auto"/>
    </w:pPr>
  </w:style>
  <w:style w:type="table" w:styleId="TableGrid">
    <w:name w:val="Table Grid"/>
    <w:basedOn w:val="TableNormal"/>
    <w:uiPriority w:val="39"/>
    <w:rsid w:val="00AE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33769">
      <w:bodyDiv w:val="1"/>
      <w:marLeft w:val="0"/>
      <w:marRight w:val="0"/>
      <w:marTop w:val="0"/>
      <w:marBottom w:val="0"/>
      <w:divBdr>
        <w:top w:val="none" w:sz="0" w:space="0" w:color="auto"/>
        <w:left w:val="none" w:sz="0" w:space="0" w:color="auto"/>
        <w:bottom w:val="none" w:sz="0" w:space="0" w:color="auto"/>
        <w:right w:val="none" w:sz="0" w:space="0" w:color="auto"/>
      </w:divBdr>
    </w:div>
    <w:div w:id="13875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812</TotalTime>
  <Pages>5</Pages>
  <Words>698</Words>
  <Characters>3983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Krzyzowska</dc:creator>
  <cp:keywords/>
  <dc:description/>
  <cp:lastModifiedBy>Nicholson, Tamara</cp:lastModifiedBy>
  <cp:revision>12</cp:revision>
  <dcterms:created xsi:type="dcterms:W3CDTF">2024-12-15T09:40:00Z</dcterms:created>
  <dcterms:modified xsi:type="dcterms:W3CDTF">2025-03-11T23:24:00Z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5c239356,4d9e2758,278d5ee7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2025-03-11T23:24:44Z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b30b5437-0acf-456c-98c9-da5ee8333dd0</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