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E753">
      <w:pPr>
        <w:jc w:val="center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  <w:r>
        <w:rPr>
          <w:rFonts w:hint="default" w:ascii="Arial" w:hAnsi="Arial" w:cs="Arial"/>
          <w:b/>
          <w:bCs/>
          <w:sz w:val="28"/>
          <w:szCs w:val="36"/>
          <w:lang w:val="en-US" w:eastAsia="zh-CN"/>
        </w:rPr>
        <w:t>Supplymentary material</w:t>
      </w:r>
    </w:p>
    <w:p w14:paraId="3FAAAA22">
      <w:pPr>
        <w:jc w:val="center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b/>
          <w:bCs/>
          <w:sz w:val="18"/>
          <w:szCs w:val="21"/>
          <w:lang w:val="en-US" w:eastAsia="zh-CN"/>
        </w:rPr>
        <w:t>T</w:t>
      </w: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 xml:space="preserve">able S1 </w:t>
      </w:r>
      <w:r>
        <w:rPr>
          <w:rFonts w:hint="eastAsia" w:ascii="Arial" w:hAnsi="Arial" w:cs="Arial"/>
          <w:b w:val="0"/>
          <w:bCs w:val="0"/>
          <w:sz w:val="18"/>
          <w:szCs w:val="18"/>
          <w:lang w:val="en-US" w:eastAsia="zh-CN"/>
        </w:rPr>
        <w:t>Age-Adjusted Charlson Comorbidity Index (ACCI) Scores and Their Distribution Characteristics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46"/>
        <w:gridCol w:w="1135"/>
        <w:gridCol w:w="2841"/>
      </w:tblGrid>
      <w:tr w14:paraId="01F6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733F79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bidi="ar"/>
              </w:rPr>
              <w:t>Comorbidities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5AD88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bidi="ar"/>
              </w:rPr>
              <w:t>Scores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44896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bidi="ar"/>
              </w:rPr>
              <w:t>N=252, n (%)</w:t>
            </w:r>
          </w:p>
        </w:tc>
      </w:tr>
      <w:tr w14:paraId="0AB1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9B2AEAD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Myocardial infarction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9E09928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3B07B2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02EB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BA8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Congestive heart failure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B8F3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68623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12(4.76)</w:t>
            </w:r>
          </w:p>
        </w:tc>
      </w:tr>
      <w:tr w14:paraId="6F73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3534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Peripheral vascular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FC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AB21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24(9.52)</w:t>
            </w:r>
          </w:p>
        </w:tc>
      </w:tr>
      <w:tr w14:paraId="2F80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2865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Cerebrovascular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81C0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400F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20(7.93)</w:t>
            </w:r>
          </w:p>
        </w:tc>
      </w:tr>
      <w:tr w14:paraId="3793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CF1A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Dementia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3050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5737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3(1.19)</w:t>
            </w:r>
          </w:p>
        </w:tc>
      </w:tr>
      <w:tr w14:paraId="0E0B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7E97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Chronic pulmonary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799C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A8ED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45(17.86)</w:t>
            </w:r>
          </w:p>
        </w:tc>
      </w:tr>
      <w:tr w14:paraId="427C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03D2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Connective tissue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1A27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3DC4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6(2.38)</w:t>
            </w:r>
          </w:p>
        </w:tc>
      </w:tr>
      <w:tr w14:paraId="1FE6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5E8D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Ulcer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AA5A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3D70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72(28.57)</w:t>
            </w:r>
          </w:p>
        </w:tc>
      </w:tr>
      <w:tr w14:paraId="139D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C87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Mild liver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787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E243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89(35.32)</w:t>
            </w:r>
          </w:p>
        </w:tc>
      </w:tr>
      <w:tr w14:paraId="29A6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157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Hypertension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EE1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E909A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65(25.79)</w:t>
            </w:r>
          </w:p>
        </w:tc>
      </w:tr>
      <w:tr w14:paraId="582D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2819F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Diabetes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BFE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258C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32(12.70)</w:t>
            </w:r>
          </w:p>
        </w:tc>
      </w:tr>
      <w:tr w14:paraId="0650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CD31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Moderate or severe renal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4A2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84E5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2(0.79)</w:t>
            </w:r>
          </w:p>
        </w:tc>
      </w:tr>
      <w:tr w14:paraId="264C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78AA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Diabetes with end-organ disease 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 w:bidi="ar"/>
              </w:rPr>
              <w:t xml:space="preserve"> / </w:t>
            </w: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Solid tumor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5D66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C705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12(4.76)</w:t>
            </w:r>
          </w:p>
        </w:tc>
      </w:tr>
      <w:tr w14:paraId="70CB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4008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Hemiplegia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4B6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567D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1(0.40)</w:t>
            </w:r>
          </w:p>
        </w:tc>
      </w:tr>
      <w:tr w14:paraId="051A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C56F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Leukemia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DC1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1340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33B3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C2CD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Malignant lymphoma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CDF1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3644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171F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2537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Moderate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 w:bidi="ar"/>
              </w:rPr>
              <w:t xml:space="preserve"> S</w:t>
            </w: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evere liver disease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3FD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E2824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44(17.46)</w:t>
            </w:r>
          </w:p>
        </w:tc>
      </w:tr>
      <w:tr w14:paraId="458B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163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Metastatic solid tumor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9BB6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E1A2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372A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348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Acquired immunodeficiency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syndrome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8DEB7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0882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59DD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A9C8C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Assigned weights for age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69EA">
            <w:pPr>
              <w:jc w:val="left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4B0E">
            <w:pPr>
              <w:jc w:val="left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271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C9A1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&lt;50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AE8A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8E12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4BE9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A12A3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50-59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3084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167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0(0.0)</w:t>
            </w:r>
          </w:p>
        </w:tc>
      </w:tr>
      <w:tr w14:paraId="7A3A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BEDA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60-69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008D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60F6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129(51.19)</w:t>
            </w:r>
          </w:p>
        </w:tc>
      </w:tr>
      <w:tr w14:paraId="440A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2256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70-79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ABA6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A1A2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113(44.84)</w:t>
            </w:r>
          </w:p>
        </w:tc>
      </w:tr>
      <w:tr w14:paraId="5571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B6A05E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≥80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FE669B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F48D6A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10(3.97)</w:t>
            </w:r>
          </w:p>
        </w:tc>
      </w:tr>
    </w:tbl>
    <w:p w14:paraId="7B45C68C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41BD1BC2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1ACB7B57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7825BE43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7451B428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093B31B0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5855C558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2B93E808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12AB458D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19E6B622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727F637E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3AD44267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30FFE466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1686C0E6">
      <w:pPr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0644969A">
      <w:pPr>
        <w:ind w:firstLine="181" w:firstLineChars="100"/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586429A7">
      <w:pPr>
        <w:ind w:firstLine="181" w:firstLineChars="100"/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658F6EEE">
      <w:pPr>
        <w:ind w:firstLine="181" w:firstLineChars="100"/>
        <w:jc w:val="both"/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</w:p>
    <w:p w14:paraId="2D8F22A7">
      <w:pPr>
        <w:ind w:firstLine="181" w:firstLineChars="100"/>
        <w:jc w:val="both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 xml:space="preserve">Table S2 </w:t>
      </w:r>
      <w:r>
        <w:rPr>
          <w:rFonts w:hint="eastAsia" w:ascii="Arial" w:hAnsi="Arial" w:cs="Arial"/>
          <w:b w:val="0"/>
          <w:bCs w:val="0"/>
          <w:sz w:val="18"/>
          <w:szCs w:val="18"/>
          <w:lang w:val="en-US" w:eastAsia="zh-CN"/>
        </w:rPr>
        <w:t>Incidence and Distribution of Postoperative Complications</w:t>
      </w:r>
    </w:p>
    <w:tbl>
      <w:tblPr>
        <w:tblStyle w:val="4"/>
        <w:tblW w:w="705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3526"/>
      </w:tblGrid>
      <w:tr w14:paraId="705D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C524D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  <w:lang w:bidi="ar"/>
              </w:rPr>
              <w:t xml:space="preserve">Complication </w:t>
            </w:r>
          </w:p>
        </w:tc>
        <w:tc>
          <w:tcPr>
            <w:tcW w:w="3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7EB46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  <w:lang w:bidi="ar"/>
              </w:rPr>
              <w:t>N=252, (%)</w:t>
            </w:r>
          </w:p>
        </w:tc>
      </w:tr>
      <w:tr w14:paraId="1BB4E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1D2B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Electrolyte disturbance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78F12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85（33.73）</w:t>
            </w:r>
          </w:p>
        </w:tc>
      </w:tr>
      <w:tr w14:paraId="5698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6AC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Infection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08E6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62(24.60)</w:t>
            </w:r>
          </w:p>
        </w:tc>
      </w:tr>
      <w:tr w14:paraId="1150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EBA8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Ascites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A9CD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38(15.08)</w:t>
            </w:r>
          </w:p>
        </w:tc>
      </w:tr>
      <w:tr w14:paraId="38EA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F659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Biliary fistula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AB57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32(12.70)</w:t>
            </w:r>
          </w:p>
        </w:tc>
      </w:tr>
      <w:tr w14:paraId="53959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427B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Hemorrhage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ED31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15(5.95)</w:t>
            </w:r>
          </w:p>
        </w:tc>
      </w:tr>
      <w:tr w14:paraId="4D71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9E1F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Thrombosis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5375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5(1.98)</w:t>
            </w:r>
          </w:p>
        </w:tc>
      </w:tr>
      <w:tr w14:paraId="45C8E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45CE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Malnutrition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8272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81(32.14)</w:t>
            </w:r>
          </w:p>
        </w:tc>
      </w:tr>
      <w:tr w14:paraId="564F0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C7E5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Gastroparesis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8B90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35(13.89)</w:t>
            </w:r>
          </w:p>
        </w:tc>
      </w:tr>
      <w:tr w14:paraId="74DC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E668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Anemia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F41F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46(18.25)</w:t>
            </w:r>
          </w:p>
        </w:tc>
      </w:tr>
      <w:tr w14:paraId="72A0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2177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Hepatic encephalopathy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14F6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5(1.98)</w:t>
            </w:r>
          </w:p>
        </w:tc>
      </w:tr>
      <w:tr w14:paraId="1D72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07ED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Liver failure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E0C5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3(1.19)</w:t>
            </w:r>
          </w:p>
        </w:tc>
      </w:tr>
      <w:tr w14:paraId="6908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C1E9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Renal failure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F6C4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4(1.59)</w:t>
            </w:r>
          </w:p>
        </w:tc>
      </w:tr>
      <w:tr w14:paraId="7F643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0A8924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Death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309677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1(0.40)</w:t>
            </w:r>
          </w:p>
        </w:tc>
      </w:tr>
    </w:tbl>
    <w:p w14:paraId="5FA62F2C">
      <w:pPr>
        <w:jc w:val="both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</w:p>
    <w:p w14:paraId="1CE43FDB">
      <w:pPr>
        <w:jc w:val="both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</w:p>
    <w:p w14:paraId="7B87BBDF">
      <w:pPr>
        <w:jc w:val="both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</w:p>
    <w:p w14:paraId="0655A0D5">
      <w:pPr>
        <w:jc w:val="both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</w:p>
    <w:p w14:paraId="2A2F71A3">
      <w:pPr>
        <w:jc w:val="both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</w:p>
    <w:p w14:paraId="4C1BF784">
      <w:pPr>
        <w:jc w:val="both"/>
        <w:rPr>
          <w:rFonts w:hint="default" w:ascii="Arial" w:hAnsi="Arial" w:cs="Arial"/>
          <w:b/>
          <w:bCs/>
          <w:sz w:val="28"/>
          <w:szCs w:val="36"/>
          <w:lang w:val="en-US" w:eastAsia="zh-CN"/>
        </w:rPr>
      </w:pPr>
    </w:p>
    <w:p w14:paraId="2327A0C9">
      <w:pPr>
        <w:ind w:firstLine="181" w:firstLineChars="100"/>
        <w:jc w:val="both"/>
        <w:rPr>
          <w:rFonts w:hint="eastAsia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 xml:space="preserve">Table S3 </w:t>
      </w:r>
      <w:r>
        <w:rPr>
          <w:rFonts w:hint="eastAsia" w:ascii="Arial" w:hAnsi="Arial" w:cs="Arial"/>
          <w:b w:val="0"/>
          <w:bCs w:val="0"/>
          <w:sz w:val="18"/>
          <w:szCs w:val="18"/>
          <w:lang w:val="en-US" w:eastAsia="zh-CN"/>
        </w:rPr>
        <w:t>Comparative Analysis of Inter-Model Performance Score</w:t>
      </w:r>
    </w:p>
    <w:tbl>
      <w:tblPr>
        <w:tblStyle w:val="5"/>
        <w:tblpPr w:leftFromText="180" w:rightFromText="180" w:vertAnchor="text" w:horzAnchor="page" w:tblpX="1197" w:tblpY="282"/>
        <w:tblOverlap w:val="never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983"/>
        <w:gridCol w:w="800"/>
        <w:gridCol w:w="825"/>
        <w:gridCol w:w="808"/>
        <w:gridCol w:w="775"/>
        <w:gridCol w:w="1008"/>
        <w:gridCol w:w="850"/>
        <w:gridCol w:w="800"/>
        <w:gridCol w:w="813"/>
        <w:gridCol w:w="750"/>
      </w:tblGrid>
      <w:tr w14:paraId="18E4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 w14:paraId="0AFF6A19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Model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A5A772">
            <w:pPr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Training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group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9F15CF">
            <w:pPr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Validation group</w:t>
            </w:r>
          </w:p>
        </w:tc>
      </w:tr>
      <w:tr w14:paraId="68FD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46DA9470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A3126D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C-index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39A1E2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1y-BS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A5F613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2y-BS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74F465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3y-BS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F4421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IBS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BED81B3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C-index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7DDA997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1y-BS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EB343B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2y-BS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348BD9F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3y-BS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4C9178F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IBS</w:t>
            </w:r>
          </w:p>
        </w:tc>
      </w:tr>
      <w:tr w14:paraId="11C0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6B5194A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LASSO+RSF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C50818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0.869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EAE83C6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0.189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6AED16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0.20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0114679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0.258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81911F8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0.218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F1BC14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0.818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DDBF19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0.15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7C8D12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0.1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507337F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0.298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C395F6">
            <w:pPr>
              <w:spacing w:line="240" w:lineRule="auto"/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  <w:t>0.209</w:t>
            </w:r>
          </w:p>
        </w:tc>
      </w:tr>
      <w:tr w14:paraId="4DB7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20954C6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RSF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85B95B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1E8560">
            <w:pPr>
              <w:jc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0.435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442FCD">
            <w:pPr>
              <w:jc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73F53A">
            <w:pPr>
              <w:jc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0.342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FDD9F45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0.340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4BD047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9475F0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0.37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1FD1A12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0.41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5E80CCF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0.42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7BCC89E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0.406</w:t>
            </w:r>
          </w:p>
        </w:tc>
      </w:tr>
      <w:tr w14:paraId="3F1B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8DCB845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RSF+</w:t>
            </w:r>
          </w:p>
          <w:p w14:paraId="64B53445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ObliqueRSF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47B823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966619">
            <w:pPr>
              <w:jc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0.269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C55944">
            <w:pPr>
              <w:jc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0.291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D90C8C">
            <w:pPr>
              <w:jc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C4C0EA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53BA5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1886DA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0.35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D683768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0.39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ED71DE3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0.46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5A8E2DE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0.403</w:t>
            </w:r>
          </w:p>
        </w:tc>
      </w:tr>
      <w:tr w14:paraId="270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F2988F4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RSF+GBM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44261A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AF718E7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0.275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CD723C8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0.283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5FE7AE5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B5FDFAB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0.288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039E22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9DF472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72F4E1D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0.288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C1C4D52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0.365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534A532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0.303</w:t>
            </w:r>
          </w:p>
        </w:tc>
      </w:tr>
      <w:tr w14:paraId="5751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E98E06B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COXBoost+</w:t>
            </w:r>
          </w:p>
          <w:p w14:paraId="15367D45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RSF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50D4128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0.852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8C6943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87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EEE995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0.315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D95038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</w:rPr>
              <w:t>0.342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367B55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0.281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5C4061D">
            <w:pPr>
              <w:jc w:val="center"/>
              <w:rPr>
                <w:rFonts w:hint="default" w:ascii="Arial" w:hAnsi="Arial" w:cs="Arial"/>
                <w:sz w:val="18"/>
                <w:szCs w:val="18"/>
                <w:vertAlign w:val="baseline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0.819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FB9317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0.157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0869BB2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0.232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5AEC6A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0.274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64E207F">
            <w:pPr>
              <w:jc w:val="center"/>
              <w:rPr>
                <w:rFonts w:hint="default" w:ascii="Arial" w:hAnsi="Arial" w:cs="Arial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0.221</w:t>
            </w:r>
          </w:p>
        </w:tc>
      </w:tr>
    </w:tbl>
    <w:p w14:paraId="35A4CD4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02FCD7">
      <w:pPr>
        <w:tabs>
          <w:tab w:val="left" w:pos="5663"/>
        </w:tabs>
        <w:bidi w:val="0"/>
        <w:jc w:val="left"/>
        <w:rPr>
          <w:rFonts w:hint="eastAsia"/>
          <w:lang w:val="en-US" w:eastAsia="zh-CN"/>
        </w:rPr>
      </w:pPr>
    </w:p>
    <w:p w14:paraId="37546E98">
      <w:pPr>
        <w:tabs>
          <w:tab w:val="left" w:pos="5663"/>
        </w:tabs>
        <w:bidi w:val="0"/>
        <w:jc w:val="left"/>
        <w:rPr>
          <w:rFonts w:hint="eastAsia"/>
          <w:lang w:val="en-US" w:eastAsia="zh-CN"/>
        </w:rPr>
      </w:pPr>
    </w:p>
    <w:p w14:paraId="7EA21137">
      <w:pPr>
        <w:tabs>
          <w:tab w:val="left" w:pos="56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8D58014">
      <w:pPr>
        <w:pStyle w:val="3"/>
        <w:rPr>
          <w:rFonts w:ascii="Arial" w:hAnsi="Arial" w:eastAsia="宋体" w:cs="Arial"/>
          <w:b/>
          <w:bCs/>
          <w:sz w:val="18"/>
          <w:szCs w:val="18"/>
          <w:lang w:eastAsia="zh-CN"/>
        </w:rPr>
      </w:pPr>
      <w:r>
        <w:rPr>
          <w:rFonts w:ascii="Arial" w:hAnsi="Arial" w:eastAsia="宋体" w:cs="Arial"/>
          <w:b/>
          <w:bCs/>
          <w:sz w:val="18"/>
          <w:szCs w:val="18"/>
          <w:lang w:eastAsia="zh-CN"/>
        </w:rPr>
        <w:t>Table S</w:t>
      </w:r>
      <w:r>
        <w:rPr>
          <w:rFonts w:hint="eastAsia" w:ascii="Arial" w:hAnsi="Arial" w:eastAsia="宋体" w:cs="Arial"/>
          <w:b/>
          <w:bCs/>
          <w:sz w:val="18"/>
          <w:szCs w:val="18"/>
          <w:lang w:val="en-US" w:eastAsia="zh-CN"/>
        </w:rPr>
        <w:t>4</w:t>
      </w:r>
      <w:r>
        <w:rPr>
          <w:rFonts w:ascii="Arial" w:hAnsi="Arial" w:eastAsia="宋体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hAnsi="Arial" w:eastAsia="宋体" w:cs="Arial"/>
          <w:sz w:val="18"/>
          <w:szCs w:val="18"/>
          <w:lang w:eastAsia="zh-CN"/>
        </w:rPr>
        <w:t>Feature distribution by age groups in the validation group</w:t>
      </w:r>
    </w:p>
    <w:tbl>
      <w:tblPr>
        <w:tblStyle w:val="4"/>
        <w:tblW w:w="626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925"/>
        <w:gridCol w:w="2005"/>
        <w:gridCol w:w="1962"/>
        <w:gridCol w:w="850"/>
      </w:tblGrid>
      <w:tr w14:paraId="584C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28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2C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40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5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Total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(n = 75)</w:t>
            </w:r>
          </w:p>
        </w:tc>
        <w:tc>
          <w:tcPr>
            <w:tcW w:w="96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26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Age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&lt;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75 (n = 13)</w:t>
            </w:r>
          </w:p>
        </w:tc>
        <w:tc>
          <w:tcPr>
            <w:tcW w:w="94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D2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Age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≤75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(n = 62)</w:t>
            </w:r>
          </w:p>
        </w:tc>
        <w:tc>
          <w:tcPr>
            <w:tcW w:w="40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4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P</w:t>
            </w:r>
          </w:p>
        </w:tc>
      </w:tr>
      <w:tr w14:paraId="7157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28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67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C3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C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4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9E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FD4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9A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LOS,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F7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16.0 (14.0, 17.0)</w:t>
            </w:r>
          </w:p>
        </w:tc>
        <w:tc>
          <w:tcPr>
            <w:tcW w:w="96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1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16.0 (14.0, 17.0)</w:t>
            </w:r>
          </w:p>
        </w:tc>
        <w:tc>
          <w:tcPr>
            <w:tcW w:w="9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88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16.0(14.0, 17.0)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FD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0.994</w:t>
            </w:r>
          </w:p>
        </w:tc>
      </w:tr>
      <w:tr w14:paraId="22CD0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1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HC,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E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95451.0(81316.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115845.5)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38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98474.0 (79996.0, 134426.0)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AA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95174.0(81735.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106382.8)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38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0.649</w:t>
            </w:r>
          </w:p>
        </w:tc>
      </w:tr>
      <w:tr w14:paraId="63E8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CE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PFS,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D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23.0 (6.5, 36.0)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B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8.0 (2.0, 24.0)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D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24.0 (9.0, 37.0)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7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0.044</w:t>
            </w:r>
          </w:p>
        </w:tc>
      </w:tr>
      <w:tr w14:paraId="23E9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D9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OS,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21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30.0 (8.0, 44.0)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0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11.0 (4.0, 32.0)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B1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32.5 (12.0, 44.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46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0.114</w:t>
            </w:r>
          </w:p>
        </w:tc>
      </w:tr>
      <w:tr w14:paraId="1F89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0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ACCI,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30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4.0 (3.0, 5.0)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6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6.0 (5.0, 7.0)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D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4.0 (3.0, 5.0)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D9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&lt;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0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.001</w:t>
            </w:r>
          </w:p>
        </w:tc>
      </w:tr>
      <w:tr w14:paraId="46DBE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E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OT,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33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195.0 (157.5, 241.0)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B2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232.0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(160.0, 260.0)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7F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189.5(149.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,233.0)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51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0.157</w:t>
            </w:r>
          </w:p>
        </w:tc>
      </w:tr>
      <w:tr w14:paraId="5327B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F0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IBL,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62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195.0 (100.0, 287.5)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C3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165.0 (150.0, 200.0)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44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197.5 (100.0, 293.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9B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0.827</w:t>
            </w:r>
          </w:p>
        </w:tc>
      </w:tr>
      <w:tr w14:paraId="69BE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D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CD Grade, 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9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C9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3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28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0.033</w:t>
            </w:r>
          </w:p>
        </w:tc>
      </w:tr>
      <w:tr w14:paraId="54C7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A9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&lt;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3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43 (57.33)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4D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 (30.77)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3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39 (62.90)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F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731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75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≥3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0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32 (42.67)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F1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 (69.23)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AD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23 (37.10)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B5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820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9F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LI, 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7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62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F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F1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0.055</w:t>
            </w:r>
          </w:p>
        </w:tc>
      </w:tr>
      <w:tr w14:paraId="4CE8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0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1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49 (65.33)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A5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 (38.46)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B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44 (70.97)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0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9FB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B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0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26 (34.67)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7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8 (61.54)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FF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18 (29.03)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79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F081949"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2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83" w:leftChars="8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Tumor c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apsule, 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3C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E3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9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9B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0.206</w:t>
            </w:r>
          </w:p>
        </w:tc>
      </w:tr>
      <w:tr w14:paraId="4F66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D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B5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40 (53.33)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BC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 (69.23)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D3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31 (50.00)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C0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AC3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CC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71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35 (46.67)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F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 (30.77)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CD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31 (50.00)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E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671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6C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MVI, 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0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DC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9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74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0.394</w:t>
            </w:r>
          </w:p>
        </w:tc>
      </w:tr>
      <w:tr w14:paraId="18DF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D7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23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40 (53.33)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8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 (38.46)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51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35 (56.45)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01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5FD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5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6E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25 (33.33)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B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 (38.46)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B1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20 (32.26)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D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90F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5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F8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 (13.33)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E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 (23.08)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B3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7 (11.29)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7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5196C4">
      <w:pPr>
        <w:rPr>
          <w:rFonts w:ascii="Arial" w:hAnsi="Arial" w:eastAsia="宋体" w:cs="Arial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Abbreviations:</w:t>
      </w:r>
      <w:r>
        <w:rPr>
          <w:rFonts w:ascii="Arial" w:hAnsi="Arial" w:cs="Arial" w:eastAsiaTheme="minorEastAsia"/>
          <w:b/>
          <w:bCs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</w:rPr>
        <w:t>Z: Mann-Whitney test, χ²: Chi-square test</w:t>
      </w:r>
      <w:r>
        <w:rPr>
          <w:rFonts w:ascii="Arial" w:hAnsi="Arial" w:eastAsia="宋体" w:cs="Arial"/>
          <w:sz w:val="18"/>
          <w:szCs w:val="18"/>
          <w:lang w:eastAsia="zh-CN"/>
        </w:rPr>
        <w:t>;</w:t>
      </w:r>
      <w:r>
        <w:rPr>
          <w:rFonts w:ascii="Arial" w:hAnsi="Arial" w:cs="Arial"/>
          <w:sz w:val="18"/>
          <w:szCs w:val="18"/>
        </w:rPr>
        <w:t xml:space="preserve"> M: Median, Q</w:t>
      </w:r>
      <w:r>
        <w:rPr>
          <w:rFonts w:ascii="Cambria Math" w:hAnsi="Cambria Math" w:cs="Cambria Math"/>
          <w:sz w:val="18"/>
          <w:szCs w:val="18"/>
        </w:rPr>
        <w:t>₁</w:t>
      </w:r>
      <w:r>
        <w:rPr>
          <w:rFonts w:ascii="Arial" w:hAnsi="Arial" w:cs="Arial"/>
          <w:sz w:val="18"/>
          <w:szCs w:val="18"/>
        </w:rPr>
        <w:t>: 1st Quartile, Q</w:t>
      </w:r>
      <w:r>
        <w:rPr>
          <w:rFonts w:ascii="Cambria Math" w:hAnsi="Cambria Math" w:cs="Cambria Math"/>
          <w:sz w:val="18"/>
          <w:szCs w:val="18"/>
        </w:rPr>
        <w:t>₃</w:t>
      </w:r>
      <w:r>
        <w:rPr>
          <w:rFonts w:ascii="Arial" w:hAnsi="Arial" w:cs="Arial"/>
          <w:sz w:val="18"/>
          <w:szCs w:val="18"/>
        </w:rPr>
        <w:t>: 3rd Quartile</w:t>
      </w:r>
      <w:r>
        <w:rPr>
          <w:rFonts w:ascii="Arial" w:hAnsi="Arial" w:eastAsia="宋体" w:cs="Arial"/>
          <w:sz w:val="18"/>
          <w:szCs w:val="18"/>
          <w:lang w:eastAsia="zh-CN"/>
        </w:rPr>
        <w:t>; LOS: Length of stay; HC: Hospital costs; PFS: Progression-free survival; OS: Overall survival; ACCI: Age-adjusted Charlson comorbidity index; OT: Operative time; IBL: Intraoperative blood loss; CD grade: Clavien-Dindo grade; LI: Lymphatic invasion; MVI: Microvascular invasion</w:t>
      </w:r>
    </w:p>
    <w:p w14:paraId="4628DC36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67E82539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6AB5B8F0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5D3B8819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2C5CFCE3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4E8C11AE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3894CA7E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7482EF11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4CD9555E">
      <w:pPr>
        <w:pStyle w:val="2"/>
        <w:numPr>
          <w:ilvl w:val="2"/>
          <w:numId w:val="0"/>
        </w:numPr>
        <w:ind w:firstLine="181" w:firstLineChars="100"/>
        <w:jc w:val="both"/>
        <w:rPr>
          <w:rFonts w:ascii="Arial" w:hAnsi="Arial" w:cs="Arial"/>
          <w:sz w:val="18"/>
          <w:szCs w:val="18"/>
          <w:lang w:eastAsia="zh-CN"/>
        </w:rPr>
      </w:pPr>
      <w:bookmarkStart w:id="0" w:name="table1基本特征与差异性分析"/>
    </w:p>
    <w:p w14:paraId="5D563B72">
      <w:pPr>
        <w:pStyle w:val="2"/>
        <w:numPr>
          <w:ilvl w:val="2"/>
          <w:numId w:val="0"/>
        </w:numPr>
        <w:ind w:firstLine="181" w:firstLineChars="100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CBCBC39">
      <w:pPr>
        <w:pStyle w:val="2"/>
        <w:numPr>
          <w:ilvl w:val="2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zh-CN"/>
        </w:rPr>
        <w:t>T</w:t>
      </w:r>
      <w:r>
        <w:rPr>
          <w:rFonts w:ascii="Arial" w:hAnsi="Arial" w:cs="Arial"/>
          <w:sz w:val="18"/>
          <w:szCs w:val="18"/>
        </w:rPr>
        <w:t>able</w:t>
      </w:r>
      <w:bookmarkEnd w:id="0"/>
      <w:r>
        <w:rPr>
          <w:rFonts w:ascii="Arial" w:hAnsi="Arial" w:cs="Arial"/>
          <w:sz w:val="18"/>
          <w:szCs w:val="18"/>
          <w:lang w:eastAsia="zh-CN"/>
        </w:rPr>
        <w:t xml:space="preserve"> S</w:t>
      </w:r>
      <w:r>
        <w:rPr>
          <w:rFonts w:hint="eastAsia" w:ascii="Arial" w:hAnsi="Arial" w:cs="Arial"/>
          <w:sz w:val="18"/>
          <w:szCs w:val="18"/>
          <w:lang w:val="en-US" w:eastAsia="zh-CN"/>
        </w:rPr>
        <w:t>5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  <w:lang w:eastAsia="zh-CN"/>
        </w:rPr>
        <w:t>Feature distribution by surgical approaches in the validation group</w:t>
      </w:r>
    </w:p>
    <w:tbl>
      <w:tblPr>
        <w:tblStyle w:val="4"/>
        <w:tblW w:w="571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66"/>
        <w:gridCol w:w="2020"/>
        <w:gridCol w:w="1961"/>
        <w:gridCol w:w="1179"/>
      </w:tblGrid>
      <w:tr w14:paraId="7F0C8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13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BA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14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C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Total</w:t>
            </w:r>
          </w:p>
          <w:p w14:paraId="63015E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(n = 75)</w:t>
            </w:r>
          </w:p>
        </w:tc>
        <w:tc>
          <w:tcPr>
            <w:tcW w:w="106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5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Laparoscopic</w:t>
            </w:r>
          </w:p>
          <w:p w14:paraId="6B5B5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(n = 28)</w:t>
            </w:r>
          </w:p>
        </w:tc>
        <w:tc>
          <w:tcPr>
            <w:tcW w:w="103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7E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Open</w:t>
            </w:r>
          </w:p>
          <w:p w14:paraId="20C85A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(n = 47)</w:t>
            </w:r>
          </w:p>
        </w:tc>
        <w:tc>
          <w:tcPr>
            <w:tcW w:w="62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E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P</w:t>
            </w:r>
          </w:p>
        </w:tc>
      </w:tr>
      <w:tr w14:paraId="3AC7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13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CD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5F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6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4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E4B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BC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OT,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93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195.0 (157.5, 241.0)</w:t>
            </w:r>
          </w:p>
        </w:tc>
        <w:tc>
          <w:tcPr>
            <w:tcW w:w="106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83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220.0 (188.0, 255.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2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180.0 (145.0, 230.0)</w:t>
            </w:r>
          </w:p>
        </w:tc>
        <w:tc>
          <w:tcPr>
            <w:tcW w:w="62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0F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0.011</w:t>
            </w:r>
          </w:p>
        </w:tc>
      </w:tr>
      <w:tr w14:paraId="6EA3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B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IBL,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A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195.0 (100.0, 287.5)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85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200.0 (100.0, 262.5)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17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180.0 (150.0, 287.5)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0C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0.434</w:t>
            </w:r>
          </w:p>
        </w:tc>
      </w:tr>
      <w:tr w14:paraId="6C2B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23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LOS,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F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16.0 (14.0, 17.0)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4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14.5 (13.0, 16.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CE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16.0 (15.0, 17.0)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4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0.011</w:t>
            </w:r>
          </w:p>
        </w:tc>
      </w:tr>
      <w:tr w14:paraId="0D42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69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HC,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95451.0(81316.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115845.5)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D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96962.5(84760.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106332.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3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94074.3(80190.0, 121119.5)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78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0.944</w:t>
            </w:r>
          </w:p>
        </w:tc>
      </w:tr>
      <w:tr w14:paraId="2AA4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7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PFS,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4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23.0 (6.5, 36.0)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36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31.0 (14.0, 38.0)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1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17.0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(6.0, 30.0)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B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0.084</w:t>
            </w:r>
          </w:p>
        </w:tc>
      </w:tr>
      <w:tr w14:paraId="5B04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B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180" w:firstLineChar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OS, M (Q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₁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Q</w:t>
            </w:r>
            <w:r>
              <w:rPr>
                <w:rFonts w:ascii="Cambria Math" w:hAnsi="Cambria Math" w:eastAsia="Times New Roman" w:cs="Cambria Math"/>
                <w:color w:val="000000"/>
                <w:sz w:val="18"/>
                <w:szCs w:val="18"/>
              </w:rPr>
              <w:t>₃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27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30.0 (8.0, 44.0)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F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34.0 (17.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45.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D5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20.00 (7.5, 41.5)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1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0.208</w:t>
            </w:r>
          </w:p>
        </w:tc>
      </w:tr>
      <w:tr w14:paraId="7FE1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E2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CD Grade, 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0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D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B6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6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0.017</w:t>
            </w:r>
          </w:p>
        </w:tc>
      </w:tr>
      <w:tr w14:paraId="2CBA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5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firstLine="360" w:firstLineChars="2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  <w:lang w:eastAsia="zh-CN"/>
              </w:rPr>
              <w:t>&lt;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64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43 (57.33)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3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21 (75.00)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2F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22 (46.81)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E3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F48C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0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≥3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C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32 (42.67)</w:t>
            </w:r>
          </w:p>
        </w:tc>
        <w:tc>
          <w:tcPr>
            <w:tcW w:w="106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F5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7 (25.00)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B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25 (53.19)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E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135FA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Abbreviations:</w:t>
      </w:r>
      <w:r>
        <w:rPr>
          <w:rFonts w:ascii="Arial" w:hAnsi="Arial" w:cs="Arial" w:eastAsiaTheme="minorEastAsia"/>
          <w:b/>
          <w:bCs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</w:rPr>
        <w:t>Z: Mann-Whitney test, χ²: Chi-square test; M: Median, Q</w:t>
      </w:r>
      <w:r>
        <w:rPr>
          <w:rFonts w:ascii="Cambria Math" w:hAnsi="Cambria Math" w:cs="Cambria Math"/>
          <w:sz w:val="18"/>
          <w:szCs w:val="18"/>
        </w:rPr>
        <w:t>₁</w:t>
      </w:r>
      <w:r>
        <w:rPr>
          <w:rFonts w:ascii="Arial" w:hAnsi="Arial" w:cs="Arial"/>
          <w:sz w:val="18"/>
          <w:szCs w:val="18"/>
        </w:rPr>
        <w:t>: 1st Quartile, Q</w:t>
      </w:r>
      <w:r>
        <w:rPr>
          <w:rFonts w:ascii="Cambria Math" w:hAnsi="Cambria Math" w:cs="Cambria Math"/>
          <w:sz w:val="18"/>
          <w:szCs w:val="18"/>
        </w:rPr>
        <w:t>₃</w:t>
      </w:r>
      <w:r>
        <w:rPr>
          <w:rFonts w:ascii="Arial" w:hAnsi="Arial" w:cs="Arial"/>
          <w:sz w:val="18"/>
          <w:szCs w:val="18"/>
        </w:rPr>
        <w:t>: 3rd Quartile; LOS: Length of stay; HC: Hospital costs; PFS: Progression-free survival; OS: Overall survival; OT: Operative time; IBL: Intraoperative blood loss; CD grade: Clavien-Dindo grade</w:t>
      </w:r>
    </w:p>
    <w:p w14:paraId="0FA159EA">
      <w:pPr>
        <w:rPr>
          <w:rFonts w:ascii="Arial" w:hAnsi="Arial" w:eastAsia="宋体" w:cs="Arial"/>
          <w:sz w:val="21"/>
          <w:szCs w:val="21"/>
          <w:lang w:eastAsia="zh-CN"/>
        </w:rPr>
      </w:pPr>
    </w:p>
    <w:p w14:paraId="30E96536">
      <w:pPr>
        <w:tabs>
          <w:tab w:val="left" w:pos="5663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pStyle w:val="2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90651"/>
    <w:rsid w:val="518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2025-02-19T05:16:10Z</dcterms:created>
  <dc:creator>Administrator</dc:creator>
  <cp:lastModifiedBy>Pluto</cp:lastModifiedBy>
  <dcterms:modified xsi:type="dcterms:W3CDTF">2025-02-19T12:24:38Z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eyJoZGlkIjoiZWVhZjA2OGY0OWY1MTc0YTUxMjVhN2FmMmVlMGI0MDAiLCJ1c2VySWQiOiI3MTU2MTM4NTcifQ==</vt:lpwstr>
  </property>
  <property fmtid="{D5CDD505-2E9C-101B-9397-08002B2CF9AE}" pid="4" name="ICV">
    <vt:lpwstr>E8170EFF52FC4BA99516D6C569579A7F_12</vt:lpwstr>
  </property>
</Properties>
</file>