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B281" w14:textId="77777777" w:rsidR="0075484A" w:rsidRPr="00C63214" w:rsidRDefault="0075484A" w:rsidP="0075484A">
      <w:pPr>
        <w:jc w:val="center"/>
        <w:rPr>
          <w:rFonts w:eastAsia="EB Garamond"/>
          <w:color w:val="000000"/>
          <w:sz w:val="28"/>
          <w:szCs w:val="28"/>
          <w:lang w:val="en-US"/>
        </w:rPr>
      </w:pPr>
      <w:r w:rsidRPr="00C63214">
        <w:rPr>
          <w:rFonts w:eastAsia="EB Garamond"/>
          <w:color w:val="000000"/>
          <w:sz w:val="28"/>
          <w:szCs w:val="28"/>
          <w:lang w:val="en-US"/>
        </w:rPr>
        <w:t>Supplementary Table 1: Comprehensive Analysis of VRVFT Studies</w:t>
      </w:r>
    </w:p>
    <w:p w14:paraId="4990D3E8" w14:textId="77777777" w:rsidR="0075484A" w:rsidRPr="00C63214" w:rsidRDefault="0075484A" w:rsidP="0075484A">
      <w:pPr>
        <w:rPr>
          <w:rFonts w:eastAsia="EB Garamond"/>
          <w:color w:val="000000"/>
          <w:sz w:val="28"/>
          <w:szCs w:val="28"/>
          <w:lang w:val="en-US"/>
        </w:rPr>
      </w:pPr>
    </w:p>
    <w:tbl>
      <w:tblPr>
        <w:tblW w:w="156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70"/>
        <w:gridCol w:w="990"/>
        <w:gridCol w:w="1080"/>
        <w:gridCol w:w="1530"/>
        <w:gridCol w:w="1170"/>
        <w:gridCol w:w="3870"/>
        <w:gridCol w:w="3330"/>
        <w:gridCol w:w="2520"/>
      </w:tblGrid>
      <w:tr w:rsidR="00C64576" w:rsidRPr="00C63214" w14:paraId="0E4BE638" w14:textId="77777777" w:rsidTr="00C64576">
        <w:tc>
          <w:tcPr>
            <w:tcW w:w="1170" w:type="dxa"/>
            <w:tcMar>
              <w:top w:w="40" w:type="dxa"/>
              <w:left w:w="40" w:type="dxa"/>
              <w:bottom w:w="40" w:type="dxa"/>
              <w:right w:w="40" w:type="dxa"/>
            </w:tcMar>
            <w:vAlign w:val="center"/>
          </w:tcPr>
          <w:p w14:paraId="541E4B57" w14:textId="77777777" w:rsidR="0075484A" w:rsidRPr="00C63214" w:rsidRDefault="0075484A" w:rsidP="00633290">
            <w:pPr>
              <w:widowControl w:val="0"/>
              <w:jc w:val="center"/>
              <w:rPr>
                <w:color w:val="000000"/>
                <w:sz w:val="21"/>
                <w:szCs w:val="21"/>
                <w:lang w:val="en-US"/>
              </w:rPr>
            </w:pPr>
            <w:r w:rsidRPr="00C63214">
              <w:rPr>
                <w:color w:val="000000"/>
                <w:sz w:val="21"/>
                <w:szCs w:val="21"/>
                <w:lang w:val="en-US"/>
              </w:rPr>
              <w:t>Reference</w:t>
            </w:r>
          </w:p>
        </w:tc>
        <w:tc>
          <w:tcPr>
            <w:tcW w:w="990" w:type="dxa"/>
            <w:tcMar>
              <w:top w:w="40" w:type="dxa"/>
              <w:left w:w="40" w:type="dxa"/>
              <w:bottom w:w="40" w:type="dxa"/>
              <w:right w:w="40" w:type="dxa"/>
            </w:tcMar>
            <w:vAlign w:val="center"/>
          </w:tcPr>
          <w:p w14:paraId="293D1D34" w14:textId="77777777" w:rsidR="0075484A" w:rsidRPr="00C63214" w:rsidRDefault="0075484A" w:rsidP="00633290">
            <w:pPr>
              <w:widowControl w:val="0"/>
              <w:jc w:val="center"/>
              <w:rPr>
                <w:color w:val="000000"/>
                <w:sz w:val="21"/>
                <w:szCs w:val="21"/>
                <w:lang w:val="en-US"/>
              </w:rPr>
            </w:pPr>
            <w:r w:rsidRPr="00C63214">
              <w:rPr>
                <w:color w:val="000000"/>
                <w:sz w:val="21"/>
                <w:szCs w:val="21"/>
                <w:lang w:val="en-US"/>
              </w:rPr>
              <w:t>Type of Study</w:t>
            </w:r>
          </w:p>
        </w:tc>
        <w:tc>
          <w:tcPr>
            <w:tcW w:w="1080" w:type="dxa"/>
            <w:tcMar>
              <w:top w:w="40" w:type="dxa"/>
              <w:left w:w="40" w:type="dxa"/>
              <w:bottom w:w="40" w:type="dxa"/>
              <w:right w:w="40" w:type="dxa"/>
            </w:tcMar>
            <w:vAlign w:val="center"/>
          </w:tcPr>
          <w:p w14:paraId="28960A24" w14:textId="77777777" w:rsidR="0075484A" w:rsidRPr="00C63214" w:rsidRDefault="0075484A" w:rsidP="00633290">
            <w:pPr>
              <w:widowControl w:val="0"/>
              <w:jc w:val="center"/>
              <w:rPr>
                <w:color w:val="000000"/>
                <w:sz w:val="21"/>
                <w:szCs w:val="21"/>
                <w:lang w:val="en-US"/>
              </w:rPr>
            </w:pPr>
            <w:r w:rsidRPr="00C63214">
              <w:rPr>
                <w:color w:val="000000"/>
                <w:sz w:val="21"/>
                <w:szCs w:val="21"/>
                <w:lang w:val="en-US"/>
              </w:rPr>
              <w:t>Inclusion</w:t>
            </w:r>
          </w:p>
        </w:tc>
        <w:tc>
          <w:tcPr>
            <w:tcW w:w="1530" w:type="dxa"/>
            <w:tcMar>
              <w:top w:w="40" w:type="dxa"/>
              <w:left w:w="40" w:type="dxa"/>
              <w:bottom w:w="40" w:type="dxa"/>
              <w:right w:w="40" w:type="dxa"/>
            </w:tcMar>
            <w:vAlign w:val="center"/>
          </w:tcPr>
          <w:p w14:paraId="1F0FCE0A" w14:textId="77777777" w:rsidR="0075484A" w:rsidRPr="00C63214" w:rsidRDefault="0075484A" w:rsidP="00633290">
            <w:pPr>
              <w:widowControl w:val="0"/>
              <w:jc w:val="center"/>
              <w:rPr>
                <w:color w:val="000000"/>
                <w:sz w:val="21"/>
                <w:szCs w:val="21"/>
                <w:lang w:val="en-US"/>
              </w:rPr>
            </w:pPr>
            <w:r w:rsidRPr="00C63214">
              <w:rPr>
                <w:color w:val="000000"/>
                <w:sz w:val="21"/>
                <w:szCs w:val="21"/>
                <w:lang w:val="en-US"/>
              </w:rPr>
              <w:t>VR Tech</w:t>
            </w:r>
          </w:p>
        </w:tc>
        <w:tc>
          <w:tcPr>
            <w:tcW w:w="1170" w:type="dxa"/>
            <w:tcMar>
              <w:top w:w="40" w:type="dxa"/>
              <w:left w:w="40" w:type="dxa"/>
              <w:bottom w:w="40" w:type="dxa"/>
              <w:right w:w="40" w:type="dxa"/>
            </w:tcMar>
            <w:vAlign w:val="center"/>
          </w:tcPr>
          <w:p w14:paraId="3C6009A2" w14:textId="6170DD20" w:rsidR="0075484A" w:rsidRPr="00C63214" w:rsidRDefault="00633290" w:rsidP="00633290">
            <w:pPr>
              <w:widowControl w:val="0"/>
              <w:jc w:val="center"/>
              <w:rPr>
                <w:color w:val="000000"/>
                <w:sz w:val="21"/>
                <w:szCs w:val="21"/>
                <w:lang w:val="en-US"/>
              </w:rPr>
            </w:pPr>
            <w:r w:rsidRPr="00C63214">
              <w:rPr>
                <w:color w:val="000000"/>
                <w:sz w:val="21"/>
                <w:szCs w:val="21"/>
                <w:lang w:val="en-US"/>
              </w:rPr>
              <w:t>SAP</w:t>
            </w:r>
          </w:p>
        </w:tc>
        <w:tc>
          <w:tcPr>
            <w:tcW w:w="3870" w:type="dxa"/>
            <w:tcMar>
              <w:top w:w="40" w:type="dxa"/>
              <w:left w:w="40" w:type="dxa"/>
              <w:bottom w:w="40" w:type="dxa"/>
              <w:right w:w="40" w:type="dxa"/>
            </w:tcMar>
            <w:vAlign w:val="center"/>
          </w:tcPr>
          <w:p w14:paraId="4B5E67F0" w14:textId="77777777" w:rsidR="0075484A" w:rsidRPr="00C63214" w:rsidRDefault="0075484A" w:rsidP="00633290">
            <w:pPr>
              <w:widowControl w:val="0"/>
              <w:jc w:val="center"/>
              <w:rPr>
                <w:color w:val="000000"/>
                <w:sz w:val="21"/>
                <w:szCs w:val="21"/>
                <w:lang w:val="en-US"/>
              </w:rPr>
            </w:pPr>
            <w:r w:rsidRPr="00C63214">
              <w:rPr>
                <w:color w:val="000000"/>
                <w:sz w:val="21"/>
                <w:szCs w:val="21"/>
                <w:lang w:val="en-US"/>
              </w:rPr>
              <w:t>Benefits</w:t>
            </w:r>
          </w:p>
        </w:tc>
        <w:tc>
          <w:tcPr>
            <w:tcW w:w="3330" w:type="dxa"/>
            <w:tcMar>
              <w:top w:w="40" w:type="dxa"/>
              <w:left w:w="40" w:type="dxa"/>
              <w:bottom w:w="40" w:type="dxa"/>
              <w:right w:w="40" w:type="dxa"/>
            </w:tcMar>
            <w:vAlign w:val="center"/>
          </w:tcPr>
          <w:p w14:paraId="7FC64517" w14:textId="77777777" w:rsidR="0075484A" w:rsidRPr="00C63214" w:rsidRDefault="0075484A" w:rsidP="00633290">
            <w:pPr>
              <w:widowControl w:val="0"/>
              <w:jc w:val="center"/>
              <w:rPr>
                <w:color w:val="000000"/>
                <w:sz w:val="13"/>
                <w:szCs w:val="13"/>
                <w:lang w:val="en-US"/>
              </w:rPr>
            </w:pPr>
            <w:r w:rsidRPr="00C63214">
              <w:rPr>
                <w:color w:val="000000"/>
                <w:sz w:val="21"/>
                <w:szCs w:val="21"/>
                <w:lang w:val="en-US"/>
              </w:rPr>
              <w:t>Drawbacks</w:t>
            </w:r>
          </w:p>
        </w:tc>
        <w:tc>
          <w:tcPr>
            <w:tcW w:w="2520" w:type="dxa"/>
            <w:tcMar>
              <w:top w:w="40" w:type="dxa"/>
              <w:left w:w="40" w:type="dxa"/>
              <w:bottom w:w="40" w:type="dxa"/>
              <w:right w:w="40" w:type="dxa"/>
            </w:tcMar>
            <w:vAlign w:val="center"/>
          </w:tcPr>
          <w:p w14:paraId="74557A90" w14:textId="77777777" w:rsidR="0075484A" w:rsidRPr="00C63214" w:rsidRDefault="0075484A" w:rsidP="00633290">
            <w:pPr>
              <w:widowControl w:val="0"/>
              <w:jc w:val="center"/>
              <w:rPr>
                <w:color w:val="000000"/>
                <w:sz w:val="21"/>
                <w:szCs w:val="21"/>
                <w:lang w:val="en-US"/>
              </w:rPr>
            </w:pPr>
            <w:r w:rsidRPr="00C63214">
              <w:rPr>
                <w:color w:val="000000"/>
                <w:sz w:val="21"/>
                <w:szCs w:val="21"/>
                <w:lang w:val="en-US"/>
              </w:rPr>
              <w:t>Study Quality</w:t>
            </w:r>
          </w:p>
        </w:tc>
      </w:tr>
      <w:tr w:rsidR="00C64576" w:rsidRPr="00C63214" w14:paraId="40AFF12C" w14:textId="77777777" w:rsidTr="00C64576">
        <w:tc>
          <w:tcPr>
            <w:tcW w:w="1170" w:type="dxa"/>
            <w:tcMar>
              <w:top w:w="40" w:type="dxa"/>
              <w:left w:w="40" w:type="dxa"/>
              <w:bottom w:w="40" w:type="dxa"/>
              <w:right w:w="40" w:type="dxa"/>
            </w:tcMar>
            <w:vAlign w:val="center"/>
          </w:tcPr>
          <w:p w14:paraId="10CBA838" w14:textId="28C4D2BD"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Stapelfeldt et al., 2021</w:t>
            </w:r>
            <w:r w:rsidR="0061075C" w:rsidRPr="00C63214">
              <w:rPr>
                <w:color w:val="000000"/>
                <w:sz w:val="15"/>
                <w:szCs w:val="15"/>
                <w:vertAlign w:val="superscript"/>
                <w:lang w:val="en-US"/>
              </w:rPr>
              <w:t>7</w:t>
            </w:r>
          </w:p>
        </w:tc>
        <w:tc>
          <w:tcPr>
            <w:tcW w:w="990" w:type="dxa"/>
            <w:tcMar>
              <w:top w:w="40" w:type="dxa"/>
              <w:left w:w="40" w:type="dxa"/>
              <w:bottom w:w="40" w:type="dxa"/>
              <w:right w:w="40" w:type="dxa"/>
            </w:tcMar>
            <w:vAlign w:val="center"/>
          </w:tcPr>
          <w:p w14:paraId="700136D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cohort</w:t>
            </w:r>
          </w:p>
        </w:tc>
        <w:tc>
          <w:tcPr>
            <w:tcW w:w="1080" w:type="dxa"/>
            <w:tcMar>
              <w:top w:w="40" w:type="dxa"/>
              <w:left w:w="40" w:type="dxa"/>
              <w:bottom w:w="40" w:type="dxa"/>
              <w:right w:w="40" w:type="dxa"/>
            </w:tcMar>
            <w:vAlign w:val="center"/>
          </w:tcPr>
          <w:p w14:paraId="79A10541"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36 healthy patients + 34 glaucoma patients</w:t>
            </w:r>
          </w:p>
        </w:tc>
        <w:tc>
          <w:tcPr>
            <w:tcW w:w="1530" w:type="dxa"/>
            <w:tcMar>
              <w:top w:w="40" w:type="dxa"/>
              <w:left w:w="40" w:type="dxa"/>
              <w:bottom w:w="40" w:type="dxa"/>
              <w:right w:w="40" w:type="dxa"/>
            </w:tcMar>
            <w:vAlign w:val="center"/>
          </w:tcPr>
          <w:p w14:paraId="31538F4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Oculus Quest VR headset (Facebook Technologies, LLC, Bern, Switzerland) + clicker for participant response feedback</w:t>
            </w:r>
          </w:p>
        </w:tc>
        <w:tc>
          <w:tcPr>
            <w:tcW w:w="1170" w:type="dxa"/>
            <w:tcMar>
              <w:top w:w="40" w:type="dxa"/>
              <w:left w:w="40" w:type="dxa"/>
              <w:bottom w:w="40" w:type="dxa"/>
              <w:right w:w="40" w:type="dxa"/>
            </w:tcMar>
            <w:vAlign w:val="center"/>
          </w:tcPr>
          <w:p w14:paraId="6DABF8E5"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Octopus 900 (Haag-Streit, Köniz, Switzerland)</w:t>
            </w:r>
          </w:p>
        </w:tc>
        <w:tc>
          <w:tcPr>
            <w:tcW w:w="3870" w:type="dxa"/>
            <w:tcMar>
              <w:top w:w="40" w:type="dxa"/>
              <w:left w:w="40" w:type="dxa"/>
              <w:bottom w:w="40" w:type="dxa"/>
              <w:right w:w="40" w:type="dxa"/>
            </w:tcMar>
            <w:vAlign w:val="center"/>
          </w:tcPr>
          <w:p w14:paraId="7978572F"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Comparable perimetry parameters when comparing VR perimetry to Octopus 900. VR perimeter more portable and more accessible than Octopus 900. Mean defect comparison of Octopus 900 and the VR perimetry system using Spearman’s ranked correlation showed good agreement between both device measurements with ρ being larger than 0.7 for all and glaucomatous subjects. Longer VR testing time for healthy patients but not for glaucoma patients.</w:t>
            </w:r>
          </w:p>
        </w:tc>
        <w:tc>
          <w:tcPr>
            <w:tcW w:w="3330" w:type="dxa"/>
            <w:tcMar>
              <w:top w:w="40" w:type="dxa"/>
              <w:left w:w="40" w:type="dxa"/>
              <w:bottom w:w="40" w:type="dxa"/>
              <w:right w:w="40" w:type="dxa"/>
            </w:tcMar>
            <w:vAlign w:val="center"/>
          </w:tcPr>
          <w:p w14:paraId="18B598C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The VR system was found to slightly underestimate VF defects in glaucoma subjects (1.4 dB). Proposed VR system has limited luminance range that does not allow advanced losses to be measured as accurately as in SAP. VR perimetry requires calibration of screen luminosity, which may be affected by various internal and external factors (i.e., device temperature, battery level, etc.). This may induce additional noise into measurements.</w:t>
            </w:r>
          </w:p>
        </w:tc>
        <w:tc>
          <w:tcPr>
            <w:tcW w:w="2520" w:type="dxa"/>
            <w:tcMar>
              <w:top w:w="40" w:type="dxa"/>
              <w:left w:w="40" w:type="dxa"/>
              <w:bottom w:w="40" w:type="dxa"/>
              <w:right w:w="40" w:type="dxa"/>
            </w:tcMar>
            <w:vAlign w:val="center"/>
          </w:tcPr>
          <w:p w14:paraId="09B35AD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Single center study. Current clinical study did not investigate the test-retest variability as well as the diagnostic utility of the proposed system, which are important metrics in assessing perimetry performance.</w:t>
            </w:r>
          </w:p>
        </w:tc>
      </w:tr>
      <w:tr w:rsidR="00C64576" w:rsidRPr="00C63214" w14:paraId="7575DC82" w14:textId="77777777" w:rsidTr="00C64576">
        <w:tc>
          <w:tcPr>
            <w:tcW w:w="1170" w:type="dxa"/>
            <w:tcMar>
              <w:top w:w="40" w:type="dxa"/>
              <w:left w:w="40" w:type="dxa"/>
              <w:bottom w:w="40" w:type="dxa"/>
              <w:right w:w="40" w:type="dxa"/>
            </w:tcMar>
            <w:vAlign w:val="center"/>
          </w:tcPr>
          <w:p w14:paraId="38C3F861" w14:textId="7DC13F82"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Wong et al., 2023</w:t>
            </w:r>
            <w:r w:rsidR="0061075C" w:rsidRPr="00C63214">
              <w:rPr>
                <w:color w:val="000000"/>
                <w:sz w:val="15"/>
                <w:szCs w:val="15"/>
                <w:vertAlign w:val="superscript"/>
                <w:lang w:val="en-US"/>
              </w:rPr>
              <w:t>13</w:t>
            </w:r>
          </w:p>
        </w:tc>
        <w:tc>
          <w:tcPr>
            <w:tcW w:w="990" w:type="dxa"/>
            <w:tcMar>
              <w:top w:w="40" w:type="dxa"/>
              <w:left w:w="40" w:type="dxa"/>
              <w:bottom w:w="40" w:type="dxa"/>
              <w:right w:w="40" w:type="dxa"/>
            </w:tcMar>
            <w:vAlign w:val="center"/>
          </w:tcPr>
          <w:p w14:paraId="511C817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observational proof-of-concept</w:t>
            </w:r>
          </w:p>
        </w:tc>
        <w:tc>
          <w:tcPr>
            <w:tcW w:w="1080" w:type="dxa"/>
            <w:tcMar>
              <w:top w:w="40" w:type="dxa"/>
              <w:left w:w="40" w:type="dxa"/>
              <w:bottom w:w="40" w:type="dxa"/>
              <w:right w:w="40" w:type="dxa"/>
            </w:tcMar>
            <w:vAlign w:val="center"/>
          </w:tcPr>
          <w:p w14:paraId="4D9ED4F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10 glaucoma patients</w:t>
            </w:r>
          </w:p>
        </w:tc>
        <w:tc>
          <w:tcPr>
            <w:tcW w:w="1530" w:type="dxa"/>
            <w:tcMar>
              <w:top w:w="40" w:type="dxa"/>
              <w:left w:w="40" w:type="dxa"/>
              <w:bottom w:w="40" w:type="dxa"/>
              <w:right w:w="40" w:type="dxa"/>
            </w:tcMar>
            <w:vAlign w:val="center"/>
          </w:tcPr>
          <w:p w14:paraId="615C1C4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VR headset with Perispace v1.1 algorithm</w:t>
            </w:r>
          </w:p>
        </w:tc>
        <w:tc>
          <w:tcPr>
            <w:tcW w:w="1170" w:type="dxa"/>
            <w:tcMar>
              <w:top w:w="40" w:type="dxa"/>
              <w:left w:w="40" w:type="dxa"/>
              <w:bottom w:w="40" w:type="dxa"/>
              <w:right w:w="40" w:type="dxa"/>
            </w:tcMar>
            <w:vAlign w:val="center"/>
          </w:tcPr>
          <w:p w14:paraId="25B5E43A"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Humphrey Field Analyzer (HFA; Carl Zeiss Meditec, Jena, Germany)</w:t>
            </w:r>
          </w:p>
        </w:tc>
        <w:tc>
          <w:tcPr>
            <w:tcW w:w="3870" w:type="dxa"/>
            <w:tcMar>
              <w:top w:w="40" w:type="dxa"/>
              <w:left w:w="40" w:type="dxa"/>
              <w:bottom w:w="40" w:type="dxa"/>
              <w:right w:w="40" w:type="dxa"/>
            </w:tcMar>
            <w:vAlign w:val="center"/>
          </w:tcPr>
          <w:p w14:paraId="4E01586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VR perimetry in metaverse environment demonstrates good overall agreement, pointwise concordance, and topographic map concordance when compared with HFA 24-2 Swedish interactive threshold algorithm (SITA)-fast perimetry test. VR perimetry in metaverse environment allows automation of operator requirements which decentralizes availability of crucial functional vision testing into out-of-hospital settings to overcome the limitations of physical space and infectious disease transmission risk in hospital settings.</w:t>
            </w:r>
          </w:p>
        </w:tc>
        <w:tc>
          <w:tcPr>
            <w:tcW w:w="3330" w:type="dxa"/>
            <w:tcMar>
              <w:top w:w="40" w:type="dxa"/>
              <w:left w:w="40" w:type="dxa"/>
              <w:bottom w:w="40" w:type="dxa"/>
              <w:right w:w="40" w:type="dxa"/>
            </w:tcMar>
            <w:vAlign w:val="center"/>
          </w:tcPr>
          <w:p w14:paraId="24A8CD9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w:t>
            </w:r>
          </w:p>
        </w:tc>
        <w:tc>
          <w:tcPr>
            <w:tcW w:w="2520" w:type="dxa"/>
            <w:tcMar>
              <w:top w:w="40" w:type="dxa"/>
              <w:left w:w="0" w:type="dxa"/>
              <w:bottom w:w="40" w:type="dxa"/>
              <w:right w:w="0" w:type="dxa"/>
            </w:tcMar>
            <w:vAlign w:val="center"/>
          </w:tcPr>
          <w:p w14:paraId="7AE31A5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Small cohort with no control group.</w:t>
            </w:r>
          </w:p>
        </w:tc>
      </w:tr>
      <w:tr w:rsidR="00C64576" w:rsidRPr="00C63214" w14:paraId="4552001E" w14:textId="77777777" w:rsidTr="00C64576">
        <w:tc>
          <w:tcPr>
            <w:tcW w:w="1170" w:type="dxa"/>
            <w:tcMar>
              <w:top w:w="40" w:type="dxa"/>
              <w:left w:w="40" w:type="dxa"/>
              <w:bottom w:w="40" w:type="dxa"/>
              <w:right w:w="40" w:type="dxa"/>
            </w:tcMar>
            <w:vAlign w:val="center"/>
          </w:tcPr>
          <w:p w14:paraId="459958E5" w14:textId="35F20C45"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Heinzman et al., 2023</w:t>
            </w:r>
            <w:r w:rsidR="0061075C" w:rsidRPr="00C63214">
              <w:rPr>
                <w:color w:val="000000"/>
                <w:sz w:val="15"/>
                <w:szCs w:val="15"/>
                <w:vertAlign w:val="superscript"/>
                <w:lang w:val="en-US"/>
              </w:rPr>
              <w:t>8</w:t>
            </w:r>
          </w:p>
        </w:tc>
        <w:tc>
          <w:tcPr>
            <w:tcW w:w="990" w:type="dxa"/>
            <w:tcMar>
              <w:top w:w="40" w:type="dxa"/>
              <w:left w:w="40" w:type="dxa"/>
              <w:bottom w:w="40" w:type="dxa"/>
              <w:right w:w="40" w:type="dxa"/>
            </w:tcMar>
            <w:vAlign w:val="center"/>
          </w:tcPr>
          <w:p w14:paraId="26F411CC"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cohort</w:t>
            </w:r>
          </w:p>
        </w:tc>
        <w:tc>
          <w:tcPr>
            <w:tcW w:w="1080" w:type="dxa"/>
            <w:tcMar>
              <w:top w:w="40" w:type="dxa"/>
              <w:left w:w="40" w:type="dxa"/>
              <w:bottom w:w="40" w:type="dxa"/>
              <w:right w:w="40" w:type="dxa"/>
            </w:tcMar>
            <w:vAlign w:val="center"/>
          </w:tcPr>
          <w:p w14:paraId="7C5B995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20 healthy patients + 9 glaucoma patients</w:t>
            </w:r>
          </w:p>
        </w:tc>
        <w:tc>
          <w:tcPr>
            <w:tcW w:w="1530" w:type="dxa"/>
            <w:tcMar>
              <w:top w:w="40" w:type="dxa"/>
              <w:left w:w="40" w:type="dxa"/>
              <w:bottom w:w="40" w:type="dxa"/>
              <w:right w:w="40" w:type="dxa"/>
            </w:tcMar>
            <w:vAlign w:val="center"/>
          </w:tcPr>
          <w:p w14:paraId="6115D34D"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Iowa Head-Mounted Display (HMD) Open-Source Perimeter; Samsung Galaxy S9 smartphone (Samsung Electronics Co., Suwon, South Korea) + second-generation Google Daydream View VR headset</w:t>
            </w:r>
          </w:p>
        </w:tc>
        <w:tc>
          <w:tcPr>
            <w:tcW w:w="1170" w:type="dxa"/>
            <w:tcMar>
              <w:top w:w="40" w:type="dxa"/>
              <w:left w:w="40" w:type="dxa"/>
              <w:bottom w:w="40" w:type="dxa"/>
              <w:right w:w="40" w:type="dxa"/>
            </w:tcMar>
            <w:vAlign w:val="center"/>
          </w:tcPr>
          <w:p w14:paraId="1D581C3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Octopus 900</w:t>
            </w:r>
          </w:p>
        </w:tc>
        <w:tc>
          <w:tcPr>
            <w:tcW w:w="3870" w:type="dxa"/>
            <w:tcMar>
              <w:top w:w="40" w:type="dxa"/>
              <w:left w:w="40" w:type="dxa"/>
              <w:bottom w:w="40" w:type="dxa"/>
              <w:right w:w="40" w:type="dxa"/>
            </w:tcMar>
            <w:vAlign w:val="center"/>
          </w:tcPr>
          <w:p w14:paraId="583E813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VR perimetry with the HMD is highly repeatable with excellent pointwise agreement with Octopus 900. VR perimetry can be performed with inexpensive hardware (using the Open Perimetry Interface) at around 3% the cost of the Octopus 900. VR perimetry is portable and has potential to decrease barriers to VF testing and protect sight by increasing access to early detection of degenerative eye diseases. Patients preferred testing on the HMD compared to Octopus 900 due to increased comfort and ease of use.</w:t>
            </w:r>
          </w:p>
        </w:tc>
        <w:tc>
          <w:tcPr>
            <w:tcW w:w="3330" w:type="dxa"/>
            <w:tcMar>
              <w:top w:w="40" w:type="dxa"/>
              <w:left w:w="40" w:type="dxa"/>
              <w:bottom w:w="40" w:type="dxa"/>
              <w:right w:w="40" w:type="dxa"/>
            </w:tcMar>
            <w:vAlign w:val="center"/>
          </w:tcPr>
          <w:p w14:paraId="70F090D1"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The floor effect (the level below which further disease-related changes become undetectable) in this device prevents distinguishing locations with poor sensitivity from those that are perimetrically blind. The device tested has no eye tracking, so it is impossible to determine whether the increased retest variability in the periphery in glaucoma subjects was associated with fixation drift or headset positioning.</w:t>
            </w:r>
          </w:p>
        </w:tc>
        <w:tc>
          <w:tcPr>
            <w:tcW w:w="2520" w:type="dxa"/>
            <w:tcMar>
              <w:top w:w="40" w:type="dxa"/>
              <w:left w:w="0" w:type="dxa"/>
              <w:bottom w:w="40" w:type="dxa"/>
              <w:right w:w="0" w:type="dxa"/>
            </w:tcMar>
            <w:vAlign w:val="center"/>
          </w:tcPr>
          <w:p w14:paraId="57F0A0B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Single center study that is limited in scope to assessment of the dynamic range, retest variability of the HMD, and the pointwise threshold comparison to the Octopus 900. Study did not evaluate sensitivity or specificity for the detection of VF defects or their progression.</w:t>
            </w:r>
          </w:p>
        </w:tc>
      </w:tr>
      <w:tr w:rsidR="00C64576" w:rsidRPr="00C63214" w14:paraId="0D7E8552" w14:textId="77777777" w:rsidTr="00C64576">
        <w:tc>
          <w:tcPr>
            <w:tcW w:w="1170" w:type="dxa"/>
            <w:tcMar>
              <w:top w:w="40" w:type="dxa"/>
              <w:left w:w="40" w:type="dxa"/>
              <w:bottom w:w="40" w:type="dxa"/>
              <w:right w:w="40" w:type="dxa"/>
            </w:tcMar>
            <w:vAlign w:val="center"/>
          </w:tcPr>
          <w:p w14:paraId="75DB59DC" w14:textId="7F1BC5A7"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McLaughlin et al., 202</w:t>
            </w:r>
            <w:r w:rsidR="0061075C" w:rsidRPr="00C63214">
              <w:rPr>
                <w:color w:val="000000"/>
                <w:sz w:val="15"/>
                <w:szCs w:val="15"/>
                <w:lang w:val="en-US"/>
              </w:rPr>
              <w:t>4</w:t>
            </w:r>
            <w:r w:rsidR="0061075C" w:rsidRPr="00C63214">
              <w:rPr>
                <w:color w:val="000000"/>
                <w:sz w:val="15"/>
                <w:szCs w:val="15"/>
                <w:vertAlign w:val="superscript"/>
                <w:lang w:val="en-US"/>
              </w:rPr>
              <w:t>9</w:t>
            </w:r>
          </w:p>
        </w:tc>
        <w:tc>
          <w:tcPr>
            <w:tcW w:w="990" w:type="dxa"/>
            <w:tcMar>
              <w:top w:w="40" w:type="dxa"/>
              <w:left w:w="40" w:type="dxa"/>
              <w:bottom w:w="40" w:type="dxa"/>
              <w:right w:w="40" w:type="dxa"/>
            </w:tcMar>
            <w:vAlign w:val="center"/>
          </w:tcPr>
          <w:p w14:paraId="7B133A6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cohort</w:t>
            </w:r>
          </w:p>
        </w:tc>
        <w:tc>
          <w:tcPr>
            <w:tcW w:w="1080" w:type="dxa"/>
            <w:tcMar>
              <w:top w:w="40" w:type="dxa"/>
              <w:left w:w="40" w:type="dxa"/>
              <w:bottom w:w="40" w:type="dxa"/>
              <w:right w:w="40" w:type="dxa"/>
            </w:tcMar>
            <w:vAlign w:val="center"/>
          </w:tcPr>
          <w:p w14:paraId="2BB3F6B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10 healthy patients + 11 glaucoma patients</w:t>
            </w:r>
          </w:p>
        </w:tc>
        <w:tc>
          <w:tcPr>
            <w:tcW w:w="1530" w:type="dxa"/>
            <w:tcMar>
              <w:top w:w="40" w:type="dxa"/>
              <w:left w:w="40" w:type="dxa"/>
              <w:bottom w:w="40" w:type="dxa"/>
              <w:right w:w="40" w:type="dxa"/>
            </w:tcMar>
            <w:vAlign w:val="center"/>
          </w:tcPr>
          <w:p w14:paraId="320C324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VRVF device (Virtual Vision)</w:t>
            </w:r>
          </w:p>
        </w:tc>
        <w:tc>
          <w:tcPr>
            <w:tcW w:w="1170" w:type="dxa"/>
            <w:tcMar>
              <w:top w:w="40" w:type="dxa"/>
              <w:left w:w="40" w:type="dxa"/>
              <w:bottom w:w="40" w:type="dxa"/>
              <w:right w:w="40" w:type="dxa"/>
            </w:tcMar>
            <w:vAlign w:val="center"/>
          </w:tcPr>
          <w:p w14:paraId="18F1B44C"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 3</w:t>
            </w:r>
          </w:p>
        </w:tc>
        <w:tc>
          <w:tcPr>
            <w:tcW w:w="3870" w:type="dxa"/>
            <w:tcMar>
              <w:top w:w="40" w:type="dxa"/>
              <w:left w:w="40" w:type="dxa"/>
              <w:bottom w:w="40" w:type="dxa"/>
              <w:right w:w="40" w:type="dxa"/>
            </w:tcMar>
            <w:vAlign w:val="center"/>
          </w:tcPr>
          <w:p w14:paraId="0B9E8DAC"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 xml:space="preserve">Sequential unassisted, home-administered VRVFTs were reliable (similar findings from one test to another), accurate (in good agreement with SAP), and acceptable (easy and comfortable usability by the test-taker). VRVF testing has greater flexibility in both time and location of </w:t>
            </w:r>
            <w:r w:rsidRPr="00C63214">
              <w:rPr>
                <w:color w:val="000000"/>
                <w:sz w:val="15"/>
                <w:szCs w:val="15"/>
                <w:lang w:val="en-US"/>
              </w:rPr>
              <w:lastRenderedPageBreak/>
              <w:t>testing with automated auditory and written instructions.</w:t>
            </w:r>
          </w:p>
        </w:tc>
        <w:tc>
          <w:tcPr>
            <w:tcW w:w="3330" w:type="dxa"/>
            <w:tcMar>
              <w:top w:w="40" w:type="dxa"/>
              <w:left w:w="40" w:type="dxa"/>
              <w:bottom w:w="40" w:type="dxa"/>
              <w:right w:w="40" w:type="dxa"/>
            </w:tcMar>
            <w:vAlign w:val="center"/>
          </w:tcPr>
          <w:p w14:paraId="5CADAC97"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 xml:space="preserve">VRVFT environments are not as consistent at home as they are in the clinic, which may impact examination results. The nasal values were on average 2– 4 decibels lower when testing on the VRVF device than with SAP. VRVF’s maximum </w:t>
            </w:r>
            <w:r w:rsidRPr="00C63214">
              <w:rPr>
                <w:color w:val="000000"/>
                <w:sz w:val="15"/>
                <w:szCs w:val="15"/>
                <w:lang w:val="en-US"/>
              </w:rPr>
              <w:lastRenderedPageBreak/>
              <w:t>stimuli luminance and background luminance are dimmer than that of SAP, as a result, the contrast between the stimuli and background may vary between the two devices, potentially explaining the lower light sensitivity values on the VRVFT. Practice of telemedicine may be limited systemically by licensing, access to proper technology, disabilities, and testing sensitivity.</w:t>
            </w:r>
          </w:p>
        </w:tc>
        <w:tc>
          <w:tcPr>
            <w:tcW w:w="2520" w:type="dxa"/>
            <w:tcMar>
              <w:top w:w="40" w:type="dxa"/>
              <w:left w:w="0" w:type="dxa"/>
              <w:bottom w:w="40" w:type="dxa"/>
              <w:right w:w="0" w:type="dxa"/>
            </w:tcMar>
            <w:vAlign w:val="center"/>
          </w:tcPr>
          <w:p w14:paraId="0DC30409"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 xml:space="preserve">Healthy patients were, on average, 12 years older than glaucoma group. Testing of controls was done 1 year prior to testing of glaucoma patients. Test-retest reproducibility in diseased </w:t>
            </w:r>
            <w:r w:rsidRPr="00C63214">
              <w:rPr>
                <w:color w:val="000000"/>
                <w:sz w:val="15"/>
                <w:szCs w:val="15"/>
                <w:lang w:val="en-US"/>
              </w:rPr>
              <w:lastRenderedPageBreak/>
              <w:t>group was superior compared to non-diseased group. Lack of liners and antifog spray for healthy patients may confound test results and comparisons to glaucoma patients, which tested on devices with liners and antifog spray. This study analyzed their findings using mean sensitivity, which does not convey spatial information or variability. Enhanced supervision may be necessary in old or young age, low education status, and history of poor test-taking.</w:t>
            </w:r>
          </w:p>
        </w:tc>
      </w:tr>
      <w:tr w:rsidR="00C64576" w:rsidRPr="00C63214" w14:paraId="11E81B71" w14:textId="77777777" w:rsidTr="00C64576">
        <w:tc>
          <w:tcPr>
            <w:tcW w:w="1170" w:type="dxa"/>
            <w:tcMar>
              <w:top w:w="40" w:type="dxa"/>
              <w:left w:w="40" w:type="dxa"/>
              <w:bottom w:w="40" w:type="dxa"/>
              <w:right w:w="40" w:type="dxa"/>
            </w:tcMar>
            <w:vAlign w:val="center"/>
          </w:tcPr>
          <w:p w14:paraId="49CD492B" w14:textId="2B2DC037"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lastRenderedPageBreak/>
              <w:t>Chia et al., 2024</w:t>
            </w:r>
            <w:r w:rsidR="00FE2F44" w:rsidRPr="00C63214">
              <w:rPr>
                <w:color w:val="000000"/>
                <w:sz w:val="15"/>
                <w:szCs w:val="15"/>
                <w:vertAlign w:val="superscript"/>
                <w:lang w:val="en-US"/>
              </w:rPr>
              <w:t>10</w:t>
            </w:r>
          </w:p>
        </w:tc>
        <w:tc>
          <w:tcPr>
            <w:tcW w:w="990" w:type="dxa"/>
            <w:tcMar>
              <w:top w:w="40" w:type="dxa"/>
              <w:left w:w="40" w:type="dxa"/>
              <w:bottom w:w="40" w:type="dxa"/>
              <w:right w:w="40" w:type="dxa"/>
            </w:tcMar>
            <w:vAlign w:val="center"/>
          </w:tcPr>
          <w:p w14:paraId="637CE12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Cross-sectional</w:t>
            </w:r>
          </w:p>
        </w:tc>
        <w:tc>
          <w:tcPr>
            <w:tcW w:w="1080" w:type="dxa"/>
            <w:tcMar>
              <w:top w:w="40" w:type="dxa"/>
              <w:left w:w="40" w:type="dxa"/>
              <w:bottom w:w="40" w:type="dxa"/>
              <w:right w:w="40" w:type="dxa"/>
            </w:tcMar>
            <w:vAlign w:val="center"/>
          </w:tcPr>
          <w:p w14:paraId="48D713B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21 glaucoma patients</w:t>
            </w:r>
          </w:p>
        </w:tc>
        <w:tc>
          <w:tcPr>
            <w:tcW w:w="1530" w:type="dxa"/>
            <w:tcMar>
              <w:top w:w="40" w:type="dxa"/>
              <w:left w:w="40" w:type="dxa"/>
              <w:bottom w:w="40" w:type="dxa"/>
              <w:right w:w="40" w:type="dxa"/>
            </w:tcMar>
            <w:vAlign w:val="center"/>
          </w:tcPr>
          <w:p w14:paraId="7E1B952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Oculus Go, Facebook. Vivid Vision Perimetry (VVP, Vivid Vision Inc)</w:t>
            </w:r>
          </w:p>
        </w:tc>
        <w:tc>
          <w:tcPr>
            <w:tcW w:w="1170" w:type="dxa"/>
            <w:tcMar>
              <w:top w:w="40" w:type="dxa"/>
              <w:left w:w="40" w:type="dxa"/>
              <w:bottom w:w="40" w:type="dxa"/>
              <w:right w:w="40" w:type="dxa"/>
            </w:tcMar>
            <w:vAlign w:val="center"/>
          </w:tcPr>
          <w:p w14:paraId="03355B20"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w:t>
            </w:r>
          </w:p>
        </w:tc>
        <w:tc>
          <w:tcPr>
            <w:tcW w:w="3870" w:type="dxa"/>
            <w:tcMar>
              <w:top w:w="40" w:type="dxa"/>
              <w:left w:w="40" w:type="dxa"/>
              <w:bottom w:w="40" w:type="dxa"/>
              <w:right w:w="40" w:type="dxa"/>
            </w:tcMar>
            <w:vAlign w:val="center"/>
          </w:tcPr>
          <w:p w14:paraId="30F59465"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Results correlated well with SAP in eyes with moderate-to-severe VF loss from glaucoma. At-home VRVFT circumvents challenges with conventional perimetry long clinic wait times, the need to schedule appointments and travel to the clinic, and significant clinic infrastructure requirements and resources. VRVFT has low test-retest variability. Patients feel more involved in their healthcare via at-home VR perimetry.</w:t>
            </w:r>
          </w:p>
        </w:tc>
        <w:tc>
          <w:tcPr>
            <w:tcW w:w="3330" w:type="dxa"/>
            <w:tcMar>
              <w:top w:w="40" w:type="dxa"/>
              <w:left w:w="40" w:type="dxa"/>
              <w:bottom w:w="40" w:type="dxa"/>
              <w:right w:w="40" w:type="dxa"/>
            </w:tcMar>
            <w:vAlign w:val="center"/>
          </w:tcPr>
          <w:p w14:paraId="584AC241"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 and VVP-10 VRVFT were similarly uncomfortable and fatiguing. VVP-10 multifaction perimetry combined with weight of VR headset precludes those with limited neck mobility from completing the test. VRVFT time per eye per session was also roughly double that of HFA testing. VVP-10 fraction seen has a roughly linear relationship with HFA MS, the relationship is only meaningful for points within the range of approximately 5 to 25 dB and for eyes with significant glaucoma.</w:t>
            </w:r>
          </w:p>
        </w:tc>
        <w:tc>
          <w:tcPr>
            <w:tcW w:w="2520" w:type="dxa"/>
            <w:tcMar>
              <w:top w:w="40" w:type="dxa"/>
              <w:left w:w="0" w:type="dxa"/>
              <w:bottom w:w="40" w:type="dxa"/>
              <w:right w:w="0" w:type="dxa"/>
            </w:tcMar>
            <w:vAlign w:val="center"/>
          </w:tcPr>
          <w:p w14:paraId="470B271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Single center study. 10-session testing regimen made it possible to compute reliability of a single (multisession) VF test from the standard error across the sessions. Subjects required only 1 training session (by inexperienced trainer) which indicates the practical application and feasibility of remote training, although mean age of study population was 62.2 years (young compared to most glaucoma patients). All subjects identified as either White or Asian.</w:t>
            </w:r>
          </w:p>
        </w:tc>
      </w:tr>
      <w:tr w:rsidR="00C64576" w:rsidRPr="00C63214" w14:paraId="0B960A31" w14:textId="77777777" w:rsidTr="00C64576">
        <w:tc>
          <w:tcPr>
            <w:tcW w:w="1170" w:type="dxa"/>
            <w:tcMar>
              <w:top w:w="40" w:type="dxa"/>
              <w:left w:w="40" w:type="dxa"/>
              <w:bottom w:w="40" w:type="dxa"/>
              <w:right w:w="40" w:type="dxa"/>
            </w:tcMar>
            <w:vAlign w:val="center"/>
          </w:tcPr>
          <w:p w14:paraId="10716F5B" w14:textId="4CA92451"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Narang et al., 2022</w:t>
            </w:r>
            <w:r w:rsidR="00FE2F44" w:rsidRPr="00C63214">
              <w:rPr>
                <w:color w:val="000000"/>
                <w:sz w:val="15"/>
                <w:szCs w:val="15"/>
                <w:vertAlign w:val="superscript"/>
                <w:lang w:val="en-US"/>
              </w:rPr>
              <w:t>17</w:t>
            </w:r>
          </w:p>
        </w:tc>
        <w:tc>
          <w:tcPr>
            <w:tcW w:w="990" w:type="dxa"/>
            <w:tcMar>
              <w:top w:w="40" w:type="dxa"/>
              <w:left w:w="40" w:type="dxa"/>
              <w:bottom w:w="40" w:type="dxa"/>
              <w:right w:w="40" w:type="dxa"/>
            </w:tcMar>
            <w:vAlign w:val="center"/>
          </w:tcPr>
          <w:p w14:paraId="6AC9BD77"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cross-sectional, observational</w:t>
            </w:r>
          </w:p>
        </w:tc>
        <w:tc>
          <w:tcPr>
            <w:tcW w:w="1080" w:type="dxa"/>
            <w:tcMar>
              <w:top w:w="40" w:type="dxa"/>
              <w:left w:w="40" w:type="dxa"/>
              <w:bottom w:w="40" w:type="dxa"/>
              <w:right w:w="40" w:type="dxa"/>
            </w:tcMar>
            <w:vAlign w:val="center"/>
          </w:tcPr>
          <w:p w14:paraId="58765C0A"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66 glaucoma patients + 10 glaucoma suspect patients</w:t>
            </w:r>
          </w:p>
        </w:tc>
        <w:tc>
          <w:tcPr>
            <w:tcW w:w="1530" w:type="dxa"/>
            <w:tcMar>
              <w:top w:w="40" w:type="dxa"/>
              <w:left w:w="40" w:type="dxa"/>
              <w:bottom w:w="40" w:type="dxa"/>
              <w:right w:w="40" w:type="dxa"/>
            </w:tcMar>
            <w:vAlign w:val="center"/>
          </w:tcPr>
          <w:p w14:paraId="4FB5D55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Advanced vision analyzer (AVA; Elisar Vision Technology)</w:t>
            </w:r>
          </w:p>
        </w:tc>
        <w:tc>
          <w:tcPr>
            <w:tcW w:w="1170" w:type="dxa"/>
            <w:tcMar>
              <w:top w:w="40" w:type="dxa"/>
              <w:left w:w="40" w:type="dxa"/>
              <w:bottom w:w="40" w:type="dxa"/>
              <w:right w:w="40" w:type="dxa"/>
            </w:tcMar>
            <w:vAlign w:val="center"/>
          </w:tcPr>
          <w:p w14:paraId="0DC6E937"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w:t>
            </w:r>
          </w:p>
        </w:tc>
        <w:tc>
          <w:tcPr>
            <w:tcW w:w="3870" w:type="dxa"/>
            <w:tcMar>
              <w:top w:w="40" w:type="dxa"/>
              <w:left w:w="40" w:type="dxa"/>
              <w:bottom w:w="40" w:type="dxa"/>
              <w:right w:w="40" w:type="dxa"/>
            </w:tcMar>
            <w:vAlign w:val="center"/>
          </w:tcPr>
          <w:p w14:paraId="22ED9EB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Adequate equivalence between AVA and HFA because threshold estimates of AVA strongly correlate with HFA for 10-2 program. For diagnostic purposes, the mean difference and mean sensitivity results of both the devices are comparable and similar. AVA allows perimetry in clinics and home-based settings, as well as in individuals who are remotely located, thereby increasing access to care.</w:t>
            </w:r>
          </w:p>
        </w:tc>
        <w:tc>
          <w:tcPr>
            <w:tcW w:w="3330" w:type="dxa"/>
            <w:tcMar>
              <w:top w:w="40" w:type="dxa"/>
              <w:left w:w="40" w:type="dxa"/>
              <w:bottom w:w="40" w:type="dxa"/>
              <w:right w:w="40" w:type="dxa"/>
            </w:tcMar>
            <w:vAlign w:val="center"/>
          </w:tcPr>
          <w:p w14:paraId="10EE09F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Area under curve for mean sensitivity was higher for HFA and a consistent difference was found in the shape of curve, where the values for AVA trended marginally lower. Global analyses may not be as sensitive as pointwise analyses for early damage because small changes in dB values may not be reflected in the averaging data across the VF. VR headset is flat and can result in stimulus aberration. AVA had longer test times compared to HFA.</w:t>
            </w:r>
          </w:p>
        </w:tc>
        <w:tc>
          <w:tcPr>
            <w:tcW w:w="2520" w:type="dxa"/>
            <w:tcMar>
              <w:top w:w="40" w:type="dxa"/>
              <w:left w:w="0" w:type="dxa"/>
              <w:bottom w:w="40" w:type="dxa"/>
              <w:right w:w="0" w:type="dxa"/>
            </w:tcMar>
            <w:vAlign w:val="center"/>
          </w:tcPr>
          <w:p w14:paraId="17008FB6"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Mean age of the control group was 41.7 years, mean age of the glaucoma group was 61.1, and the mean age of the glaucoma suspects was 51.4 years. Authors state their algorithm accurately detects VF defects even in cases with lower sensitivity values.</w:t>
            </w:r>
          </w:p>
        </w:tc>
      </w:tr>
      <w:tr w:rsidR="00C64576" w:rsidRPr="00C63214" w14:paraId="23799AAF" w14:textId="77777777" w:rsidTr="00C64576">
        <w:tc>
          <w:tcPr>
            <w:tcW w:w="1170" w:type="dxa"/>
            <w:tcMar>
              <w:top w:w="40" w:type="dxa"/>
              <w:left w:w="40" w:type="dxa"/>
              <w:bottom w:w="40" w:type="dxa"/>
              <w:right w:w="40" w:type="dxa"/>
            </w:tcMar>
            <w:vAlign w:val="center"/>
          </w:tcPr>
          <w:p w14:paraId="1611C1CF" w14:textId="07E34098"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Greenfield et al., 2021</w:t>
            </w:r>
            <w:r w:rsidR="00FE2F44" w:rsidRPr="00C63214">
              <w:rPr>
                <w:color w:val="000000"/>
                <w:sz w:val="15"/>
                <w:szCs w:val="15"/>
                <w:vertAlign w:val="superscript"/>
                <w:lang w:val="en-US"/>
              </w:rPr>
              <w:t>11</w:t>
            </w:r>
          </w:p>
        </w:tc>
        <w:tc>
          <w:tcPr>
            <w:tcW w:w="990" w:type="dxa"/>
            <w:tcMar>
              <w:top w:w="40" w:type="dxa"/>
              <w:left w:w="40" w:type="dxa"/>
              <w:bottom w:w="40" w:type="dxa"/>
              <w:right w:w="40" w:type="dxa"/>
            </w:tcMar>
            <w:vAlign w:val="center"/>
          </w:tcPr>
          <w:p w14:paraId="4244EB0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Cross-sectional</w:t>
            </w:r>
          </w:p>
        </w:tc>
        <w:tc>
          <w:tcPr>
            <w:tcW w:w="1080" w:type="dxa"/>
            <w:tcMar>
              <w:top w:w="40" w:type="dxa"/>
              <w:left w:w="40" w:type="dxa"/>
              <w:bottom w:w="40" w:type="dxa"/>
              <w:right w:w="40" w:type="dxa"/>
            </w:tcMar>
            <w:vAlign w:val="center"/>
          </w:tcPr>
          <w:p w14:paraId="68F95AA9"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7 glaucoma patients + 5 glaucoma suspect patients</w:t>
            </w:r>
          </w:p>
        </w:tc>
        <w:tc>
          <w:tcPr>
            <w:tcW w:w="1530" w:type="dxa"/>
            <w:tcMar>
              <w:top w:w="40" w:type="dxa"/>
              <w:left w:w="40" w:type="dxa"/>
              <w:bottom w:w="40" w:type="dxa"/>
              <w:right w:w="40" w:type="dxa"/>
            </w:tcMar>
            <w:vAlign w:val="center"/>
          </w:tcPr>
          <w:p w14:paraId="4117ED8C"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VVP</w:t>
            </w:r>
          </w:p>
        </w:tc>
        <w:tc>
          <w:tcPr>
            <w:tcW w:w="1170" w:type="dxa"/>
            <w:tcMar>
              <w:top w:w="40" w:type="dxa"/>
              <w:left w:w="40" w:type="dxa"/>
              <w:bottom w:w="40" w:type="dxa"/>
              <w:right w:w="40" w:type="dxa"/>
            </w:tcMar>
            <w:vAlign w:val="center"/>
          </w:tcPr>
          <w:p w14:paraId="4E00D9C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 + spectral-domain optical coherence tomography (OCT)</w:t>
            </w:r>
          </w:p>
        </w:tc>
        <w:tc>
          <w:tcPr>
            <w:tcW w:w="3870" w:type="dxa"/>
            <w:tcMar>
              <w:top w:w="40" w:type="dxa"/>
              <w:left w:w="40" w:type="dxa"/>
              <w:bottom w:w="40" w:type="dxa"/>
              <w:right w:w="40" w:type="dxa"/>
            </w:tcMar>
            <w:vAlign w:val="center"/>
          </w:tcPr>
          <w:p w14:paraId="11AF201A"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 xml:space="preserve">VVP Swift test can generate reproducible results and is comparable with SAP. Average mean sensitivity measurements obtained with VVP Swift demonstrated reliability through a statistically significant association with mean difference measurements from the HFA. VVP </w:t>
            </w:r>
            <w:r w:rsidRPr="00C63214">
              <w:rPr>
                <w:color w:val="000000"/>
                <w:sz w:val="15"/>
                <w:szCs w:val="15"/>
                <w:lang w:val="en-US"/>
              </w:rPr>
              <w:lastRenderedPageBreak/>
              <w:t>Swift measurements of VFs were found to be associated with the structural measurements of OCT imaging, and was comparable with association between HFA and OCT. VVP Swift test duration significantly shorter than HFA.</w:t>
            </w:r>
          </w:p>
        </w:tc>
        <w:tc>
          <w:tcPr>
            <w:tcW w:w="3330" w:type="dxa"/>
            <w:tcMar>
              <w:top w:w="40" w:type="dxa"/>
              <w:left w:w="40" w:type="dxa"/>
              <w:bottom w:w="40" w:type="dxa"/>
              <w:right w:w="40" w:type="dxa"/>
            </w:tcMar>
            <w:vAlign w:val="center"/>
          </w:tcPr>
          <w:p w14:paraId="066F4E81"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VVP Swift demonstrated decreasing precision with increased VF damage.</w:t>
            </w:r>
          </w:p>
        </w:tc>
        <w:tc>
          <w:tcPr>
            <w:tcW w:w="2520" w:type="dxa"/>
            <w:tcMar>
              <w:top w:w="40" w:type="dxa"/>
              <w:left w:w="0" w:type="dxa"/>
              <w:bottom w:w="40" w:type="dxa"/>
              <w:right w:w="0" w:type="dxa"/>
            </w:tcMar>
            <w:vAlign w:val="center"/>
          </w:tcPr>
          <w:p w14:paraId="7723622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 xml:space="preserve">No control group. Study had small and nonuniform sample size that hindered meaningful statistical analyses. Study focused on VVP Swift’s ability to perform clinic-based </w:t>
            </w:r>
            <w:r w:rsidRPr="00C63214">
              <w:rPr>
                <w:color w:val="000000"/>
                <w:sz w:val="15"/>
                <w:szCs w:val="15"/>
                <w:lang w:val="en-US"/>
              </w:rPr>
              <w:lastRenderedPageBreak/>
              <w:t>examinations in presence of a skilled technician; outcomes from home-based assessment may differ. In some cases, change in disease progression may have occurred over time, thereby causing bias. Analysis of reproducibility between VVP Swift and HFA examinations was hampered by nonstandardized output statistics between the 2 devices. Thus, no conversion of mean sensitivity between devices was possible, and a correlation was determined to be the best available statistical measure.</w:t>
            </w:r>
          </w:p>
        </w:tc>
      </w:tr>
      <w:tr w:rsidR="00C64576" w:rsidRPr="00C63214" w14:paraId="52BFB526" w14:textId="77777777" w:rsidTr="00C64576">
        <w:tc>
          <w:tcPr>
            <w:tcW w:w="1170" w:type="dxa"/>
            <w:tcMar>
              <w:top w:w="40" w:type="dxa"/>
              <w:left w:w="40" w:type="dxa"/>
              <w:bottom w:w="40" w:type="dxa"/>
              <w:right w:w="40" w:type="dxa"/>
            </w:tcMar>
            <w:vAlign w:val="center"/>
          </w:tcPr>
          <w:p w14:paraId="0B2FF2AF" w14:textId="0E9BD1FE"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lastRenderedPageBreak/>
              <w:t>Shetty et al., 2022</w:t>
            </w:r>
            <w:r w:rsidR="00FE2F44" w:rsidRPr="00C63214">
              <w:rPr>
                <w:color w:val="000000"/>
                <w:sz w:val="15"/>
                <w:szCs w:val="15"/>
                <w:vertAlign w:val="superscript"/>
                <w:lang w:val="en-US"/>
              </w:rPr>
              <w:t>18</w:t>
            </w:r>
          </w:p>
        </w:tc>
        <w:tc>
          <w:tcPr>
            <w:tcW w:w="990" w:type="dxa"/>
            <w:tcMar>
              <w:top w:w="40" w:type="dxa"/>
              <w:left w:w="40" w:type="dxa"/>
              <w:bottom w:w="40" w:type="dxa"/>
              <w:right w:w="40" w:type="dxa"/>
            </w:tcMar>
            <w:vAlign w:val="center"/>
          </w:tcPr>
          <w:p w14:paraId="497DE58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cross-sectional</w:t>
            </w:r>
          </w:p>
        </w:tc>
        <w:tc>
          <w:tcPr>
            <w:tcW w:w="1080" w:type="dxa"/>
            <w:tcMar>
              <w:top w:w="40" w:type="dxa"/>
              <w:left w:w="40" w:type="dxa"/>
              <w:bottom w:w="40" w:type="dxa"/>
              <w:right w:w="40" w:type="dxa"/>
            </w:tcMar>
            <w:vAlign w:val="center"/>
          </w:tcPr>
          <w:p w14:paraId="7DDAA66E"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40 healthy patients + 57 glaucoma patients</w:t>
            </w:r>
          </w:p>
        </w:tc>
        <w:tc>
          <w:tcPr>
            <w:tcW w:w="1530" w:type="dxa"/>
            <w:tcMar>
              <w:top w:w="40" w:type="dxa"/>
              <w:left w:w="40" w:type="dxa"/>
              <w:bottom w:w="40" w:type="dxa"/>
              <w:right w:w="40" w:type="dxa"/>
            </w:tcMar>
            <w:vAlign w:val="center"/>
          </w:tcPr>
          <w:p w14:paraId="482FD3F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Palm Scan VF2000 (Micro Medical Devices)</w:t>
            </w:r>
          </w:p>
        </w:tc>
        <w:tc>
          <w:tcPr>
            <w:tcW w:w="1170" w:type="dxa"/>
            <w:tcMar>
              <w:top w:w="40" w:type="dxa"/>
              <w:left w:w="40" w:type="dxa"/>
              <w:bottom w:w="40" w:type="dxa"/>
              <w:right w:w="40" w:type="dxa"/>
            </w:tcMar>
            <w:vAlign w:val="center"/>
          </w:tcPr>
          <w:p w14:paraId="6DE40E2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w:t>
            </w:r>
          </w:p>
        </w:tc>
        <w:tc>
          <w:tcPr>
            <w:tcW w:w="3870" w:type="dxa"/>
            <w:tcMar>
              <w:top w:w="40" w:type="dxa"/>
              <w:left w:w="40" w:type="dxa"/>
              <w:bottom w:w="40" w:type="dxa"/>
              <w:right w:w="40" w:type="dxa"/>
            </w:tcMar>
            <w:vAlign w:val="center"/>
          </w:tcPr>
          <w:p w14:paraId="60FF394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Sensitivity and positive predictive value for identifying glaucoma with Palm Scan were 100%. Sensitivity and specificity observed was better compared with that of OCT for classification of eyes as glaucomatous or non-glaucomatous. Palm Scan is portable, battery operated, and does not require a dedicated dark room or the eye to be occluded. It is more practical to use in children and those with disabilities, in nursing homes, and in hospitals that can’t use SAP testing.</w:t>
            </w:r>
          </w:p>
        </w:tc>
        <w:tc>
          <w:tcPr>
            <w:tcW w:w="3330" w:type="dxa"/>
            <w:tcMar>
              <w:top w:w="40" w:type="dxa"/>
              <w:left w:w="40" w:type="dxa"/>
              <w:bottom w:w="40" w:type="dxa"/>
              <w:right w:w="40" w:type="dxa"/>
            </w:tcMar>
            <w:vAlign w:val="center"/>
          </w:tcPr>
          <w:p w14:paraId="3A44DCEA"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Low sensitivity, specificity, PPV, and NPV for detecting severity of glaucoma. Can only be used as a screening tool as of now.</w:t>
            </w:r>
          </w:p>
        </w:tc>
        <w:tc>
          <w:tcPr>
            <w:tcW w:w="2520" w:type="dxa"/>
            <w:tcMar>
              <w:top w:w="40" w:type="dxa"/>
              <w:left w:w="0" w:type="dxa"/>
              <w:bottom w:w="40" w:type="dxa"/>
              <w:right w:w="0" w:type="dxa"/>
            </w:tcMar>
            <w:vAlign w:val="center"/>
          </w:tcPr>
          <w:p w14:paraId="7EDBD67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Agreement was best for classification of glaucoma as mild or severe; however, the agreement was not good for classification cut-off at mild or moderate, and moderate or severe. Patients who came to clinic are more likely to adhere to all instructions during these tests, which may influence the test results when compared to home- or community-based settings.</w:t>
            </w:r>
          </w:p>
        </w:tc>
      </w:tr>
      <w:tr w:rsidR="00C64576" w:rsidRPr="00C63214" w14:paraId="193EDDD0" w14:textId="77777777" w:rsidTr="00C64576">
        <w:tc>
          <w:tcPr>
            <w:tcW w:w="1170" w:type="dxa"/>
            <w:tcMar>
              <w:top w:w="40" w:type="dxa"/>
              <w:left w:w="40" w:type="dxa"/>
              <w:bottom w:w="40" w:type="dxa"/>
              <w:right w:w="40" w:type="dxa"/>
            </w:tcMar>
            <w:vAlign w:val="center"/>
          </w:tcPr>
          <w:p w14:paraId="1F9560E0" w14:textId="4D0044B5"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Soans et al., 2021</w:t>
            </w:r>
            <w:r w:rsidR="00C25DB1" w:rsidRPr="00C63214">
              <w:rPr>
                <w:color w:val="000000"/>
                <w:sz w:val="15"/>
                <w:szCs w:val="15"/>
                <w:vertAlign w:val="superscript"/>
                <w:lang w:val="en-US"/>
              </w:rPr>
              <w:t>12</w:t>
            </w:r>
          </w:p>
        </w:tc>
        <w:tc>
          <w:tcPr>
            <w:tcW w:w="990" w:type="dxa"/>
            <w:tcMar>
              <w:top w:w="40" w:type="dxa"/>
              <w:left w:w="40" w:type="dxa"/>
              <w:bottom w:w="40" w:type="dxa"/>
              <w:right w:w="40" w:type="dxa"/>
            </w:tcMar>
            <w:vAlign w:val="center"/>
          </w:tcPr>
          <w:p w14:paraId="40B244B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observational case series</w:t>
            </w:r>
          </w:p>
        </w:tc>
        <w:tc>
          <w:tcPr>
            <w:tcW w:w="1080" w:type="dxa"/>
            <w:tcMar>
              <w:top w:w="40" w:type="dxa"/>
              <w:left w:w="40" w:type="dxa"/>
              <w:bottom w:w="40" w:type="dxa"/>
              <w:right w:w="40" w:type="dxa"/>
            </w:tcMar>
            <w:vAlign w:val="center"/>
          </w:tcPr>
          <w:p w14:paraId="120239E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21 healthy patients + 15 glaucoma patients + 17 neuro-ophthalmic disorder patients</w:t>
            </w:r>
          </w:p>
        </w:tc>
        <w:tc>
          <w:tcPr>
            <w:tcW w:w="1530" w:type="dxa"/>
            <w:tcMar>
              <w:top w:w="40" w:type="dxa"/>
              <w:left w:w="40" w:type="dxa"/>
              <w:bottom w:w="40" w:type="dxa"/>
              <w:right w:w="40" w:type="dxa"/>
            </w:tcMar>
            <w:vAlign w:val="center"/>
          </w:tcPr>
          <w:p w14:paraId="7A743991"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FOVE0 (Fove Inc., Tokyo, Japan) VR head-mounted device (HMD)</w:t>
            </w:r>
          </w:p>
        </w:tc>
        <w:tc>
          <w:tcPr>
            <w:tcW w:w="1170" w:type="dxa"/>
            <w:tcMar>
              <w:top w:w="40" w:type="dxa"/>
              <w:left w:w="40" w:type="dxa"/>
              <w:bottom w:w="40" w:type="dxa"/>
              <w:right w:w="40" w:type="dxa"/>
            </w:tcMar>
            <w:vAlign w:val="center"/>
          </w:tcPr>
          <w:p w14:paraId="57D16A0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 3 + Tobii T120 (Tobii Technology, Stockholm, Sweden) screen-based eye tracker</w:t>
            </w:r>
          </w:p>
        </w:tc>
        <w:tc>
          <w:tcPr>
            <w:tcW w:w="3870" w:type="dxa"/>
            <w:tcMar>
              <w:top w:w="40" w:type="dxa"/>
              <w:left w:w="40" w:type="dxa"/>
              <w:bottom w:w="40" w:type="dxa"/>
              <w:right w:w="40" w:type="dxa"/>
            </w:tcMar>
            <w:vAlign w:val="center"/>
          </w:tcPr>
          <w:p w14:paraId="17DDA69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Participants in each group prefer the VR setup in almost all the dimensions of user experience. VRVFT able to identify and distinguish patients with glaucomatous and neuro-ophthalmic defects from controls based on their oculomotor characteristics. Spatio-temporal properties obtained through VRVFT method is similar across screen-based eye tracker and VR setups, with the latter performing better.</w:t>
            </w:r>
          </w:p>
        </w:tc>
        <w:tc>
          <w:tcPr>
            <w:tcW w:w="3330" w:type="dxa"/>
            <w:tcMar>
              <w:top w:w="40" w:type="dxa"/>
              <w:left w:w="40" w:type="dxa"/>
              <w:bottom w:w="40" w:type="dxa"/>
              <w:right w:w="40" w:type="dxa"/>
            </w:tcMar>
            <w:vAlign w:val="center"/>
          </w:tcPr>
          <w:p w14:paraId="2D4C1DEF"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Eye-tracking on HMD technology is currently inferior to research-grade eye trackers in terms of tech specifications.</w:t>
            </w:r>
          </w:p>
        </w:tc>
        <w:tc>
          <w:tcPr>
            <w:tcW w:w="2520" w:type="dxa"/>
            <w:tcMar>
              <w:top w:w="40" w:type="dxa"/>
              <w:left w:w="0" w:type="dxa"/>
              <w:bottom w:w="40" w:type="dxa"/>
              <w:right w:w="0" w:type="dxa"/>
            </w:tcMar>
            <w:vAlign w:val="center"/>
          </w:tcPr>
          <w:p w14:paraId="5C252D11"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SAP is compared to VRVFT only in terms of user experience. Number of participants in study was relatively small (for machine-learning approaches).</w:t>
            </w:r>
          </w:p>
        </w:tc>
      </w:tr>
      <w:tr w:rsidR="00C64576" w:rsidRPr="00C63214" w14:paraId="3139412C" w14:textId="77777777" w:rsidTr="00C64576">
        <w:tc>
          <w:tcPr>
            <w:tcW w:w="1170" w:type="dxa"/>
            <w:tcMar>
              <w:top w:w="40" w:type="dxa"/>
              <w:left w:w="40" w:type="dxa"/>
              <w:bottom w:w="40" w:type="dxa"/>
              <w:right w:w="40" w:type="dxa"/>
            </w:tcMar>
            <w:vAlign w:val="center"/>
          </w:tcPr>
          <w:p w14:paraId="1BD038F9" w14:textId="211ADFE1"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Narang et al., 2021</w:t>
            </w:r>
            <w:r w:rsidR="00C25DB1" w:rsidRPr="00C63214">
              <w:rPr>
                <w:color w:val="000000"/>
                <w:sz w:val="15"/>
                <w:szCs w:val="15"/>
                <w:vertAlign w:val="superscript"/>
                <w:lang w:val="en-US"/>
              </w:rPr>
              <w:t>14</w:t>
            </w:r>
          </w:p>
        </w:tc>
        <w:tc>
          <w:tcPr>
            <w:tcW w:w="990" w:type="dxa"/>
            <w:tcMar>
              <w:top w:w="40" w:type="dxa"/>
              <w:left w:w="40" w:type="dxa"/>
              <w:bottom w:w="40" w:type="dxa"/>
              <w:right w:w="40" w:type="dxa"/>
            </w:tcMar>
            <w:vAlign w:val="center"/>
          </w:tcPr>
          <w:p w14:paraId="1E267C1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cross-sectional, observational case series</w:t>
            </w:r>
          </w:p>
        </w:tc>
        <w:tc>
          <w:tcPr>
            <w:tcW w:w="1080" w:type="dxa"/>
            <w:tcMar>
              <w:top w:w="40" w:type="dxa"/>
              <w:left w:w="40" w:type="dxa"/>
              <w:bottom w:w="40" w:type="dxa"/>
              <w:right w:w="40" w:type="dxa"/>
            </w:tcMar>
            <w:vAlign w:val="center"/>
          </w:tcPr>
          <w:p w14:paraId="4572DA0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85 healthy patients + 75 glaucoma patients</w:t>
            </w:r>
          </w:p>
        </w:tc>
        <w:tc>
          <w:tcPr>
            <w:tcW w:w="1530" w:type="dxa"/>
            <w:tcMar>
              <w:top w:w="40" w:type="dxa"/>
              <w:left w:w="40" w:type="dxa"/>
              <w:bottom w:w="40" w:type="dxa"/>
              <w:right w:w="40" w:type="dxa"/>
            </w:tcMar>
            <w:vAlign w:val="center"/>
          </w:tcPr>
          <w:p w14:paraId="6222A19E"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AVA</w:t>
            </w:r>
          </w:p>
        </w:tc>
        <w:tc>
          <w:tcPr>
            <w:tcW w:w="1170" w:type="dxa"/>
            <w:tcMar>
              <w:top w:w="40" w:type="dxa"/>
              <w:left w:w="40" w:type="dxa"/>
              <w:bottom w:w="40" w:type="dxa"/>
              <w:right w:w="40" w:type="dxa"/>
            </w:tcMar>
            <w:vAlign w:val="center"/>
          </w:tcPr>
          <w:p w14:paraId="659F2641"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w:t>
            </w:r>
          </w:p>
        </w:tc>
        <w:tc>
          <w:tcPr>
            <w:tcW w:w="3870" w:type="dxa"/>
            <w:tcMar>
              <w:top w:w="40" w:type="dxa"/>
              <w:left w:w="40" w:type="dxa"/>
              <w:bottom w:w="40" w:type="dxa"/>
              <w:right w:w="40" w:type="dxa"/>
            </w:tcMar>
            <w:vAlign w:val="center"/>
          </w:tcPr>
          <w:p w14:paraId="258B6F1F"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 xml:space="preserve">There is substantial equivalence between the AVA (using Elisar Standard Algorithm) and HFA (SITA Standard). Test-retest variability and blind spot location accuracy of AVA was comparable with that of HFA, and no lens–rim artifact was detected. AVA can be used in rural areas of developing countries where patients do not have direct access to tertiary care hospitals. AVA allows perimetry testing with adequate physical distance, and patient can perform tests while wearing a facemask. </w:t>
            </w:r>
            <w:r w:rsidRPr="00C63214">
              <w:rPr>
                <w:color w:val="000000"/>
                <w:sz w:val="15"/>
                <w:szCs w:val="15"/>
                <w:lang w:val="en-US"/>
              </w:rPr>
              <w:lastRenderedPageBreak/>
              <w:t>AVA allows eye-tracking and has a cloud-based storage system that allows data backup.</w:t>
            </w:r>
          </w:p>
        </w:tc>
        <w:tc>
          <w:tcPr>
            <w:tcW w:w="3330" w:type="dxa"/>
            <w:tcMar>
              <w:top w:w="40" w:type="dxa"/>
              <w:left w:w="40" w:type="dxa"/>
              <w:bottom w:w="40" w:type="dxa"/>
              <w:right w:w="40" w:type="dxa"/>
            </w:tcMar>
            <w:vAlign w:val="center"/>
          </w:tcPr>
          <w:p w14:paraId="7132B420"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AVA does not have an active eye-tracking system, and may be unreliable in individuals with abnormal and eccentric pupils.</w:t>
            </w:r>
          </w:p>
        </w:tc>
        <w:tc>
          <w:tcPr>
            <w:tcW w:w="2520" w:type="dxa"/>
            <w:tcMar>
              <w:top w:w="40" w:type="dxa"/>
              <w:left w:w="0" w:type="dxa"/>
              <w:bottom w:w="40" w:type="dxa"/>
              <w:right w:w="0" w:type="dxa"/>
            </w:tcMar>
            <w:vAlign w:val="center"/>
          </w:tcPr>
          <w:p w14:paraId="413534D9"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Testing done with very specific population. Mean age of healthy participants was 38.21 years and was 56.72 years for glaucoma participants.</w:t>
            </w:r>
          </w:p>
        </w:tc>
      </w:tr>
      <w:tr w:rsidR="00C64576" w:rsidRPr="00C63214" w14:paraId="0EF6C94F" w14:textId="77777777" w:rsidTr="00C64576">
        <w:tc>
          <w:tcPr>
            <w:tcW w:w="1170" w:type="dxa"/>
            <w:tcMar>
              <w:top w:w="40" w:type="dxa"/>
              <w:left w:w="40" w:type="dxa"/>
              <w:bottom w:w="40" w:type="dxa"/>
              <w:right w:w="40" w:type="dxa"/>
            </w:tcMar>
            <w:vAlign w:val="center"/>
          </w:tcPr>
          <w:p w14:paraId="7C8614BD" w14:textId="7C61372C"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Montelongo et al., 2021</w:t>
            </w:r>
            <w:r w:rsidR="00C25DB1" w:rsidRPr="00C63214">
              <w:rPr>
                <w:color w:val="000000"/>
                <w:sz w:val="15"/>
                <w:szCs w:val="15"/>
                <w:vertAlign w:val="superscript"/>
                <w:lang w:val="en-US"/>
              </w:rPr>
              <w:t>15</w:t>
            </w:r>
          </w:p>
        </w:tc>
        <w:tc>
          <w:tcPr>
            <w:tcW w:w="990" w:type="dxa"/>
            <w:tcMar>
              <w:top w:w="40" w:type="dxa"/>
              <w:left w:w="40" w:type="dxa"/>
              <w:bottom w:w="40" w:type="dxa"/>
              <w:right w:w="40" w:type="dxa"/>
            </w:tcMar>
            <w:vAlign w:val="center"/>
          </w:tcPr>
          <w:p w14:paraId="3ED69C1C"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observational case series</w:t>
            </w:r>
          </w:p>
        </w:tc>
        <w:tc>
          <w:tcPr>
            <w:tcW w:w="1080" w:type="dxa"/>
            <w:tcMar>
              <w:top w:w="40" w:type="dxa"/>
              <w:left w:w="40" w:type="dxa"/>
              <w:bottom w:w="40" w:type="dxa"/>
              <w:right w:w="40" w:type="dxa"/>
            </w:tcMar>
            <w:vAlign w:val="center"/>
          </w:tcPr>
          <w:p w14:paraId="4A2FA4F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3 healthy patients</w:t>
            </w:r>
          </w:p>
        </w:tc>
        <w:tc>
          <w:tcPr>
            <w:tcW w:w="1530" w:type="dxa"/>
            <w:tcMar>
              <w:top w:w="40" w:type="dxa"/>
              <w:left w:w="40" w:type="dxa"/>
              <w:bottom w:w="40" w:type="dxa"/>
              <w:right w:w="40" w:type="dxa"/>
            </w:tcMar>
            <w:vAlign w:val="center"/>
          </w:tcPr>
          <w:p w14:paraId="20D8FD9D"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VisuALL VR headset</w:t>
            </w:r>
          </w:p>
        </w:tc>
        <w:tc>
          <w:tcPr>
            <w:tcW w:w="1170" w:type="dxa"/>
            <w:tcMar>
              <w:top w:w="40" w:type="dxa"/>
              <w:left w:w="40" w:type="dxa"/>
              <w:bottom w:w="40" w:type="dxa"/>
              <w:right w:w="40" w:type="dxa"/>
            </w:tcMar>
            <w:vAlign w:val="center"/>
          </w:tcPr>
          <w:p w14:paraId="3F862E00"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T-24 protocol (HFA 24-2 equivalent)</w:t>
            </w:r>
          </w:p>
        </w:tc>
        <w:tc>
          <w:tcPr>
            <w:tcW w:w="3870" w:type="dxa"/>
            <w:tcMar>
              <w:top w:w="40" w:type="dxa"/>
              <w:left w:w="40" w:type="dxa"/>
              <w:bottom w:w="40" w:type="dxa"/>
              <w:right w:w="40" w:type="dxa"/>
            </w:tcMar>
            <w:vAlign w:val="center"/>
          </w:tcPr>
          <w:p w14:paraId="199F9829"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VisuALL has two displays (one for each eye) allowing it to test both eyes simultaneously but separately with similar test duration to other perimeters. This device’s portability may contribute to increased efficiency in a typical ophthalmology practice; multiple test subjects can be assessed simultaneously using the same server in a single, well compartmentalized room, by a single technician. VRVFT provides more options for providers to reach marginalized and underserved communities, as it does not require a specific testing location, and therefore may enhance healthcare access and outcomes.</w:t>
            </w:r>
          </w:p>
        </w:tc>
        <w:tc>
          <w:tcPr>
            <w:tcW w:w="3330" w:type="dxa"/>
            <w:tcMar>
              <w:top w:w="40" w:type="dxa"/>
              <w:left w:w="40" w:type="dxa"/>
              <w:bottom w:w="40" w:type="dxa"/>
              <w:right w:w="40" w:type="dxa"/>
            </w:tcMar>
            <w:vAlign w:val="center"/>
          </w:tcPr>
          <w:p w14:paraId="1A9D0E6D"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w:t>
            </w:r>
          </w:p>
        </w:tc>
        <w:tc>
          <w:tcPr>
            <w:tcW w:w="2520" w:type="dxa"/>
            <w:tcMar>
              <w:top w:w="40" w:type="dxa"/>
              <w:left w:w="0" w:type="dxa"/>
              <w:bottom w:w="40" w:type="dxa"/>
              <w:right w:w="0" w:type="dxa"/>
            </w:tcMar>
            <w:vAlign w:val="center"/>
          </w:tcPr>
          <w:p w14:paraId="163F218D"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Single center study and small sample size. False positive responses occurred with frequency of zero in each eye of one participant, 0.97% in the right eye of the second participant and 3.45% in the left eye, and 2.3% in the right and left eyes of the third participant.</w:t>
            </w:r>
          </w:p>
        </w:tc>
      </w:tr>
      <w:tr w:rsidR="00C64576" w:rsidRPr="00C63214" w14:paraId="6FD1B1FB" w14:textId="77777777" w:rsidTr="00C64576">
        <w:tc>
          <w:tcPr>
            <w:tcW w:w="1170" w:type="dxa"/>
            <w:tcMar>
              <w:top w:w="40" w:type="dxa"/>
              <w:left w:w="40" w:type="dxa"/>
              <w:bottom w:w="40" w:type="dxa"/>
              <w:right w:w="40" w:type="dxa"/>
            </w:tcMar>
            <w:vAlign w:val="center"/>
          </w:tcPr>
          <w:p w14:paraId="2C95A02F" w14:textId="0D655D90"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Say</w:t>
            </w:r>
            <w:r w:rsidR="00C25DB1" w:rsidRPr="00C63214">
              <w:rPr>
                <w:color w:val="000000"/>
                <w:sz w:val="15"/>
                <w:szCs w:val="15"/>
                <w:lang w:val="en-US"/>
              </w:rPr>
              <w:t>e</w:t>
            </w:r>
            <w:r w:rsidRPr="00C63214">
              <w:rPr>
                <w:color w:val="000000"/>
                <w:sz w:val="15"/>
                <w:szCs w:val="15"/>
                <w:lang w:val="en-US"/>
              </w:rPr>
              <w:t>d et al., 2020</w:t>
            </w:r>
            <w:r w:rsidR="00C25DB1" w:rsidRPr="00C63214">
              <w:rPr>
                <w:color w:val="000000"/>
                <w:sz w:val="15"/>
                <w:szCs w:val="15"/>
                <w:vertAlign w:val="superscript"/>
                <w:lang w:val="en-US"/>
              </w:rPr>
              <w:t>19</w:t>
            </w:r>
          </w:p>
        </w:tc>
        <w:tc>
          <w:tcPr>
            <w:tcW w:w="990" w:type="dxa"/>
            <w:tcMar>
              <w:top w:w="40" w:type="dxa"/>
              <w:left w:w="40" w:type="dxa"/>
              <w:bottom w:w="40" w:type="dxa"/>
              <w:right w:w="40" w:type="dxa"/>
            </w:tcMar>
            <w:vAlign w:val="center"/>
          </w:tcPr>
          <w:p w14:paraId="032F05A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case series</w:t>
            </w:r>
          </w:p>
        </w:tc>
        <w:tc>
          <w:tcPr>
            <w:tcW w:w="1080" w:type="dxa"/>
            <w:tcMar>
              <w:top w:w="40" w:type="dxa"/>
              <w:left w:w="40" w:type="dxa"/>
              <w:bottom w:w="40" w:type="dxa"/>
              <w:right w:w="40" w:type="dxa"/>
            </w:tcMar>
            <w:vAlign w:val="center"/>
          </w:tcPr>
          <w:p w14:paraId="3DF9156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23 glaucoma patients</w:t>
            </w:r>
          </w:p>
        </w:tc>
        <w:tc>
          <w:tcPr>
            <w:tcW w:w="1530" w:type="dxa"/>
            <w:tcMar>
              <w:top w:w="40" w:type="dxa"/>
              <w:left w:w="40" w:type="dxa"/>
              <w:bottom w:w="40" w:type="dxa"/>
              <w:right w:w="40" w:type="dxa"/>
            </w:tcMar>
            <w:vAlign w:val="center"/>
          </w:tcPr>
          <w:p w14:paraId="17B64D8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HTC Vive (Xindian District, New Taipei City, Taiwan)</w:t>
            </w:r>
          </w:p>
        </w:tc>
        <w:tc>
          <w:tcPr>
            <w:tcW w:w="1170" w:type="dxa"/>
            <w:tcMar>
              <w:top w:w="40" w:type="dxa"/>
              <w:left w:w="40" w:type="dxa"/>
              <w:bottom w:w="40" w:type="dxa"/>
              <w:right w:w="40" w:type="dxa"/>
            </w:tcMar>
            <w:vAlign w:val="center"/>
          </w:tcPr>
          <w:p w14:paraId="47C85D3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w:t>
            </w:r>
          </w:p>
        </w:tc>
        <w:tc>
          <w:tcPr>
            <w:tcW w:w="3870" w:type="dxa"/>
            <w:tcMar>
              <w:top w:w="40" w:type="dxa"/>
              <w:left w:w="40" w:type="dxa"/>
              <w:bottom w:w="40" w:type="dxa"/>
              <w:right w:w="40" w:type="dxa"/>
            </w:tcMar>
            <w:vAlign w:val="center"/>
          </w:tcPr>
          <w:p w14:paraId="6CAC59B9"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The diagnostic monocular VF testing algorithm was comparable to SAP determination of threshold sensitivity based on point by point assessment. Compared to traditional methods, DSpecs eliminates the need for precise eye positioning and calibration. Dspecs stands out as the only known visual aid that can both diagnose VF defects and personalize a corrective profile based on each patient’s specific needs.</w:t>
            </w:r>
          </w:p>
        </w:tc>
        <w:tc>
          <w:tcPr>
            <w:tcW w:w="3330" w:type="dxa"/>
            <w:tcMar>
              <w:top w:w="40" w:type="dxa"/>
              <w:left w:w="40" w:type="dxa"/>
              <w:bottom w:w="40" w:type="dxa"/>
              <w:right w:w="40" w:type="dxa"/>
            </w:tcMar>
            <w:vAlign w:val="center"/>
          </w:tcPr>
          <w:p w14:paraId="2AFAF32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Patients with minor peripheral defects and severe VF defects did not see a significant improvement.</w:t>
            </w:r>
          </w:p>
        </w:tc>
        <w:tc>
          <w:tcPr>
            <w:tcW w:w="2520" w:type="dxa"/>
            <w:tcMar>
              <w:top w:w="40" w:type="dxa"/>
              <w:left w:w="0" w:type="dxa"/>
              <w:bottom w:w="40" w:type="dxa"/>
              <w:right w:w="0" w:type="dxa"/>
            </w:tcMar>
            <w:vAlign w:val="center"/>
          </w:tcPr>
          <w:p w14:paraId="784E52F6"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Patients had their most recent HFA VF test compared to Dspecs VF test. Patient factors such as their level of understanding of the test processes or familiarity with the VR headset could influence their self-reported responses.</w:t>
            </w:r>
          </w:p>
        </w:tc>
      </w:tr>
      <w:tr w:rsidR="00C64576" w:rsidRPr="00C63214" w14:paraId="20842CF0" w14:textId="77777777" w:rsidTr="00C64576">
        <w:tc>
          <w:tcPr>
            <w:tcW w:w="1170" w:type="dxa"/>
            <w:tcMar>
              <w:top w:w="40" w:type="dxa"/>
              <w:left w:w="40" w:type="dxa"/>
              <w:bottom w:w="40" w:type="dxa"/>
              <w:right w:w="40" w:type="dxa"/>
            </w:tcMar>
            <w:vAlign w:val="center"/>
          </w:tcPr>
          <w:p w14:paraId="5AA5EBE2" w14:textId="4B761AE6"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Sayed et al., 2020</w:t>
            </w:r>
            <w:r w:rsidR="00C25DB1" w:rsidRPr="00C63214">
              <w:rPr>
                <w:color w:val="000000"/>
                <w:sz w:val="15"/>
                <w:szCs w:val="15"/>
                <w:vertAlign w:val="superscript"/>
                <w:lang w:val="en-US"/>
              </w:rPr>
              <w:t>20</w:t>
            </w:r>
          </w:p>
        </w:tc>
        <w:tc>
          <w:tcPr>
            <w:tcW w:w="990" w:type="dxa"/>
            <w:tcMar>
              <w:top w:w="40" w:type="dxa"/>
              <w:left w:w="40" w:type="dxa"/>
              <w:bottom w:w="40" w:type="dxa"/>
              <w:right w:w="40" w:type="dxa"/>
            </w:tcMar>
            <w:vAlign w:val="center"/>
          </w:tcPr>
          <w:p w14:paraId="2A572720"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case series</w:t>
            </w:r>
          </w:p>
        </w:tc>
        <w:tc>
          <w:tcPr>
            <w:tcW w:w="1080" w:type="dxa"/>
            <w:tcMar>
              <w:top w:w="40" w:type="dxa"/>
              <w:left w:w="40" w:type="dxa"/>
              <w:bottom w:w="40" w:type="dxa"/>
              <w:right w:w="40" w:type="dxa"/>
            </w:tcMar>
            <w:vAlign w:val="center"/>
          </w:tcPr>
          <w:p w14:paraId="6C84D149"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20 patients with known binocular VF defects</w:t>
            </w:r>
          </w:p>
        </w:tc>
        <w:tc>
          <w:tcPr>
            <w:tcW w:w="1530" w:type="dxa"/>
            <w:tcMar>
              <w:top w:w="40" w:type="dxa"/>
              <w:left w:w="40" w:type="dxa"/>
              <w:bottom w:w="40" w:type="dxa"/>
              <w:right w:w="40" w:type="dxa"/>
            </w:tcMar>
            <w:vAlign w:val="center"/>
          </w:tcPr>
          <w:p w14:paraId="3E5DD57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HTC Vive</w:t>
            </w:r>
          </w:p>
        </w:tc>
        <w:tc>
          <w:tcPr>
            <w:tcW w:w="1170" w:type="dxa"/>
            <w:tcMar>
              <w:top w:w="40" w:type="dxa"/>
              <w:left w:w="40" w:type="dxa"/>
              <w:bottom w:w="40" w:type="dxa"/>
              <w:right w:w="40" w:type="dxa"/>
            </w:tcMar>
            <w:vAlign w:val="center"/>
          </w:tcPr>
          <w:p w14:paraId="30D3A22E"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w:t>
            </w:r>
          </w:p>
        </w:tc>
        <w:tc>
          <w:tcPr>
            <w:tcW w:w="3870" w:type="dxa"/>
            <w:tcMar>
              <w:top w:w="40" w:type="dxa"/>
              <w:left w:w="40" w:type="dxa"/>
              <w:bottom w:w="40" w:type="dxa"/>
              <w:right w:w="40" w:type="dxa"/>
            </w:tcMar>
            <w:vAlign w:val="center"/>
          </w:tcPr>
          <w:p w14:paraId="42019807"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Diagnostic binocular VF testing with Dspecs was comparable to integrated monocular SAP based on point by point assessment. Using Dspecs during binocular VF testing is an improvement over the standard Esterman method, which might underestimate visual field limitations, especially in the upper visual field.</w:t>
            </w:r>
          </w:p>
        </w:tc>
        <w:tc>
          <w:tcPr>
            <w:tcW w:w="3330" w:type="dxa"/>
            <w:tcMar>
              <w:top w:w="40" w:type="dxa"/>
              <w:left w:w="40" w:type="dxa"/>
              <w:bottom w:w="40" w:type="dxa"/>
              <w:right w:w="40" w:type="dxa"/>
            </w:tcMar>
            <w:vAlign w:val="center"/>
          </w:tcPr>
          <w:p w14:paraId="52320BCD"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The VR headset is bulky and isolates patients from their surroundings.</w:t>
            </w:r>
          </w:p>
        </w:tc>
        <w:tc>
          <w:tcPr>
            <w:tcW w:w="2520" w:type="dxa"/>
            <w:tcMar>
              <w:top w:w="40" w:type="dxa"/>
              <w:left w:w="0" w:type="dxa"/>
              <w:bottom w:w="40" w:type="dxa"/>
              <w:right w:w="0" w:type="dxa"/>
            </w:tcMar>
            <w:vAlign w:val="center"/>
          </w:tcPr>
          <w:p w14:paraId="64FB875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Small sample size. Study objective was to augment VF for patients with VF defects.</w:t>
            </w:r>
          </w:p>
        </w:tc>
      </w:tr>
      <w:tr w:rsidR="00C64576" w:rsidRPr="00C63214" w14:paraId="2C9396D5" w14:textId="77777777" w:rsidTr="00C64576">
        <w:tc>
          <w:tcPr>
            <w:tcW w:w="1170" w:type="dxa"/>
            <w:tcMar>
              <w:top w:w="40" w:type="dxa"/>
              <w:left w:w="40" w:type="dxa"/>
              <w:bottom w:w="40" w:type="dxa"/>
              <w:right w:w="40" w:type="dxa"/>
            </w:tcMar>
            <w:vAlign w:val="center"/>
          </w:tcPr>
          <w:p w14:paraId="09BCB13B" w14:textId="601FCF84"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Tsapakis et al., 2018</w:t>
            </w:r>
            <w:r w:rsidR="00C25DB1" w:rsidRPr="00C63214">
              <w:rPr>
                <w:color w:val="000000"/>
                <w:sz w:val="15"/>
                <w:szCs w:val="15"/>
                <w:vertAlign w:val="superscript"/>
                <w:lang w:val="en-US"/>
              </w:rPr>
              <w:t>21</w:t>
            </w:r>
          </w:p>
        </w:tc>
        <w:tc>
          <w:tcPr>
            <w:tcW w:w="990" w:type="dxa"/>
            <w:tcMar>
              <w:top w:w="40" w:type="dxa"/>
              <w:left w:w="40" w:type="dxa"/>
              <w:bottom w:w="40" w:type="dxa"/>
              <w:right w:w="40" w:type="dxa"/>
            </w:tcMar>
            <w:vAlign w:val="center"/>
          </w:tcPr>
          <w:p w14:paraId="26E7E73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case series</w:t>
            </w:r>
          </w:p>
        </w:tc>
        <w:tc>
          <w:tcPr>
            <w:tcW w:w="1080" w:type="dxa"/>
            <w:tcMar>
              <w:top w:w="40" w:type="dxa"/>
              <w:left w:w="40" w:type="dxa"/>
              <w:bottom w:w="40" w:type="dxa"/>
              <w:right w:w="40" w:type="dxa"/>
            </w:tcMar>
            <w:vAlign w:val="center"/>
          </w:tcPr>
          <w:p w14:paraId="299D3CF0"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10 glaucoma patients</w:t>
            </w:r>
          </w:p>
        </w:tc>
        <w:tc>
          <w:tcPr>
            <w:tcW w:w="1530" w:type="dxa"/>
            <w:tcMar>
              <w:top w:w="40" w:type="dxa"/>
              <w:left w:w="40" w:type="dxa"/>
              <w:bottom w:w="40" w:type="dxa"/>
              <w:right w:w="40" w:type="dxa"/>
            </w:tcMar>
            <w:vAlign w:val="center"/>
          </w:tcPr>
          <w:p w14:paraId="1037798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PC Monitor or VR Glasses</w:t>
            </w:r>
          </w:p>
        </w:tc>
        <w:tc>
          <w:tcPr>
            <w:tcW w:w="1170" w:type="dxa"/>
            <w:tcMar>
              <w:top w:w="40" w:type="dxa"/>
              <w:left w:w="40" w:type="dxa"/>
              <w:bottom w:w="40" w:type="dxa"/>
              <w:right w:w="40" w:type="dxa"/>
            </w:tcMar>
            <w:vAlign w:val="center"/>
          </w:tcPr>
          <w:p w14:paraId="3B3D6484"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w:t>
            </w:r>
          </w:p>
        </w:tc>
        <w:tc>
          <w:tcPr>
            <w:tcW w:w="3870" w:type="dxa"/>
            <w:tcMar>
              <w:top w:w="40" w:type="dxa"/>
              <w:left w:w="40" w:type="dxa"/>
              <w:bottom w:w="40" w:type="dxa"/>
              <w:right w:w="40" w:type="dxa"/>
            </w:tcMar>
            <w:vAlign w:val="center"/>
          </w:tcPr>
          <w:p w14:paraId="3D45F23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VRVFT is a low cost and easy to use way to screen for glaucoma without needing any specialized equipment. Takes about 2-3 min per eye. Has the ability to check room luminosity which can affect visual field testing. Reliable in detecting glaucoma in comparison to HFA.</w:t>
            </w:r>
          </w:p>
        </w:tc>
        <w:tc>
          <w:tcPr>
            <w:tcW w:w="3330" w:type="dxa"/>
            <w:tcMar>
              <w:top w:w="40" w:type="dxa"/>
              <w:left w:w="40" w:type="dxa"/>
              <w:bottom w:w="40" w:type="dxa"/>
              <w:right w:w="40" w:type="dxa"/>
            </w:tcMar>
            <w:vAlign w:val="center"/>
          </w:tcPr>
          <w:p w14:paraId="3F6944A0"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Most patients who have glaucoma are in their 70s and 80s and may have difficulty operating this technology.</w:t>
            </w:r>
          </w:p>
        </w:tc>
        <w:tc>
          <w:tcPr>
            <w:tcW w:w="2520" w:type="dxa"/>
            <w:tcMar>
              <w:top w:w="40" w:type="dxa"/>
              <w:left w:w="0" w:type="dxa"/>
              <w:bottom w:w="40" w:type="dxa"/>
              <w:right w:w="0" w:type="dxa"/>
            </w:tcMar>
            <w:vAlign w:val="center"/>
          </w:tcPr>
          <w:p w14:paraId="447A8D82"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Small sample size. Intended for screening patients rather than tracking progression of diagnosed glaucoma.</w:t>
            </w:r>
          </w:p>
        </w:tc>
      </w:tr>
      <w:tr w:rsidR="00C64576" w:rsidRPr="00C63214" w14:paraId="1923CB45" w14:textId="77777777" w:rsidTr="00C64576">
        <w:tc>
          <w:tcPr>
            <w:tcW w:w="1170" w:type="dxa"/>
            <w:tcMar>
              <w:top w:w="40" w:type="dxa"/>
              <w:left w:w="40" w:type="dxa"/>
              <w:bottom w:w="40" w:type="dxa"/>
              <w:right w:w="40" w:type="dxa"/>
            </w:tcMar>
            <w:vAlign w:val="center"/>
          </w:tcPr>
          <w:p w14:paraId="350E44B8" w14:textId="3897C94B"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Tsapakis et al., 2017</w:t>
            </w:r>
            <w:r w:rsidR="00C25DB1" w:rsidRPr="00C63214">
              <w:rPr>
                <w:color w:val="000000"/>
                <w:sz w:val="15"/>
                <w:szCs w:val="15"/>
                <w:vertAlign w:val="superscript"/>
                <w:lang w:val="en-US"/>
              </w:rPr>
              <w:t>22</w:t>
            </w:r>
          </w:p>
        </w:tc>
        <w:tc>
          <w:tcPr>
            <w:tcW w:w="990" w:type="dxa"/>
            <w:tcMar>
              <w:top w:w="40" w:type="dxa"/>
              <w:left w:w="40" w:type="dxa"/>
              <w:bottom w:w="40" w:type="dxa"/>
              <w:right w:w="40" w:type="dxa"/>
            </w:tcMar>
            <w:vAlign w:val="center"/>
          </w:tcPr>
          <w:p w14:paraId="7F6F0A6D"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Prospective case series</w:t>
            </w:r>
          </w:p>
        </w:tc>
        <w:tc>
          <w:tcPr>
            <w:tcW w:w="1080" w:type="dxa"/>
            <w:tcMar>
              <w:top w:w="40" w:type="dxa"/>
              <w:left w:w="40" w:type="dxa"/>
              <w:bottom w:w="40" w:type="dxa"/>
              <w:right w:w="40" w:type="dxa"/>
            </w:tcMar>
            <w:vAlign w:val="center"/>
          </w:tcPr>
          <w:p w14:paraId="61EFF1A7"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10 glaucoma patients</w:t>
            </w:r>
          </w:p>
        </w:tc>
        <w:tc>
          <w:tcPr>
            <w:tcW w:w="1530" w:type="dxa"/>
            <w:tcMar>
              <w:top w:w="40" w:type="dxa"/>
              <w:left w:w="40" w:type="dxa"/>
              <w:bottom w:w="40" w:type="dxa"/>
              <w:right w:w="40" w:type="dxa"/>
            </w:tcMar>
            <w:vAlign w:val="center"/>
          </w:tcPr>
          <w:p w14:paraId="4D168FD3"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Trust EXOS 3D VR glasses + Alcatel One Touch Pixi 4 8050D smartphone with 6 inch display</w:t>
            </w:r>
          </w:p>
        </w:tc>
        <w:tc>
          <w:tcPr>
            <w:tcW w:w="1170" w:type="dxa"/>
            <w:tcMar>
              <w:top w:w="40" w:type="dxa"/>
              <w:left w:w="40" w:type="dxa"/>
              <w:bottom w:w="40" w:type="dxa"/>
              <w:right w:w="40" w:type="dxa"/>
            </w:tcMar>
            <w:vAlign w:val="center"/>
          </w:tcPr>
          <w:p w14:paraId="75986AAA"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HFA 2</w:t>
            </w:r>
          </w:p>
        </w:tc>
        <w:tc>
          <w:tcPr>
            <w:tcW w:w="3870" w:type="dxa"/>
            <w:tcMar>
              <w:top w:w="40" w:type="dxa"/>
              <w:left w:w="40" w:type="dxa"/>
              <w:bottom w:w="40" w:type="dxa"/>
              <w:right w:w="40" w:type="dxa"/>
            </w:tcMar>
            <w:vAlign w:val="center"/>
          </w:tcPr>
          <w:p w14:paraId="7340F3DD"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The mean difference values and correlation coefficient (in all tests) between VRVFT and HFA were statistically significant. VR headset is easy to use and has comfortable patient positioning; patients tolerated test well and fixation losses occurred rarely. VRVFT is low cost and portable. Patient can use their glasses with this VR headset and software.</w:t>
            </w:r>
          </w:p>
        </w:tc>
        <w:tc>
          <w:tcPr>
            <w:tcW w:w="3330" w:type="dxa"/>
            <w:tcMar>
              <w:top w:w="40" w:type="dxa"/>
              <w:left w:w="40" w:type="dxa"/>
              <w:bottom w:w="40" w:type="dxa"/>
              <w:right w:w="40" w:type="dxa"/>
            </w:tcMar>
            <w:vAlign w:val="center"/>
          </w:tcPr>
          <w:p w14:paraId="1DD86C15"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w:t>
            </w:r>
          </w:p>
        </w:tc>
        <w:tc>
          <w:tcPr>
            <w:tcW w:w="2520" w:type="dxa"/>
            <w:tcMar>
              <w:top w:w="40" w:type="dxa"/>
              <w:left w:w="0" w:type="dxa"/>
              <w:bottom w:w="40" w:type="dxa"/>
              <w:right w:w="0" w:type="dxa"/>
            </w:tcMar>
            <w:vAlign w:val="center"/>
          </w:tcPr>
          <w:p w14:paraId="12B732C8"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Small sample size. Comparison of VRVFT against HFA 2. Authors stated that further trials were necessary in order to fully evaluate this device relative to SAP.</w:t>
            </w:r>
          </w:p>
        </w:tc>
      </w:tr>
      <w:tr w:rsidR="00C64576" w:rsidRPr="00C63214" w14:paraId="139F8554" w14:textId="77777777" w:rsidTr="00C64576">
        <w:tc>
          <w:tcPr>
            <w:tcW w:w="1170" w:type="dxa"/>
            <w:tcMar>
              <w:top w:w="40" w:type="dxa"/>
              <w:left w:w="40" w:type="dxa"/>
              <w:bottom w:w="40" w:type="dxa"/>
              <w:right w:w="40" w:type="dxa"/>
            </w:tcMar>
            <w:vAlign w:val="center"/>
          </w:tcPr>
          <w:p w14:paraId="0D39DAC7" w14:textId="6809AC5A" w:rsidR="0075484A" w:rsidRPr="00C63214" w:rsidRDefault="0075484A" w:rsidP="00633290">
            <w:pPr>
              <w:widowControl w:val="0"/>
              <w:jc w:val="center"/>
              <w:rPr>
                <w:color w:val="000000"/>
                <w:sz w:val="15"/>
                <w:szCs w:val="15"/>
                <w:vertAlign w:val="superscript"/>
                <w:lang w:val="en-US"/>
              </w:rPr>
            </w:pPr>
            <w:r w:rsidRPr="00C63214">
              <w:rPr>
                <w:color w:val="000000"/>
                <w:sz w:val="15"/>
                <w:szCs w:val="15"/>
                <w:lang w:val="en-US"/>
              </w:rPr>
              <w:t>Wroblewski et al., 2014</w:t>
            </w:r>
            <w:r w:rsidR="00C25DB1" w:rsidRPr="00C63214">
              <w:rPr>
                <w:color w:val="000000"/>
                <w:sz w:val="15"/>
                <w:szCs w:val="15"/>
                <w:vertAlign w:val="superscript"/>
                <w:lang w:val="en-US"/>
              </w:rPr>
              <w:t>23</w:t>
            </w:r>
          </w:p>
        </w:tc>
        <w:tc>
          <w:tcPr>
            <w:tcW w:w="990" w:type="dxa"/>
            <w:tcMar>
              <w:top w:w="40" w:type="dxa"/>
              <w:left w:w="40" w:type="dxa"/>
              <w:bottom w:w="40" w:type="dxa"/>
              <w:right w:w="40" w:type="dxa"/>
            </w:tcMar>
            <w:vAlign w:val="center"/>
          </w:tcPr>
          <w:p w14:paraId="7F8ACD6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Proof-of-concept</w:t>
            </w:r>
          </w:p>
        </w:tc>
        <w:tc>
          <w:tcPr>
            <w:tcW w:w="1080" w:type="dxa"/>
            <w:tcMar>
              <w:top w:w="40" w:type="dxa"/>
              <w:left w:w="40" w:type="dxa"/>
              <w:bottom w:w="40" w:type="dxa"/>
              <w:right w:w="40" w:type="dxa"/>
            </w:tcMar>
            <w:vAlign w:val="center"/>
          </w:tcPr>
          <w:p w14:paraId="0AF78CDE"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t xml:space="preserve">17 healthy patients + 30 </w:t>
            </w:r>
            <w:r w:rsidRPr="00C63214">
              <w:rPr>
                <w:color w:val="000000"/>
                <w:sz w:val="15"/>
                <w:szCs w:val="15"/>
                <w:lang w:val="en-US"/>
              </w:rPr>
              <w:lastRenderedPageBreak/>
              <w:t>glaucoma patients + 6 glaucoma suspect patients + 9 patients with other neuroophthalmological diagnoses</w:t>
            </w:r>
          </w:p>
        </w:tc>
        <w:tc>
          <w:tcPr>
            <w:tcW w:w="1530" w:type="dxa"/>
            <w:tcMar>
              <w:top w:w="40" w:type="dxa"/>
              <w:left w:w="40" w:type="dxa"/>
              <w:bottom w:w="40" w:type="dxa"/>
              <w:right w:w="40" w:type="dxa"/>
            </w:tcMar>
            <w:vAlign w:val="center"/>
          </w:tcPr>
          <w:p w14:paraId="55E3D206"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 xml:space="preserve">Binocular ViewPoint Eye Tracker </w:t>
            </w:r>
            <w:r w:rsidRPr="00C63214">
              <w:rPr>
                <w:color w:val="000000"/>
                <w:sz w:val="15"/>
                <w:szCs w:val="15"/>
                <w:lang w:val="en-US"/>
              </w:rPr>
              <w:lastRenderedPageBreak/>
              <w:t>(Arrington Research, Scottsdale, AZ, USA) + eMagin (Bellevue, WA, USA) SVGA XL monochrome (green) OLED display</w:t>
            </w:r>
          </w:p>
        </w:tc>
        <w:tc>
          <w:tcPr>
            <w:tcW w:w="1170" w:type="dxa"/>
            <w:tcMar>
              <w:top w:w="40" w:type="dxa"/>
              <w:left w:w="40" w:type="dxa"/>
              <w:bottom w:w="40" w:type="dxa"/>
              <w:right w:w="40" w:type="dxa"/>
            </w:tcMar>
            <w:vAlign w:val="center"/>
          </w:tcPr>
          <w:p w14:paraId="1FFD24EC"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HFA 2</w:t>
            </w:r>
          </w:p>
        </w:tc>
        <w:tc>
          <w:tcPr>
            <w:tcW w:w="3870" w:type="dxa"/>
            <w:tcMar>
              <w:top w:w="40" w:type="dxa"/>
              <w:left w:w="40" w:type="dxa"/>
              <w:bottom w:w="40" w:type="dxa"/>
              <w:right w:w="40" w:type="dxa"/>
            </w:tcMar>
            <w:vAlign w:val="center"/>
          </w:tcPr>
          <w:p w14:paraId="4D7E250F" w14:textId="77777777" w:rsidR="0075484A" w:rsidRPr="00C63214" w:rsidRDefault="0075484A" w:rsidP="00633290">
            <w:pPr>
              <w:widowControl w:val="0"/>
              <w:spacing w:line="240" w:lineRule="auto"/>
              <w:jc w:val="center"/>
              <w:rPr>
                <w:color w:val="000000"/>
                <w:sz w:val="15"/>
                <w:szCs w:val="15"/>
                <w:lang w:val="en-US"/>
              </w:rPr>
            </w:pPr>
            <w:r w:rsidRPr="00C63214">
              <w:rPr>
                <w:rFonts w:eastAsia="Arial Unicode MS"/>
                <w:color w:val="000000"/>
                <w:sz w:val="15"/>
                <w:szCs w:val="15"/>
                <w:lang w:val="en-US"/>
              </w:rPr>
              <w:t xml:space="preserve">VirtualEye has ability to test VF in both standard manual and visual grasp modes in a manner comparable to </w:t>
            </w:r>
            <w:r w:rsidRPr="00C63214">
              <w:rPr>
                <w:rFonts w:eastAsia="Arial Unicode MS"/>
                <w:color w:val="000000"/>
                <w:sz w:val="15"/>
                <w:szCs w:val="15"/>
                <w:lang w:val="en-US"/>
              </w:rPr>
              <w:lastRenderedPageBreak/>
              <w:t>HFA. Test-retest variability is similar to that obtained with HFA II (SITA), with only major difference being a systematic shift (about −5 dB) of VirtualEye sensitivities. VirtualEye headset was more comfortable and easier to use than HFA. VRVFT may provide testing to those with compromised access to, or limited abilities in, using SAP.</w:t>
            </w:r>
          </w:p>
        </w:tc>
        <w:tc>
          <w:tcPr>
            <w:tcW w:w="3330" w:type="dxa"/>
            <w:tcMar>
              <w:top w:w="40" w:type="dxa"/>
              <w:left w:w="40" w:type="dxa"/>
              <w:bottom w:w="40" w:type="dxa"/>
              <w:right w:w="40" w:type="dxa"/>
            </w:tcMar>
            <w:vAlign w:val="center"/>
          </w:tcPr>
          <w:p w14:paraId="7B609A8B"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 xml:space="preserve">The VirtualEye tests in visual grasp mode often indicated poor fixation and/or excessive number </w:t>
            </w:r>
            <w:r w:rsidRPr="00C63214">
              <w:rPr>
                <w:color w:val="000000"/>
                <w:sz w:val="15"/>
                <w:szCs w:val="15"/>
                <w:lang w:val="en-US"/>
              </w:rPr>
              <w:lastRenderedPageBreak/>
              <w:t>of false positives or false negatives (15% of eyes). Longer test time and decreased familiarity when compared to HFA.</w:t>
            </w:r>
          </w:p>
        </w:tc>
        <w:tc>
          <w:tcPr>
            <w:tcW w:w="2520" w:type="dxa"/>
            <w:tcMar>
              <w:top w:w="40" w:type="dxa"/>
              <w:left w:w="0" w:type="dxa"/>
              <w:bottom w:w="40" w:type="dxa"/>
              <w:right w:w="0" w:type="dxa"/>
            </w:tcMar>
            <w:vAlign w:val="center"/>
          </w:tcPr>
          <w:p w14:paraId="4415CE7E" w14:textId="77777777" w:rsidR="0075484A" w:rsidRPr="00C63214" w:rsidRDefault="0075484A" w:rsidP="00633290">
            <w:pPr>
              <w:widowControl w:val="0"/>
              <w:jc w:val="center"/>
              <w:rPr>
                <w:color w:val="000000"/>
                <w:sz w:val="15"/>
                <w:szCs w:val="15"/>
                <w:lang w:val="en-US"/>
              </w:rPr>
            </w:pPr>
            <w:r w:rsidRPr="00C63214">
              <w:rPr>
                <w:color w:val="000000"/>
                <w:sz w:val="15"/>
                <w:szCs w:val="15"/>
                <w:lang w:val="en-US"/>
              </w:rPr>
              <w:lastRenderedPageBreak/>
              <w:t xml:space="preserve">Point-by-point comparison of VRVFT against HFA 2. Visual grasp mode </w:t>
            </w:r>
            <w:r w:rsidRPr="00C63214">
              <w:rPr>
                <w:color w:val="000000"/>
                <w:sz w:val="15"/>
                <w:szCs w:val="15"/>
                <w:lang w:val="en-US"/>
              </w:rPr>
              <w:lastRenderedPageBreak/>
              <w:t>was usually performed at end of perimetry session, patient fatigue may have played a role in fixation losses. Tests were not randomly ordered and may result in superior performance for earlier testing, favoring SAP, then manual mode with VirtualEye, and finally with visual grasp mode with VirtualEye.</w:t>
            </w:r>
          </w:p>
        </w:tc>
      </w:tr>
    </w:tbl>
    <w:p w14:paraId="69CA9AEA" w14:textId="77777777" w:rsidR="0075484A" w:rsidRPr="00C63214" w:rsidRDefault="0075484A" w:rsidP="0075484A">
      <w:pPr>
        <w:jc w:val="center"/>
        <w:rPr>
          <w:color w:val="000000"/>
          <w:sz w:val="24"/>
          <w:szCs w:val="24"/>
          <w:lang w:val="en-US"/>
        </w:rPr>
      </w:pPr>
    </w:p>
    <w:p w14:paraId="1CA5F414" w14:textId="77777777" w:rsidR="0075484A" w:rsidRPr="00C63214" w:rsidRDefault="0075484A" w:rsidP="0075484A">
      <w:pPr>
        <w:jc w:val="center"/>
        <w:rPr>
          <w:color w:val="000000"/>
          <w:sz w:val="24"/>
          <w:szCs w:val="24"/>
          <w:lang w:val="en-US"/>
        </w:rPr>
      </w:pPr>
    </w:p>
    <w:p w14:paraId="25915A6A" w14:textId="77777777" w:rsidR="0075484A" w:rsidRPr="00C63214" w:rsidRDefault="0075484A" w:rsidP="0075484A">
      <w:pPr>
        <w:jc w:val="center"/>
        <w:rPr>
          <w:color w:val="000000"/>
          <w:sz w:val="24"/>
          <w:szCs w:val="24"/>
          <w:lang w:val="en-US"/>
        </w:rPr>
      </w:pPr>
    </w:p>
    <w:p w14:paraId="5446625B" w14:textId="77777777" w:rsidR="0075484A" w:rsidRPr="00C63214" w:rsidRDefault="0075484A" w:rsidP="0075484A">
      <w:pPr>
        <w:jc w:val="center"/>
        <w:rPr>
          <w:color w:val="000000"/>
          <w:sz w:val="24"/>
          <w:szCs w:val="24"/>
          <w:lang w:val="en-US"/>
        </w:rPr>
      </w:pPr>
    </w:p>
    <w:p w14:paraId="2B3832B3" w14:textId="77777777" w:rsidR="0075484A" w:rsidRPr="00C63214" w:rsidRDefault="0075484A" w:rsidP="0075484A">
      <w:pPr>
        <w:jc w:val="center"/>
        <w:rPr>
          <w:color w:val="000000"/>
          <w:sz w:val="24"/>
          <w:szCs w:val="24"/>
          <w:lang w:val="en-US"/>
        </w:rPr>
      </w:pPr>
    </w:p>
    <w:p w14:paraId="25FDB740" w14:textId="77777777" w:rsidR="0075484A" w:rsidRPr="00C63214" w:rsidRDefault="0075484A" w:rsidP="0075484A">
      <w:pPr>
        <w:jc w:val="center"/>
        <w:rPr>
          <w:color w:val="000000"/>
          <w:sz w:val="24"/>
          <w:szCs w:val="24"/>
          <w:lang w:val="en-US"/>
        </w:rPr>
      </w:pPr>
    </w:p>
    <w:p w14:paraId="30936C75" w14:textId="77777777" w:rsidR="00633290" w:rsidRPr="00C63214" w:rsidRDefault="00633290" w:rsidP="00633290">
      <w:pPr>
        <w:jc w:val="center"/>
        <w:rPr>
          <w:color w:val="000000"/>
          <w:sz w:val="28"/>
          <w:szCs w:val="28"/>
          <w:lang w:val="en-US"/>
        </w:rPr>
      </w:pPr>
    </w:p>
    <w:p w14:paraId="021AD676" w14:textId="77777777" w:rsidR="00633290" w:rsidRPr="00C63214" w:rsidRDefault="00633290" w:rsidP="00633290">
      <w:pPr>
        <w:jc w:val="center"/>
        <w:rPr>
          <w:color w:val="000000"/>
          <w:sz w:val="28"/>
          <w:szCs w:val="28"/>
          <w:lang w:val="en-US"/>
        </w:rPr>
      </w:pPr>
    </w:p>
    <w:p w14:paraId="1807A9EC" w14:textId="77777777" w:rsidR="00633290" w:rsidRPr="00C63214" w:rsidRDefault="00633290" w:rsidP="00633290">
      <w:pPr>
        <w:jc w:val="center"/>
        <w:rPr>
          <w:color w:val="000000"/>
          <w:sz w:val="28"/>
          <w:szCs w:val="28"/>
          <w:lang w:val="en-US"/>
        </w:rPr>
      </w:pPr>
    </w:p>
    <w:p w14:paraId="3D8308A4" w14:textId="77777777" w:rsidR="00633290" w:rsidRPr="00C63214" w:rsidRDefault="00633290" w:rsidP="00633290">
      <w:pPr>
        <w:jc w:val="center"/>
        <w:rPr>
          <w:color w:val="000000"/>
          <w:sz w:val="28"/>
          <w:szCs w:val="28"/>
          <w:lang w:val="en-US"/>
        </w:rPr>
      </w:pPr>
    </w:p>
    <w:p w14:paraId="03FADA96" w14:textId="31EC13C2" w:rsidR="00633290" w:rsidRPr="00C63214" w:rsidRDefault="00633290" w:rsidP="00633290">
      <w:pPr>
        <w:jc w:val="center"/>
        <w:rPr>
          <w:color w:val="000000"/>
          <w:sz w:val="28"/>
          <w:szCs w:val="28"/>
          <w:lang w:val="en-US"/>
        </w:rPr>
      </w:pPr>
    </w:p>
    <w:p w14:paraId="48BEBD83" w14:textId="587921BB" w:rsidR="00C64576" w:rsidRPr="00C63214" w:rsidRDefault="00C64576" w:rsidP="00633290">
      <w:pPr>
        <w:jc w:val="center"/>
        <w:rPr>
          <w:color w:val="000000"/>
          <w:sz w:val="28"/>
          <w:szCs w:val="28"/>
          <w:lang w:val="en-US"/>
        </w:rPr>
      </w:pPr>
    </w:p>
    <w:p w14:paraId="3A0FE64A" w14:textId="0F02792E" w:rsidR="00C64576" w:rsidRPr="00C63214" w:rsidRDefault="00C64576" w:rsidP="00633290">
      <w:pPr>
        <w:jc w:val="center"/>
        <w:rPr>
          <w:color w:val="000000"/>
          <w:sz w:val="28"/>
          <w:szCs w:val="28"/>
          <w:lang w:val="en-US"/>
        </w:rPr>
      </w:pPr>
    </w:p>
    <w:p w14:paraId="6CEF9A72" w14:textId="3F050538" w:rsidR="00C64576" w:rsidRPr="00C63214" w:rsidRDefault="00C64576" w:rsidP="00633290">
      <w:pPr>
        <w:jc w:val="center"/>
        <w:rPr>
          <w:color w:val="000000"/>
          <w:sz w:val="28"/>
          <w:szCs w:val="28"/>
          <w:lang w:val="en-US"/>
        </w:rPr>
      </w:pPr>
    </w:p>
    <w:p w14:paraId="3EA60E49" w14:textId="037ED14D" w:rsidR="00C64576" w:rsidRPr="00C63214" w:rsidRDefault="00C64576" w:rsidP="00633290">
      <w:pPr>
        <w:jc w:val="center"/>
        <w:rPr>
          <w:color w:val="000000"/>
          <w:sz w:val="28"/>
          <w:szCs w:val="28"/>
          <w:lang w:val="en-US"/>
        </w:rPr>
      </w:pPr>
    </w:p>
    <w:p w14:paraId="33303517" w14:textId="5B717D15" w:rsidR="00C64576" w:rsidRPr="00C63214" w:rsidRDefault="00C64576" w:rsidP="00633290">
      <w:pPr>
        <w:jc w:val="center"/>
        <w:rPr>
          <w:color w:val="000000"/>
          <w:sz w:val="28"/>
          <w:szCs w:val="28"/>
          <w:lang w:val="en-US"/>
        </w:rPr>
      </w:pPr>
    </w:p>
    <w:p w14:paraId="2BD884A4" w14:textId="77777777" w:rsidR="00C64576" w:rsidRPr="00C63214" w:rsidRDefault="00C64576" w:rsidP="00633290">
      <w:pPr>
        <w:jc w:val="center"/>
        <w:rPr>
          <w:color w:val="000000"/>
          <w:sz w:val="28"/>
          <w:szCs w:val="28"/>
          <w:lang w:val="en-US"/>
        </w:rPr>
      </w:pPr>
    </w:p>
    <w:p w14:paraId="273B4E07" w14:textId="77777777" w:rsidR="00633290" w:rsidRPr="00C63214" w:rsidRDefault="00633290" w:rsidP="00633290">
      <w:pPr>
        <w:jc w:val="center"/>
        <w:rPr>
          <w:color w:val="000000"/>
          <w:sz w:val="28"/>
          <w:szCs w:val="28"/>
          <w:lang w:val="en-US"/>
        </w:rPr>
      </w:pPr>
    </w:p>
    <w:p w14:paraId="4583E384" w14:textId="77777777" w:rsidR="00633290" w:rsidRPr="00C63214" w:rsidRDefault="00633290" w:rsidP="00633290">
      <w:pPr>
        <w:jc w:val="center"/>
        <w:rPr>
          <w:color w:val="000000"/>
          <w:sz w:val="28"/>
          <w:szCs w:val="28"/>
          <w:lang w:val="en-US"/>
        </w:rPr>
      </w:pPr>
    </w:p>
    <w:p w14:paraId="1F67EE2D" w14:textId="292D2F7F" w:rsidR="00015094" w:rsidRPr="00C63214" w:rsidRDefault="00015094" w:rsidP="00633290">
      <w:pPr>
        <w:jc w:val="center"/>
        <w:rPr>
          <w:rFonts w:eastAsia="EB Garamond"/>
          <w:color w:val="000000"/>
          <w:sz w:val="28"/>
          <w:szCs w:val="28"/>
          <w:lang w:val="en-US"/>
        </w:rPr>
      </w:pPr>
      <w:r w:rsidRPr="00C63214">
        <w:rPr>
          <w:color w:val="000000"/>
          <w:sz w:val="28"/>
          <w:szCs w:val="28"/>
          <w:lang w:val="en-US"/>
        </w:rPr>
        <w:lastRenderedPageBreak/>
        <w:t xml:space="preserve">Supplementary Table 2: </w:t>
      </w:r>
      <w:r w:rsidRPr="00C63214">
        <w:rPr>
          <w:rFonts w:eastAsia="EB Garamond"/>
          <w:color w:val="000000"/>
          <w:sz w:val="28"/>
          <w:szCs w:val="28"/>
          <w:lang w:val="en-US"/>
        </w:rPr>
        <w:t>Characteristics and Findings of Studies Evaluating Virtual Reality Visual Field Testing</w:t>
      </w:r>
    </w:p>
    <w:p w14:paraId="751D2E80" w14:textId="77777777" w:rsidR="00015094" w:rsidRPr="00C63214" w:rsidRDefault="00015094" w:rsidP="00015094">
      <w:pPr>
        <w:rPr>
          <w:color w:val="000000"/>
          <w:sz w:val="24"/>
          <w:szCs w:val="24"/>
          <w:lang w:val="en-US"/>
        </w:rPr>
      </w:pPr>
    </w:p>
    <w:tbl>
      <w:tblPr>
        <w:tblpPr w:leftFromText="180" w:rightFromText="180" w:vertAnchor="page" w:horzAnchor="page" w:tblpX="3871" w:tblpY="225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2160"/>
        <w:gridCol w:w="4080"/>
      </w:tblGrid>
      <w:tr w:rsidR="007B1F50" w:rsidRPr="00C63214" w14:paraId="34019555" w14:textId="77777777" w:rsidTr="007B1F50">
        <w:tc>
          <w:tcPr>
            <w:tcW w:w="3120" w:type="dxa"/>
            <w:shd w:val="clear" w:color="auto" w:fill="auto"/>
            <w:tcMar>
              <w:top w:w="100" w:type="dxa"/>
              <w:left w:w="100" w:type="dxa"/>
              <w:bottom w:w="100" w:type="dxa"/>
              <w:right w:w="100" w:type="dxa"/>
            </w:tcMar>
            <w:vAlign w:val="center"/>
          </w:tcPr>
          <w:p w14:paraId="62173C75" w14:textId="77777777" w:rsidR="007B1F50" w:rsidRPr="00C63214" w:rsidRDefault="007B1F50" w:rsidP="007B1F50">
            <w:pPr>
              <w:jc w:val="center"/>
              <w:rPr>
                <w:rFonts w:eastAsia="EB Garamond"/>
                <w:b/>
                <w:color w:val="000000"/>
                <w:sz w:val="24"/>
                <w:szCs w:val="24"/>
                <w:lang w:val="en-US"/>
              </w:rPr>
            </w:pPr>
            <w:r w:rsidRPr="00C63214">
              <w:rPr>
                <w:rFonts w:eastAsia="EB Garamond"/>
                <w:b/>
                <w:color w:val="000000"/>
                <w:sz w:val="24"/>
                <w:szCs w:val="24"/>
                <w:lang w:val="en-US"/>
              </w:rPr>
              <w:t>Study Characteristic</w:t>
            </w:r>
          </w:p>
        </w:tc>
        <w:tc>
          <w:tcPr>
            <w:tcW w:w="2160" w:type="dxa"/>
            <w:shd w:val="clear" w:color="auto" w:fill="auto"/>
            <w:tcMar>
              <w:top w:w="100" w:type="dxa"/>
              <w:left w:w="100" w:type="dxa"/>
              <w:bottom w:w="100" w:type="dxa"/>
              <w:right w:w="100" w:type="dxa"/>
            </w:tcMar>
            <w:vAlign w:val="center"/>
          </w:tcPr>
          <w:p w14:paraId="30773443" w14:textId="77777777" w:rsidR="007B1F50" w:rsidRPr="00C63214" w:rsidRDefault="007B1F50" w:rsidP="007B1F50">
            <w:pPr>
              <w:jc w:val="center"/>
              <w:rPr>
                <w:rFonts w:eastAsia="EB Garamond"/>
                <w:b/>
                <w:color w:val="000000"/>
                <w:sz w:val="24"/>
                <w:szCs w:val="24"/>
                <w:lang w:val="en-US"/>
              </w:rPr>
            </w:pPr>
            <w:r w:rsidRPr="00C63214">
              <w:rPr>
                <w:rFonts w:eastAsia="EB Garamond"/>
                <w:b/>
                <w:color w:val="000000"/>
                <w:sz w:val="24"/>
                <w:szCs w:val="24"/>
                <w:lang w:val="en-US"/>
              </w:rPr>
              <w:t>Number of Studies</w:t>
            </w:r>
          </w:p>
        </w:tc>
        <w:tc>
          <w:tcPr>
            <w:tcW w:w="4080" w:type="dxa"/>
            <w:shd w:val="clear" w:color="auto" w:fill="auto"/>
            <w:tcMar>
              <w:top w:w="100" w:type="dxa"/>
              <w:left w:w="100" w:type="dxa"/>
              <w:bottom w:w="100" w:type="dxa"/>
              <w:right w:w="100" w:type="dxa"/>
            </w:tcMar>
            <w:vAlign w:val="center"/>
          </w:tcPr>
          <w:p w14:paraId="681CCD6C" w14:textId="77777777" w:rsidR="007B1F50" w:rsidRPr="00C63214" w:rsidRDefault="007B1F50" w:rsidP="007B1F50">
            <w:pPr>
              <w:jc w:val="center"/>
              <w:rPr>
                <w:rFonts w:eastAsia="EB Garamond"/>
                <w:b/>
                <w:color w:val="000000"/>
                <w:sz w:val="24"/>
                <w:szCs w:val="24"/>
                <w:lang w:val="en-US"/>
              </w:rPr>
            </w:pPr>
            <w:r w:rsidRPr="00C63214">
              <w:rPr>
                <w:rFonts w:eastAsia="EB Garamond"/>
                <w:b/>
                <w:color w:val="000000"/>
                <w:sz w:val="24"/>
                <w:szCs w:val="24"/>
                <w:lang w:val="en-US"/>
              </w:rPr>
              <w:t>Key Findings</w:t>
            </w:r>
          </w:p>
        </w:tc>
      </w:tr>
      <w:tr w:rsidR="007B1F50" w:rsidRPr="00C63214" w14:paraId="6C3D5B0A" w14:textId="77777777" w:rsidTr="007B1F50">
        <w:tc>
          <w:tcPr>
            <w:tcW w:w="3120" w:type="dxa"/>
            <w:shd w:val="clear" w:color="auto" w:fill="auto"/>
            <w:tcMar>
              <w:top w:w="100" w:type="dxa"/>
              <w:left w:w="100" w:type="dxa"/>
              <w:bottom w:w="100" w:type="dxa"/>
              <w:right w:w="100" w:type="dxa"/>
            </w:tcMar>
            <w:vAlign w:val="center"/>
          </w:tcPr>
          <w:p w14:paraId="3BCAA357" w14:textId="77777777" w:rsidR="007B1F50" w:rsidRPr="00C63214" w:rsidRDefault="007B1F50" w:rsidP="007B1F50">
            <w:pPr>
              <w:jc w:val="center"/>
              <w:rPr>
                <w:rFonts w:eastAsia="EB Garamond"/>
                <w:bCs/>
                <w:color w:val="000000"/>
                <w:sz w:val="24"/>
                <w:szCs w:val="24"/>
                <w:lang w:val="en-US"/>
              </w:rPr>
            </w:pPr>
            <w:r w:rsidRPr="00C63214">
              <w:rPr>
                <w:rFonts w:eastAsia="EB Garamond"/>
                <w:bCs/>
                <w:color w:val="000000"/>
                <w:sz w:val="24"/>
                <w:szCs w:val="24"/>
                <w:lang w:val="en-US"/>
              </w:rPr>
              <w:t>Prospective Cohort</w:t>
            </w:r>
          </w:p>
        </w:tc>
        <w:tc>
          <w:tcPr>
            <w:tcW w:w="2160" w:type="dxa"/>
            <w:shd w:val="clear" w:color="auto" w:fill="auto"/>
            <w:tcMar>
              <w:top w:w="100" w:type="dxa"/>
              <w:left w:w="100" w:type="dxa"/>
              <w:bottom w:w="100" w:type="dxa"/>
              <w:right w:w="100" w:type="dxa"/>
            </w:tcMar>
            <w:vAlign w:val="center"/>
          </w:tcPr>
          <w:p w14:paraId="67E902B1" w14:textId="77777777" w:rsidR="007B1F50" w:rsidRPr="00C63214" w:rsidRDefault="007B1F50" w:rsidP="007B1F50">
            <w:pPr>
              <w:widowControl w:val="0"/>
              <w:pBdr>
                <w:top w:val="nil"/>
                <w:left w:val="nil"/>
                <w:bottom w:val="nil"/>
                <w:right w:val="nil"/>
                <w:between w:val="nil"/>
              </w:pBdr>
              <w:spacing w:line="240" w:lineRule="auto"/>
              <w:jc w:val="center"/>
              <w:rPr>
                <w:rFonts w:eastAsia="EB Garamond"/>
                <w:color w:val="000000"/>
                <w:sz w:val="24"/>
                <w:szCs w:val="24"/>
                <w:lang w:val="en-US"/>
              </w:rPr>
            </w:pPr>
            <w:r w:rsidRPr="00C63214">
              <w:rPr>
                <w:rFonts w:eastAsia="EB Garamond"/>
                <w:color w:val="000000"/>
                <w:sz w:val="24"/>
                <w:szCs w:val="24"/>
                <w:lang w:val="en-US"/>
              </w:rPr>
              <w:t>3</w:t>
            </w:r>
          </w:p>
        </w:tc>
        <w:tc>
          <w:tcPr>
            <w:tcW w:w="4080" w:type="dxa"/>
            <w:shd w:val="clear" w:color="auto" w:fill="auto"/>
            <w:tcMar>
              <w:top w:w="100" w:type="dxa"/>
              <w:left w:w="100" w:type="dxa"/>
              <w:bottom w:w="100" w:type="dxa"/>
              <w:right w:w="100" w:type="dxa"/>
            </w:tcMar>
            <w:vAlign w:val="center"/>
          </w:tcPr>
          <w:p w14:paraId="71192214" w14:textId="77777777" w:rsidR="007B1F50" w:rsidRPr="00C63214" w:rsidRDefault="007B1F50" w:rsidP="007B1F50">
            <w:pPr>
              <w:jc w:val="center"/>
              <w:rPr>
                <w:rFonts w:eastAsia="EB Garamond"/>
                <w:color w:val="000000"/>
                <w:sz w:val="24"/>
                <w:szCs w:val="24"/>
                <w:lang w:val="en-US"/>
              </w:rPr>
            </w:pPr>
            <w:r w:rsidRPr="00C63214">
              <w:rPr>
                <w:rFonts w:eastAsia="EB Garamond"/>
                <w:color w:val="000000"/>
                <w:sz w:val="24"/>
                <w:szCs w:val="24"/>
                <w:lang w:val="en-US"/>
              </w:rPr>
              <w:t>Demonstrated good correlation with SAP</w:t>
            </w:r>
          </w:p>
        </w:tc>
      </w:tr>
      <w:tr w:rsidR="007B1F50" w:rsidRPr="00C63214" w14:paraId="51E1B64E" w14:textId="77777777" w:rsidTr="007B1F50">
        <w:tc>
          <w:tcPr>
            <w:tcW w:w="3120" w:type="dxa"/>
            <w:shd w:val="clear" w:color="auto" w:fill="auto"/>
            <w:tcMar>
              <w:top w:w="100" w:type="dxa"/>
              <w:left w:w="100" w:type="dxa"/>
              <w:bottom w:w="100" w:type="dxa"/>
              <w:right w:w="100" w:type="dxa"/>
            </w:tcMar>
            <w:vAlign w:val="center"/>
          </w:tcPr>
          <w:p w14:paraId="08DA7F8E" w14:textId="77777777" w:rsidR="007B1F50" w:rsidRPr="00C63214" w:rsidRDefault="007B1F50" w:rsidP="007B1F50">
            <w:pPr>
              <w:jc w:val="center"/>
              <w:rPr>
                <w:rFonts w:eastAsia="EB Garamond"/>
                <w:bCs/>
                <w:color w:val="000000"/>
                <w:sz w:val="24"/>
                <w:szCs w:val="24"/>
                <w:lang w:val="en-US"/>
              </w:rPr>
            </w:pPr>
            <w:r w:rsidRPr="00C63214">
              <w:rPr>
                <w:rFonts w:eastAsia="EB Garamond"/>
                <w:bCs/>
                <w:color w:val="000000"/>
                <w:sz w:val="24"/>
                <w:szCs w:val="24"/>
                <w:lang w:val="en-US"/>
              </w:rPr>
              <w:t>Cross-sectional</w:t>
            </w:r>
          </w:p>
        </w:tc>
        <w:tc>
          <w:tcPr>
            <w:tcW w:w="2160" w:type="dxa"/>
            <w:shd w:val="clear" w:color="auto" w:fill="auto"/>
            <w:tcMar>
              <w:top w:w="100" w:type="dxa"/>
              <w:left w:w="100" w:type="dxa"/>
              <w:bottom w:w="100" w:type="dxa"/>
              <w:right w:w="100" w:type="dxa"/>
            </w:tcMar>
            <w:vAlign w:val="center"/>
          </w:tcPr>
          <w:p w14:paraId="415C13DF" w14:textId="77777777" w:rsidR="007B1F50" w:rsidRPr="00C63214" w:rsidRDefault="007B1F50" w:rsidP="007B1F50">
            <w:pPr>
              <w:widowControl w:val="0"/>
              <w:pBdr>
                <w:top w:val="nil"/>
                <w:left w:val="nil"/>
                <w:bottom w:val="nil"/>
                <w:right w:val="nil"/>
                <w:between w:val="nil"/>
              </w:pBdr>
              <w:spacing w:line="240" w:lineRule="auto"/>
              <w:jc w:val="center"/>
              <w:rPr>
                <w:rFonts w:eastAsia="EB Garamond"/>
                <w:color w:val="000000"/>
                <w:sz w:val="24"/>
                <w:szCs w:val="24"/>
                <w:lang w:val="en-US"/>
              </w:rPr>
            </w:pPr>
            <w:r w:rsidRPr="00C63214">
              <w:rPr>
                <w:rFonts w:eastAsia="EB Garamond"/>
                <w:color w:val="000000"/>
                <w:sz w:val="24"/>
                <w:szCs w:val="24"/>
                <w:lang w:val="en-US"/>
              </w:rPr>
              <w:t>4</w:t>
            </w:r>
          </w:p>
        </w:tc>
        <w:tc>
          <w:tcPr>
            <w:tcW w:w="4080" w:type="dxa"/>
            <w:shd w:val="clear" w:color="auto" w:fill="auto"/>
            <w:tcMar>
              <w:top w:w="100" w:type="dxa"/>
              <w:left w:w="100" w:type="dxa"/>
              <w:bottom w:w="100" w:type="dxa"/>
              <w:right w:w="100" w:type="dxa"/>
            </w:tcMar>
            <w:vAlign w:val="center"/>
          </w:tcPr>
          <w:p w14:paraId="04732F14" w14:textId="77777777" w:rsidR="007B1F50" w:rsidRPr="00C63214" w:rsidRDefault="007B1F50" w:rsidP="007B1F50">
            <w:pPr>
              <w:jc w:val="center"/>
              <w:rPr>
                <w:rFonts w:eastAsia="EB Garamond"/>
                <w:color w:val="000000"/>
                <w:sz w:val="24"/>
                <w:szCs w:val="24"/>
                <w:lang w:val="en-US"/>
              </w:rPr>
            </w:pPr>
            <w:r w:rsidRPr="00C63214">
              <w:rPr>
                <w:rFonts w:eastAsia="EB Garamond"/>
                <w:color w:val="000000"/>
                <w:sz w:val="24"/>
                <w:szCs w:val="24"/>
                <w:lang w:val="en-US"/>
              </w:rPr>
              <w:t>Validated testing protocols</w:t>
            </w:r>
          </w:p>
        </w:tc>
      </w:tr>
      <w:tr w:rsidR="007B1F50" w:rsidRPr="00C63214" w14:paraId="6188E2CD" w14:textId="77777777" w:rsidTr="007B1F50">
        <w:tc>
          <w:tcPr>
            <w:tcW w:w="3120" w:type="dxa"/>
            <w:shd w:val="clear" w:color="auto" w:fill="auto"/>
            <w:tcMar>
              <w:top w:w="100" w:type="dxa"/>
              <w:left w:w="100" w:type="dxa"/>
              <w:bottom w:w="100" w:type="dxa"/>
              <w:right w:w="100" w:type="dxa"/>
            </w:tcMar>
            <w:vAlign w:val="center"/>
          </w:tcPr>
          <w:p w14:paraId="5B1BB656" w14:textId="77777777" w:rsidR="007B1F50" w:rsidRPr="00C63214" w:rsidRDefault="007B1F50" w:rsidP="007B1F50">
            <w:pPr>
              <w:jc w:val="center"/>
              <w:rPr>
                <w:rFonts w:eastAsia="EB Garamond"/>
                <w:bCs/>
                <w:color w:val="000000"/>
                <w:sz w:val="24"/>
                <w:szCs w:val="24"/>
                <w:lang w:val="en-US"/>
              </w:rPr>
            </w:pPr>
            <w:r w:rsidRPr="00C63214">
              <w:rPr>
                <w:rFonts w:eastAsia="EB Garamond"/>
                <w:bCs/>
                <w:color w:val="000000"/>
                <w:sz w:val="24"/>
                <w:szCs w:val="24"/>
                <w:lang w:val="en-US"/>
              </w:rPr>
              <w:t>Proof-of-concept</w:t>
            </w:r>
          </w:p>
        </w:tc>
        <w:tc>
          <w:tcPr>
            <w:tcW w:w="2160" w:type="dxa"/>
            <w:shd w:val="clear" w:color="auto" w:fill="auto"/>
            <w:tcMar>
              <w:top w:w="100" w:type="dxa"/>
              <w:left w:w="100" w:type="dxa"/>
              <w:bottom w:w="100" w:type="dxa"/>
              <w:right w:w="100" w:type="dxa"/>
            </w:tcMar>
            <w:vAlign w:val="center"/>
          </w:tcPr>
          <w:p w14:paraId="512EDF94" w14:textId="77777777" w:rsidR="007B1F50" w:rsidRPr="00C63214" w:rsidRDefault="007B1F50" w:rsidP="007B1F50">
            <w:pPr>
              <w:widowControl w:val="0"/>
              <w:pBdr>
                <w:top w:val="nil"/>
                <w:left w:val="nil"/>
                <w:bottom w:val="nil"/>
                <w:right w:val="nil"/>
                <w:between w:val="nil"/>
              </w:pBdr>
              <w:spacing w:line="240" w:lineRule="auto"/>
              <w:jc w:val="center"/>
              <w:rPr>
                <w:rFonts w:eastAsia="EB Garamond"/>
                <w:color w:val="000000"/>
                <w:sz w:val="24"/>
                <w:szCs w:val="24"/>
                <w:lang w:val="en-US"/>
              </w:rPr>
            </w:pPr>
            <w:r w:rsidRPr="00C63214">
              <w:rPr>
                <w:rFonts w:eastAsia="EB Garamond"/>
                <w:color w:val="000000"/>
                <w:sz w:val="24"/>
                <w:szCs w:val="24"/>
                <w:lang w:val="en-US"/>
              </w:rPr>
              <w:t>2</w:t>
            </w:r>
          </w:p>
        </w:tc>
        <w:tc>
          <w:tcPr>
            <w:tcW w:w="4080" w:type="dxa"/>
            <w:shd w:val="clear" w:color="auto" w:fill="auto"/>
            <w:tcMar>
              <w:top w:w="100" w:type="dxa"/>
              <w:left w:w="100" w:type="dxa"/>
              <w:bottom w:w="100" w:type="dxa"/>
              <w:right w:w="100" w:type="dxa"/>
            </w:tcMar>
            <w:vAlign w:val="center"/>
          </w:tcPr>
          <w:p w14:paraId="0E43FE8B" w14:textId="77777777" w:rsidR="007B1F50" w:rsidRPr="00C63214" w:rsidRDefault="007B1F50" w:rsidP="007B1F50">
            <w:pPr>
              <w:jc w:val="center"/>
              <w:rPr>
                <w:rFonts w:eastAsia="EB Garamond"/>
                <w:color w:val="000000"/>
                <w:sz w:val="24"/>
                <w:szCs w:val="24"/>
                <w:lang w:val="en-US"/>
              </w:rPr>
            </w:pPr>
            <w:r w:rsidRPr="00C63214">
              <w:rPr>
                <w:rFonts w:eastAsia="EB Garamond"/>
                <w:color w:val="000000"/>
                <w:sz w:val="24"/>
                <w:szCs w:val="24"/>
                <w:lang w:val="en-US"/>
              </w:rPr>
              <w:t>Established technical feasibility</w:t>
            </w:r>
          </w:p>
        </w:tc>
      </w:tr>
      <w:tr w:rsidR="007B1F50" w:rsidRPr="00C63214" w14:paraId="122D8691" w14:textId="77777777" w:rsidTr="007B1F50">
        <w:tc>
          <w:tcPr>
            <w:tcW w:w="3120" w:type="dxa"/>
            <w:shd w:val="clear" w:color="auto" w:fill="auto"/>
            <w:tcMar>
              <w:top w:w="100" w:type="dxa"/>
              <w:left w:w="100" w:type="dxa"/>
              <w:bottom w:w="100" w:type="dxa"/>
              <w:right w:w="100" w:type="dxa"/>
            </w:tcMar>
            <w:vAlign w:val="center"/>
          </w:tcPr>
          <w:p w14:paraId="5B71B72D" w14:textId="77777777" w:rsidR="007B1F50" w:rsidRPr="00C63214" w:rsidRDefault="007B1F50" w:rsidP="007B1F50">
            <w:pPr>
              <w:jc w:val="center"/>
              <w:rPr>
                <w:rFonts w:eastAsia="EB Garamond"/>
                <w:bCs/>
                <w:color w:val="000000"/>
                <w:sz w:val="24"/>
                <w:szCs w:val="24"/>
                <w:lang w:val="en-US"/>
              </w:rPr>
            </w:pPr>
            <w:r w:rsidRPr="00C63214">
              <w:rPr>
                <w:rFonts w:eastAsia="EB Garamond"/>
                <w:bCs/>
                <w:color w:val="000000"/>
                <w:sz w:val="24"/>
                <w:szCs w:val="24"/>
                <w:lang w:val="en-US"/>
              </w:rPr>
              <w:t>Case Series</w:t>
            </w:r>
          </w:p>
        </w:tc>
        <w:tc>
          <w:tcPr>
            <w:tcW w:w="2160" w:type="dxa"/>
            <w:shd w:val="clear" w:color="auto" w:fill="auto"/>
            <w:tcMar>
              <w:top w:w="100" w:type="dxa"/>
              <w:left w:w="100" w:type="dxa"/>
              <w:bottom w:w="100" w:type="dxa"/>
              <w:right w:w="100" w:type="dxa"/>
            </w:tcMar>
            <w:vAlign w:val="center"/>
          </w:tcPr>
          <w:p w14:paraId="348D17FC" w14:textId="77777777" w:rsidR="007B1F50" w:rsidRPr="00C63214" w:rsidRDefault="007B1F50" w:rsidP="007B1F50">
            <w:pPr>
              <w:widowControl w:val="0"/>
              <w:pBdr>
                <w:top w:val="nil"/>
                <w:left w:val="nil"/>
                <w:bottom w:val="nil"/>
                <w:right w:val="nil"/>
                <w:between w:val="nil"/>
              </w:pBdr>
              <w:spacing w:line="240" w:lineRule="auto"/>
              <w:jc w:val="center"/>
              <w:rPr>
                <w:rFonts w:eastAsia="EB Garamond"/>
                <w:color w:val="000000"/>
                <w:sz w:val="24"/>
                <w:szCs w:val="24"/>
                <w:lang w:val="en-US"/>
              </w:rPr>
            </w:pPr>
            <w:r w:rsidRPr="00C63214">
              <w:rPr>
                <w:rFonts w:eastAsia="EB Garamond"/>
                <w:color w:val="000000"/>
                <w:sz w:val="24"/>
                <w:szCs w:val="24"/>
                <w:lang w:val="en-US"/>
              </w:rPr>
              <w:t>7</w:t>
            </w:r>
          </w:p>
        </w:tc>
        <w:tc>
          <w:tcPr>
            <w:tcW w:w="4080" w:type="dxa"/>
            <w:shd w:val="clear" w:color="auto" w:fill="auto"/>
            <w:tcMar>
              <w:top w:w="100" w:type="dxa"/>
              <w:left w:w="100" w:type="dxa"/>
              <w:bottom w:w="100" w:type="dxa"/>
              <w:right w:w="100" w:type="dxa"/>
            </w:tcMar>
            <w:vAlign w:val="center"/>
          </w:tcPr>
          <w:p w14:paraId="23DDE1D6" w14:textId="77777777" w:rsidR="007B1F50" w:rsidRPr="00C63214" w:rsidRDefault="007B1F50" w:rsidP="007B1F50">
            <w:pPr>
              <w:jc w:val="center"/>
              <w:rPr>
                <w:rFonts w:eastAsia="EB Garamond"/>
                <w:color w:val="000000"/>
                <w:sz w:val="24"/>
                <w:szCs w:val="24"/>
                <w:lang w:val="en-US"/>
              </w:rPr>
            </w:pPr>
            <w:r w:rsidRPr="00C63214">
              <w:rPr>
                <w:rFonts w:eastAsia="EB Garamond"/>
                <w:color w:val="000000"/>
                <w:sz w:val="24"/>
                <w:szCs w:val="24"/>
                <w:lang w:val="en-US"/>
              </w:rPr>
              <w:t>Reported patient outcomes</w:t>
            </w:r>
          </w:p>
        </w:tc>
      </w:tr>
      <w:tr w:rsidR="007B1F50" w:rsidRPr="00C63214" w14:paraId="706F2080" w14:textId="77777777" w:rsidTr="007B1F50">
        <w:trPr>
          <w:trHeight w:val="440"/>
        </w:trPr>
        <w:tc>
          <w:tcPr>
            <w:tcW w:w="9360" w:type="dxa"/>
            <w:gridSpan w:val="3"/>
            <w:shd w:val="clear" w:color="auto" w:fill="auto"/>
            <w:tcMar>
              <w:top w:w="100" w:type="dxa"/>
              <w:left w:w="100" w:type="dxa"/>
              <w:bottom w:w="100" w:type="dxa"/>
              <w:right w:w="100" w:type="dxa"/>
            </w:tcMar>
            <w:vAlign w:val="center"/>
          </w:tcPr>
          <w:p w14:paraId="77902883" w14:textId="77777777" w:rsidR="007B1F50" w:rsidRPr="00C63214" w:rsidRDefault="007B1F50" w:rsidP="007B1F50">
            <w:pPr>
              <w:jc w:val="center"/>
              <w:rPr>
                <w:rFonts w:eastAsia="EB Garamond"/>
                <w:b/>
                <w:color w:val="000000"/>
                <w:sz w:val="24"/>
                <w:szCs w:val="24"/>
                <w:lang w:val="en-US"/>
              </w:rPr>
            </w:pPr>
            <w:r w:rsidRPr="00C63214">
              <w:rPr>
                <w:rFonts w:eastAsia="EB Garamond"/>
                <w:b/>
                <w:color w:val="000000"/>
                <w:sz w:val="24"/>
                <w:szCs w:val="24"/>
                <w:lang w:val="en-US"/>
              </w:rPr>
              <w:t>Technology Type</w:t>
            </w:r>
          </w:p>
        </w:tc>
      </w:tr>
      <w:tr w:rsidR="007B1F50" w:rsidRPr="00C63214" w14:paraId="077362A4" w14:textId="77777777" w:rsidTr="007B1F50">
        <w:tc>
          <w:tcPr>
            <w:tcW w:w="3120" w:type="dxa"/>
            <w:shd w:val="clear" w:color="auto" w:fill="auto"/>
            <w:tcMar>
              <w:top w:w="100" w:type="dxa"/>
              <w:left w:w="100" w:type="dxa"/>
              <w:bottom w:w="100" w:type="dxa"/>
              <w:right w:w="100" w:type="dxa"/>
            </w:tcMar>
            <w:vAlign w:val="center"/>
          </w:tcPr>
          <w:p w14:paraId="723EB287" w14:textId="77777777" w:rsidR="007B1F50" w:rsidRPr="00C63214" w:rsidRDefault="007B1F50" w:rsidP="007B1F50">
            <w:pPr>
              <w:jc w:val="center"/>
              <w:rPr>
                <w:rFonts w:eastAsia="EB Garamond"/>
                <w:bCs/>
                <w:color w:val="000000"/>
                <w:sz w:val="24"/>
                <w:szCs w:val="24"/>
                <w:lang w:val="en-US"/>
              </w:rPr>
            </w:pPr>
            <w:r w:rsidRPr="00C63214">
              <w:rPr>
                <w:rFonts w:eastAsia="EB Garamond"/>
                <w:bCs/>
                <w:color w:val="000000"/>
                <w:sz w:val="24"/>
                <w:szCs w:val="24"/>
                <w:lang w:val="en-US"/>
              </w:rPr>
              <w:t>Dedicated VR System</w:t>
            </w:r>
          </w:p>
        </w:tc>
        <w:tc>
          <w:tcPr>
            <w:tcW w:w="2160" w:type="dxa"/>
            <w:shd w:val="clear" w:color="auto" w:fill="auto"/>
            <w:tcMar>
              <w:top w:w="100" w:type="dxa"/>
              <w:left w:w="100" w:type="dxa"/>
              <w:bottom w:w="100" w:type="dxa"/>
              <w:right w:w="100" w:type="dxa"/>
            </w:tcMar>
            <w:vAlign w:val="center"/>
          </w:tcPr>
          <w:p w14:paraId="6A53D1C3" w14:textId="77777777" w:rsidR="007B1F50" w:rsidRPr="00C63214" w:rsidRDefault="007B1F50" w:rsidP="007B1F50">
            <w:pPr>
              <w:widowControl w:val="0"/>
              <w:pBdr>
                <w:top w:val="nil"/>
                <w:left w:val="nil"/>
                <w:bottom w:val="nil"/>
                <w:right w:val="nil"/>
                <w:between w:val="nil"/>
              </w:pBdr>
              <w:spacing w:line="240" w:lineRule="auto"/>
              <w:jc w:val="center"/>
              <w:rPr>
                <w:rFonts w:eastAsia="EB Garamond"/>
                <w:color w:val="000000"/>
                <w:sz w:val="24"/>
                <w:szCs w:val="24"/>
                <w:lang w:val="en-US"/>
              </w:rPr>
            </w:pPr>
            <w:r w:rsidRPr="00C63214">
              <w:rPr>
                <w:rFonts w:eastAsia="EB Garamond"/>
                <w:color w:val="000000"/>
                <w:sz w:val="24"/>
                <w:szCs w:val="24"/>
                <w:lang w:val="en-US"/>
              </w:rPr>
              <w:t>8</w:t>
            </w:r>
          </w:p>
        </w:tc>
        <w:tc>
          <w:tcPr>
            <w:tcW w:w="4080" w:type="dxa"/>
            <w:shd w:val="clear" w:color="auto" w:fill="auto"/>
            <w:tcMar>
              <w:top w:w="100" w:type="dxa"/>
              <w:left w:w="100" w:type="dxa"/>
              <w:bottom w:w="100" w:type="dxa"/>
              <w:right w:w="100" w:type="dxa"/>
            </w:tcMar>
            <w:vAlign w:val="center"/>
          </w:tcPr>
          <w:p w14:paraId="2CA31542" w14:textId="77777777" w:rsidR="007B1F50" w:rsidRPr="00C63214" w:rsidRDefault="007B1F50" w:rsidP="007B1F50">
            <w:pPr>
              <w:jc w:val="center"/>
              <w:rPr>
                <w:rFonts w:eastAsia="EB Garamond"/>
                <w:color w:val="000000"/>
                <w:sz w:val="24"/>
                <w:szCs w:val="24"/>
                <w:lang w:val="en-US"/>
              </w:rPr>
            </w:pPr>
            <w:r w:rsidRPr="00C63214">
              <w:rPr>
                <w:rFonts w:eastAsia="EB Garamond"/>
                <w:color w:val="000000"/>
                <w:sz w:val="24"/>
                <w:szCs w:val="24"/>
                <w:lang w:val="en-US"/>
              </w:rPr>
              <w:t>Higher precision, costlier</w:t>
            </w:r>
          </w:p>
        </w:tc>
      </w:tr>
      <w:tr w:rsidR="007B1F50" w:rsidRPr="00C63214" w14:paraId="4D55B625" w14:textId="77777777" w:rsidTr="007B1F50">
        <w:tc>
          <w:tcPr>
            <w:tcW w:w="3120" w:type="dxa"/>
            <w:shd w:val="clear" w:color="auto" w:fill="auto"/>
            <w:tcMar>
              <w:top w:w="100" w:type="dxa"/>
              <w:left w:w="100" w:type="dxa"/>
              <w:bottom w:w="100" w:type="dxa"/>
              <w:right w:w="100" w:type="dxa"/>
            </w:tcMar>
            <w:vAlign w:val="center"/>
          </w:tcPr>
          <w:p w14:paraId="709BE300" w14:textId="77777777" w:rsidR="007B1F50" w:rsidRPr="00C63214" w:rsidRDefault="007B1F50" w:rsidP="007B1F50">
            <w:pPr>
              <w:jc w:val="center"/>
              <w:rPr>
                <w:rFonts w:eastAsia="EB Garamond"/>
                <w:bCs/>
                <w:color w:val="000000"/>
                <w:sz w:val="24"/>
                <w:szCs w:val="24"/>
                <w:lang w:val="en-US"/>
              </w:rPr>
            </w:pPr>
            <w:r w:rsidRPr="00C63214">
              <w:rPr>
                <w:rFonts w:eastAsia="EB Garamond"/>
                <w:bCs/>
                <w:color w:val="000000"/>
                <w:sz w:val="24"/>
                <w:szCs w:val="24"/>
                <w:lang w:val="en-US"/>
              </w:rPr>
              <w:t>Adapted Commercial</w:t>
            </w:r>
          </w:p>
        </w:tc>
        <w:tc>
          <w:tcPr>
            <w:tcW w:w="2160" w:type="dxa"/>
            <w:shd w:val="clear" w:color="auto" w:fill="auto"/>
            <w:tcMar>
              <w:top w:w="100" w:type="dxa"/>
              <w:left w:w="100" w:type="dxa"/>
              <w:bottom w:w="100" w:type="dxa"/>
              <w:right w:w="100" w:type="dxa"/>
            </w:tcMar>
            <w:vAlign w:val="center"/>
          </w:tcPr>
          <w:p w14:paraId="27606466" w14:textId="77777777" w:rsidR="007B1F50" w:rsidRPr="00C63214" w:rsidRDefault="007B1F50" w:rsidP="007B1F50">
            <w:pPr>
              <w:widowControl w:val="0"/>
              <w:pBdr>
                <w:top w:val="nil"/>
                <w:left w:val="nil"/>
                <w:bottom w:val="nil"/>
                <w:right w:val="nil"/>
                <w:between w:val="nil"/>
              </w:pBdr>
              <w:spacing w:line="240" w:lineRule="auto"/>
              <w:jc w:val="center"/>
              <w:rPr>
                <w:rFonts w:eastAsia="EB Garamond"/>
                <w:color w:val="000000"/>
                <w:sz w:val="24"/>
                <w:szCs w:val="24"/>
                <w:lang w:val="en-US"/>
              </w:rPr>
            </w:pPr>
            <w:r w:rsidRPr="00C63214">
              <w:rPr>
                <w:rFonts w:eastAsia="EB Garamond"/>
                <w:color w:val="000000"/>
                <w:sz w:val="24"/>
                <w:szCs w:val="24"/>
                <w:lang w:val="en-US"/>
              </w:rPr>
              <w:t>6</w:t>
            </w:r>
          </w:p>
        </w:tc>
        <w:tc>
          <w:tcPr>
            <w:tcW w:w="4080" w:type="dxa"/>
            <w:shd w:val="clear" w:color="auto" w:fill="auto"/>
            <w:tcMar>
              <w:top w:w="100" w:type="dxa"/>
              <w:left w:w="100" w:type="dxa"/>
              <w:bottom w:w="100" w:type="dxa"/>
              <w:right w:w="100" w:type="dxa"/>
            </w:tcMar>
            <w:vAlign w:val="center"/>
          </w:tcPr>
          <w:p w14:paraId="37F85806" w14:textId="77777777" w:rsidR="007B1F50" w:rsidRPr="00C63214" w:rsidRDefault="007B1F50" w:rsidP="007B1F50">
            <w:pPr>
              <w:jc w:val="center"/>
              <w:rPr>
                <w:rFonts w:eastAsia="EB Garamond"/>
                <w:color w:val="000000"/>
                <w:sz w:val="24"/>
                <w:szCs w:val="24"/>
                <w:lang w:val="en-US"/>
              </w:rPr>
            </w:pPr>
            <w:r w:rsidRPr="00C63214">
              <w:rPr>
                <w:rFonts w:eastAsia="EB Garamond"/>
                <w:color w:val="000000"/>
                <w:sz w:val="24"/>
                <w:szCs w:val="24"/>
                <w:lang w:val="en-US"/>
              </w:rPr>
              <w:t>More accessible, variable results</w:t>
            </w:r>
          </w:p>
        </w:tc>
      </w:tr>
      <w:tr w:rsidR="007B1F50" w:rsidRPr="00C63214" w14:paraId="15C485A2" w14:textId="77777777" w:rsidTr="007B1F50">
        <w:tc>
          <w:tcPr>
            <w:tcW w:w="3120" w:type="dxa"/>
            <w:shd w:val="clear" w:color="auto" w:fill="auto"/>
            <w:tcMar>
              <w:top w:w="100" w:type="dxa"/>
              <w:left w:w="100" w:type="dxa"/>
              <w:bottom w:w="100" w:type="dxa"/>
              <w:right w:w="100" w:type="dxa"/>
            </w:tcMar>
            <w:vAlign w:val="center"/>
          </w:tcPr>
          <w:p w14:paraId="6C398CB8" w14:textId="77777777" w:rsidR="007B1F50" w:rsidRPr="00C63214" w:rsidRDefault="007B1F50" w:rsidP="007B1F50">
            <w:pPr>
              <w:jc w:val="center"/>
              <w:rPr>
                <w:rFonts w:eastAsia="EB Garamond"/>
                <w:bCs/>
                <w:color w:val="000000"/>
                <w:sz w:val="24"/>
                <w:szCs w:val="24"/>
                <w:lang w:val="en-US"/>
              </w:rPr>
            </w:pPr>
            <w:r w:rsidRPr="00C63214">
              <w:rPr>
                <w:rFonts w:eastAsia="EB Garamond"/>
                <w:bCs/>
                <w:color w:val="000000"/>
                <w:sz w:val="24"/>
                <w:szCs w:val="24"/>
                <w:lang w:val="en-US"/>
              </w:rPr>
              <w:t>Mixed Systems</w:t>
            </w:r>
          </w:p>
        </w:tc>
        <w:tc>
          <w:tcPr>
            <w:tcW w:w="2160" w:type="dxa"/>
            <w:shd w:val="clear" w:color="auto" w:fill="auto"/>
            <w:tcMar>
              <w:top w:w="100" w:type="dxa"/>
              <w:left w:w="100" w:type="dxa"/>
              <w:bottom w:w="100" w:type="dxa"/>
              <w:right w:w="100" w:type="dxa"/>
            </w:tcMar>
            <w:vAlign w:val="center"/>
          </w:tcPr>
          <w:p w14:paraId="76D86288" w14:textId="77777777" w:rsidR="007B1F50" w:rsidRPr="00C63214" w:rsidRDefault="007B1F50" w:rsidP="007B1F50">
            <w:pPr>
              <w:widowControl w:val="0"/>
              <w:pBdr>
                <w:top w:val="nil"/>
                <w:left w:val="nil"/>
                <w:bottom w:val="nil"/>
                <w:right w:val="nil"/>
                <w:between w:val="nil"/>
              </w:pBdr>
              <w:spacing w:line="240" w:lineRule="auto"/>
              <w:jc w:val="center"/>
              <w:rPr>
                <w:rFonts w:eastAsia="EB Garamond"/>
                <w:color w:val="000000"/>
                <w:sz w:val="24"/>
                <w:szCs w:val="24"/>
                <w:lang w:val="en-US"/>
              </w:rPr>
            </w:pPr>
            <w:r w:rsidRPr="00C63214">
              <w:rPr>
                <w:rFonts w:eastAsia="EB Garamond"/>
                <w:color w:val="000000"/>
                <w:sz w:val="24"/>
                <w:szCs w:val="24"/>
                <w:lang w:val="en-US"/>
              </w:rPr>
              <w:t>2</w:t>
            </w:r>
          </w:p>
        </w:tc>
        <w:tc>
          <w:tcPr>
            <w:tcW w:w="4080" w:type="dxa"/>
            <w:shd w:val="clear" w:color="auto" w:fill="auto"/>
            <w:tcMar>
              <w:top w:w="100" w:type="dxa"/>
              <w:left w:w="100" w:type="dxa"/>
              <w:bottom w:w="100" w:type="dxa"/>
              <w:right w:w="100" w:type="dxa"/>
            </w:tcMar>
            <w:vAlign w:val="center"/>
          </w:tcPr>
          <w:p w14:paraId="6648E6A0" w14:textId="77777777" w:rsidR="007B1F50" w:rsidRPr="00C63214" w:rsidRDefault="007B1F50" w:rsidP="007B1F50">
            <w:pPr>
              <w:jc w:val="center"/>
              <w:rPr>
                <w:rFonts w:eastAsia="EB Garamond"/>
                <w:color w:val="000000"/>
                <w:sz w:val="24"/>
                <w:szCs w:val="24"/>
                <w:lang w:val="en-US"/>
              </w:rPr>
            </w:pPr>
            <w:r w:rsidRPr="00C63214">
              <w:rPr>
                <w:rFonts w:eastAsia="EB Garamond"/>
                <w:color w:val="000000"/>
                <w:sz w:val="24"/>
                <w:szCs w:val="24"/>
                <w:lang w:val="en-US"/>
              </w:rPr>
              <w:t>Compared multiple approaches</w:t>
            </w:r>
          </w:p>
        </w:tc>
      </w:tr>
    </w:tbl>
    <w:p w14:paraId="7B8DCD2C" w14:textId="77777777" w:rsidR="00015094" w:rsidRPr="00C63214" w:rsidRDefault="00015094" w:rsidP="00015094">
      <w:pPr>
        <w:rPr>
          <w:color w:val="000000"/>
          <w:sz w:val="24"/>
          <w:szCs w:val="24"/>
          <w:lang w:val="en-US"/>
        </w:rPr>
      </w:pPr>
    </w:p>
    <w:p w14:paraId="0A0507C0" w14:textId="77777777" w:rsidR="00015094" w:rsidRPr="00C63214" w:rsidRDefault="00015094" w:rsidP="00015094">
      <w:pPr>
        <w:rPr>
          <w:color w:val="000000"/>
          <w:sz w:val="24"/>
          <w:szCs w:val="24"/>
          <w:lang w:val="en-US"/>
        </w:rPr>
      </w:pPr>
    </w:p>
    <w:p w14:paraId="7E07007A" w14:textId="77777777" w:rsidR="00015094" w:rsidRPr="00C63214" w:rsidRDefault="00015094" w:rsidP="00015094">
      <w:pPr>
        <w:rPr>
          <w:color w:val="000000"/>
          <w:sz w:val="24"/>
          <w:szCs w:val="24"/>
          <w:lang w:val="en-US"/>
        </w:rPr>
      </w:pPr>
    </w:p>
    <w:p w14:paraId="6DAA3D35" w14:textId="77777777" w:rsidR="00015094" w:rsidRPr="00C63214" w:rsidRDefault="00015094" w:rsidP="00015094">
      <w:pPr>
        <w:rPr>
          <w:color w:val="000000"/>
          <w:sz w:val="24"/>
          <w:szCs w:val="24"/>
          <w:lang w:val="en-US"/>
        </w:rPr>
      </w:pPr>
    </w:p>
    <w:p w14:paraId="36FB01E1" w14:textId="77777777" w:rsidR="00015094" w:rsidRPr="00C63214" w:rsidRDefault="00015094" w:rsidP="00015094">
      <w:pPr>
        <w:rPr>
          <w:color w:val="000000"/>
          <w:sz w:val="24"/>
          <w:szCs w:val="24"/>
          <w:lang w:val="en-US"/>
        </w:rPr>
      </w:pPr>
    </w:p>
    <w:p w14:paraId="5683F6AB" w14:textId="77777777" w:rsidR="00015094" w:rsidRPr="00C63214" w:rsidRDefault="00015094" w:rsidP="00015094">
      <w:pPr>
        <w:rPr>
          <w:color w:val="000000"/>
          <w:sz w:val="24"/>
          <w:szCs w:val="24"/>
          <w:lang w:val="en-US"/>
        </w:rPr>
      </w:pPr>
    </w:p>
    <w:p w14:paraId="1F9AE779" w14:textId="77777777" w:rsidR="00015094" w:rsidRPr="00C63214" w:rsidRDefault="00015094" w:rsidP="00015094">
      <w:pPr>
        <w:rPr>
          <w:color w:val="000000"/>
          <w:sz w:val="24"/>
          <w:szCs w:val="24"/>
          <w:lang w:val="en-US"/>
        </w:rPr>
      </w:pPr>
    </w:p>
    <w:p w14:paraId="14AECF46" w14:textId="77777777" w:rsidR="00015094" w:rsidRPr="00C63214" w:rsidRDefault="00015094" w:rsidP="00015094">
      <w:pPr>
        <w:rPr>
          <w:color w:val="000000"/>
          <w:sz w:val="24"/>
          <w:szCs w:val="24"/>
          <w:lang w:val="en-US"/>
        </w:rPr>
      </w:pPr>
    </w:p>
    <w:p w14:paraId="11525A65" w14:textId="77777777" w:rsidR="00015094" w:rsidRPr="00C63214" w:rsidRDefault="00015094" w:rsidP="00015094">
      <w:pPr>
        <w:rPr>
          <w:color w:val="000000"/>
          <w:sz w:val="24"/>
          <w:szCs w:val="24"/>
          <w:lang w:val="en-US"/>
        </w:rPr>
      </w:pPr>
    </w:p>
    <w:p w14:paraId="1F627D61" w14:textId="77777777" w:rsidR="00015094" w:rsidRPr="00C63214" w:rsidRDefault="00015094" w:rsidP="00015094">
      <w:pPr>
        <w:rPr>
          <w:color w:val="000000"/>
          <w:sz w:val="24"/>
          <w:szCs w:val="24"/>
          <w:lang w:val="en-US"/>
        </w:rPr>
      </w:pPr>
    </w:p>
    <w:p w14:paraId="2070BDEB" w14:textId="77777777" w:rsidR="00015094" w:rsidRPr="00C63214" w:rsidRDefault="00015094" w:rsidP="00015094">
      <w:pPr>
        <w:rPr>
          <w:color w:val="000000"/>
          <w:sz w:val="24"/>
          <w:szCs w:val="24"/>
          <w:lang w:val="en-US"/>
        </w:rPr>
      </w:pPr>
    </w:p>
    <w:p w14:paraId="2032A562" w14:textId="77777777" w:rsidR="00015094" w:rsidRPr="00C63214" w:rsidRDefault="00015094" w:rsidP="00015094">
      <w:pPr>
        <w:rPr>
          <w:color w:val="000000"/>
          <w:sz w:val="24"/>
          <w:szCs w:val="24"/>
          <w:lang w:val="en-US"/>
        </w:rPr>
      </w:pPr>
    </w:p>
    <w:p w14:paraId="51FF5F3E" w14:textId="77777777" w:rsidR="00015094" w:rsidRPr="00C63214" w:rsidRDefault="00015094" w:rsidP="00015094">
      <w:pPr>
        <w:rPr>
          <w:color w:val="000000"/>
          <w:sz w:val="24"/>
          <w:szCs w:val="24"/>
          <w:lang w:val="en-US"/>
        </w:rPr>
      </w:pPr>
    </w:p>
    <w:p w14:paraId="4CF5A1AB" w14:textId="77777777" w:rsidR="00015094" w:rsidRPr="00C63214" w:rsidRDefault="00015094" w:rsidP="00015094">
      <w:pPr>
        <w:rPr>
          <w:color w:val="000000"/>
          <w:sz w:val="24"/>
          <w:szCs w:val="24"/>
          <w:lang w:val="en-US"/>
        </w:rPr>
      </w:pPr>
    </w:p>
    <w:p w14:paraId="0647F64A" w14:textId="77777777" w:rsidR="00015094" w:rsidRPr="00C63214" w:rsidRDefault="00015094" w:rsidP="00015094">
      <w:pPr>
        <w:rPr>
          <w:color w:val="000000"/>
          <w:sz w:val="24"/>
          <w:szCs w:val="24"/>
          <w:lang w:val="en-US"/>
        </w:rPr>
      </w:pPr>
    </w:p>
    <w:p w14:paraId="11C02E35" w14:textId="77777777" w:rsidR="00015094" w:rsidRPr="00C63214" w:rsidRDefault="00015094" w:rsidP="00015094">
      <w:pPr>
        <w:rPr>
          <w:color w:val="000000"/>
          <w:sz w:val="24"/>
          <w:szCs w:val="24"/>
          <w:lang w:val="en-US"/>
        </w:rPr>
      </w:pPr>
    </w:p>
    <w:p w14:paraId="14B95902" w14:textId="77777777" w:rsidR="00015094" w:rsidRPr="00C63214" w:rsidRDefault="00015094" w:rsidP="00015094">
      <w:pPr>
        <w:rPr>
          <w:color w:val="000000"/>
          <w:sz w:val="24"/>
          <w:szCs w:val="24"/>
          <w:lang w:val="en-US"/>
        </w:rPr>
      </w:pPr>
    </w:p>
    <w:p w14:paraId="25986C95" w14:textId="77777777" w:rsidR="00015094" w:rsidRPr="00C63214" w:rsidRDefault="00015094" w:rsidP="00015094">
      <w:pPr>
        <w:rPr>
          <w:color w:val="000000"/>
          <w:sz w:val="24"/>
          <w:szCs w:val="24"/>
          <w:lang w:val="en-US"/>
        </w:rPr>
      </w:pPr>
    </w:p>
    <w:p w14:paraId="638A5536" w14:textId="77777777" w:rsidR="00015094" w:rsidRPr="00C63214" w:rsidRDefault="00015094" w:rsidP="00015094">
      <w:pPr>
        <w:rPr>
          <w:color w:val="000000"/>
          <w:sz w:val="24"/>
          <w:szCs w:val="24"/>
          <w:lang w:val="en-US"/>
        </w:rPr>
      </w:pPr>
    </w:p>
    <w:p w14:paraId="4CF3E497" w14:textId="77777777" w:rsidR="00015094" w:rsidRPr="00C63214" w:rsidRDefault="00015094" w:rsidP="00015094">
      <w:pPr>
        <w:rPr>
          <w:color w:val="000000"/>
          <w:sz w:val="24"/>
          <w:szCs w:val="24"/>
          <w:lang w:val="en-US"/>
        </w:rPr>
      </w:pPr>
    </w:p>
    <w:p w14:paraId="439544E1" w14:textId="77777777" w:rsidR="00015094" w:rsidRPr="00C63214" w:rsidRDefault="00015094" w:rsidP="00015094">
      <w:pPr>
        <w:rPr>
          <w:color w:val="000000"/>
          <w:sz w:val="24"/>
          <w:szCs w:val="24"/>
          <w:lang w:val="en-US"/>
        </w:rPr>
      </w:pPr>
    </w:p>
    <w:p w14:paraId="50804547" w14:textId="77777777" w:rsidR="00015094" w:rsidRPr="00C63214" w:rsidRDefault="00015094" w:rsidP="00015094">
      <w:pPr>
        <w:rPr>
          <w:color w:val="000000"/>
          <w:sz w:val="24"/>
          <w:szCs w:val="24"/>
          <w:lang w:val="en-US"/>
        </w:rPr>
      </w:pPr>
    </w:p>
    <w:p w14:paraId="63EE90F4" w14:textId="77777777" w:rsidR="00015094" w:rsidRPr="00C63214" w:rsidRDefault="00015094" w:rsidP="00015094">
      <w:pPr>
        <w:rPr>
          <w:color w:val="000000"/>
          <w:sz w:val="24"/>
          <w:szCs w:val="24"/>
          <w:lang w:val="en-US"/>
        </w:rPr>
      </w:pPr>
    </w:p>
    <w:p w14:paraId="3771FAF2" w14:textId="77777777" w:rsidR="00633290" w:rsidRPr="00C63214" w:rsidRDefault="00633290" w:rsidP="00633290">
      <w:pPr>
        <w:jc w:val="center"/>
        <w:rPr>
          <w:color w:val="000000"/>
          <w:sz w:val="28"/>
          <w:szCs w:val="28"/>
          <w:lang w:val="en-US"/>
        </w:rPr>
      </w:pPr>
    </w:p>
    <w:p w14:paraId="78170B09" w14:textId="77777777" w:rsidR="00633290" w:rsidRPr="00C63214" w:rsidRDefault="00633290" w:rsidP="00633290">
      <w:pPr>
        <w:jc w:val="center"/>
        <w:rPr>
          <w:color w:val="000000"/>
          <w:sz w:val="28"/>
          <w:szCs w:val="28"/>
          <w:lang w:val="en-US"/>
        </w:rPr>
      </w:pPr>
    </w:p>
    <w:p w14:paraId="1194195C" w14:textId="77777777" w:rsidR="00633290" w:rsidRPr="00C63214" w:rsidRDefault="00633290" w:rsidP="00633290">
      <w:pPr>
        <w:jc w:val="center"/>
        <w:rPr>
          <w:color w:val="000000"/>
          <w:sz w:val="28"/>
          <w:szCs w:val="28"/>
          <w:lang w:val="en-US"/>
        </w:rPr>
      </w:pPr>
    </w:p>
    <w:p w14:paraId="523BCA83" w14:textId="270F509B" w:rsidR="00015094" w:rsidRPr="00C63214" w:rsidRDefault="00015094" w:rsidP="00633290">
      <w:pPr>
        <w:jc w:val="center"/>
        <w:rPr>
          <w:color w:val="000000"/>
          <w:sz w:val="28"/>
          <w:szCs w:val="28"/>
          <w:lang w:val="en-US"/>
        </w:rPr>
      </w:pPr>
      <w:r w:rsidRPr="00C63214">
        <w:rPr>
          <w:color w:val="000000"/>
          <w:sz w:val="28"/>
          <w:szCs w:val="28"/>
          <w:lang w:val="en-US"/>
        </w:rPr>
        <w:t>Supplementary Table 3: Benefits and Drawbacks of Virtual Reality Visual Field Testing</w:t>
      </w:r>
    </w:p>
    <w:p w14:paraId="5AD4F6AE" w14:textId="77777777" w:rsidR="00015094" w:rsidRPr="00C63214" w:rsidRDefault="00015094" w:rsidP="00015094">
      <w:pPr>
        <w:rPr>
          <w:color w:val="000000"/>
          <w:sz w:val="28"/>
          <w:szCs w:val="28"/>
          <w:lang w:val="en-US"/>
        </w:rPr>
      </w:pPr>
    </w:p>
    <w:tbl>
      <w:tblPr>
        <w:tblW w:w="9360" w:type="dxa"/>
        <w:tblInd w:w="2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15094" w:rsidRPr="00C63214" w14:paraId="5BAFDADA" w14:textId="77777777" w:rsidTr="00633290">
        <w:tc>
          <w:tcPr>
            <w:tcW w:w="3120" w:type="dxa"/>
            <w:shd w:val="clear" w:color="auto" w:fill="auto"/>
            <w:tcMar>
              <w:top w:w="100" w:type="dxa"/>
              <w:left w:w="100" w:type="dxa"/>
              <w:bottom w:w="100" w:type="dxa"/>
              <w:right w:w="100" w:type="dxa"/>
            </w:tcMar>
            <w:vAlign w:val="center"/>
          </w:tcPr>
          <w:p w14:paraId="37084B0D" w14:textId="77777777" w:rsidR="00015094" w:rsidRPr="00C63214" w:rsidRDefault="00015094" w:rsidP="00633290">
            <w:pPr>
              <w:widowControl w:val="0"/>
              <w:pBdr>
                <w:top w:val="nil"/>
                <w:left w:val="nil"/>
                <w:bottom w:val="nil"/>
                <w:right w:val="nil"/>
                <w:between w:val="nil"/>
              </w:pBdr>
              <w:spacing w:line="240" w:lineRule="auto"/>
              <w:jc w:val="center"/>
              <w:rPr>
                <w:rFonts w:eastAsia="EB Garamond"/>
                <w:b/>
                <w:color w:val="000000"/>
                <w:sz w:val="24"/>
                <w:szCs w:val="24"/>
                <w:lang w:val="en-US"/>
              </w:rPr>
            </w:pPr>
            <w:r w:rsidRPr="00C63214">
              <w:rPr>
                <w:rFonts w:eastAsia="EB Garamond"/>
                <w:b/>
                <w:color w:val="000000"/>
                <w:sz w:val="24"/>
                <w:szCs w:val="24"/>
                <w:lang w:val="en-US"/>
              </w:rPr>
              <w:t>Category</w:t>
            </w:r>
          </w:p>
        </w:tc>
        <w:tc>
          <w:tcPr>
            <w:tcW w:w="3120" w:type="dxa"/>
            <w:shd w:val="clear" w:color="auto" w:fill="auto"/>
            <w:tcMar>
              <w:top w:w="100" w:type="dxa"/>
              <w:left w:w="100" w:type="dxa"/>
              <w:bottom w:w="100" w:type="dxa"/>
              <w:right w:w="100" w:type="dxa"/>
            </w:tcMar>
            <w:vAlign w:val="center"/>
          </w:tcPr>
          <w:p w14:paraId="54340365" w14:textId="77777777" w:rsidR="00015094" w:rsidRPr="00C63214" w:rsidRDefault="00015094" w:rsidP="00633290">
            <w:pPr>
              <w:widowControl w:val="0"/>
              <w:pBdr>
                <w:top w:val="nil"/>
                <w:left w:val="nil"/>
                <w:bottom w:val="nil"/>
                <w:right w:val="nil"/>
                <w:between w:val="nil"/>
              </w:pBdr>
              <w:spacing w:line="240" w:lineRule="auto"/>
              <w:jc w:val="center"/>
              <w:rPr>
                <w:rFonts w:eastAsia="EB Garamond"/>
                <w:b/>
                <w:color w:val="000000"/>
                <w:sz w:val="24"/>
                <w:szCs w:val="24"/>
                <w:lang w:val="en-US"/>
              </w:rPr>
            </w:pPr>
            <w:r w:rsidRPr="00C63214">
              <w:rPr>
                <w:rFonts w:eastAsia="EB Garamond"/>
                <w:b/>
                <w:color w:val="000000"/>
                <w:sz w:val="24"/>
                <w:szCs w:val="24"/>
                <w:lang w:val="en-US"/>
              </w:rPr>
              <w:t>Benefits</w:t>
            </w:r>
          </w:p>
        </w:tc>
        <w:tc>
          <w:tcPr>
            <w:tcW w:w="3120" w:type="dxa"/>
            <w:shd w:val="clear" w:color="auto" w:fill="auto"/>
            <w:tcMar>
              <w:top w:w="100" w:type="dxa"/>
              <w:left w:w="100" w:type="dxa"/>
              <w:bottom w:w="100" w:type="dxa"/>
              <w:right w:w="100" w:type="dxa"/>
            </w:tcMar>
            <w:vAlign w:val="center"/>
          </w:tcPr>
          <w:p w14:paraId="6A731314" w14:textId="77777777" w:rsidR="00015094" w:rsidRPr="00C63214" w:rsidRDefault="00015094" w:rsidP="00633290">
            <w:pPr>
              <w:widowControl w:val="0"/>
              <w:pBdr>
                <w:top w:val="nil"/>
                <w:left w:val="nil"/>
                <w:bottom w:val="nil"/>
                <w:right w:val="nil"/>
                <w:between w:val="nil"/>
              </w:pBdr>
              <w:spacing w:line="240" w:lineRule="auto"/>
              <w:jc w:val="center"/>
              <w:rPr>
                <w:rFonts w:eastAsia="EB Garamond"/>
                <w:b/>
                <w:color w:val="000000"/>
                <w:sz w:val="24"/>
                <w:szCs w:val="24"/>
                <w:lang w:val="en-US"/>
              </w:rPr>
            </w:pPr>
            <w:r w:rsidRPr="00C63214">
              <w:rPr>
                <w:rFonts w:eastAsia="EB Garamond"/>
                <w:b/>
                <w:color w:val="000000"/>
                <w:sz w:val="24"/>
                <w:szCs w:val="24"/>
                <w:lang w:val="en-US"/>
              </w:rPr>
              <w:t>Drawback</w:t>
            </w:r>
          </w:p>
        </w:tc>
      </w:tr>
      <w:tr w:rsidR="00015094" w:rsidRPr="00C63214" w14:paraId="0847587A" w14:textId="77777777" w:rsidTr="00633290">
        <w:tc>
          <w:tcPr>
            <w:tcW w:w="3120" w:type="dxa"/>
            <w:shd w:val="clear" w:color="auto" w:fill="auto"/>
            <w:tcMar>
              <w:top w:w="100" w:type="dxa"/>
              <w:left w:w="100" w:type="dxa"/>
              <w:bottom w:w="100" w:type="dxa"/>
              <w:right w:w="100" w:type="dxa"/>
            </w:tcMar>
            <w:vAlign w:val="center"/>
          </w:tcPr>
          <w:p w14:paraId="046BCF51"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Clinical Performance</w:t>
            </w:r>
          </w:p>
        </w:tc>
        <w:tc>
          <w:tcPr>
            <w:tcW w:w="3120" w:type="dxa"/>
            <w:shd w:val="clear" w:color="auto" w:fill="auto"/>
            <w:tcMar>
              <w:top w:w="100" w:type="dxa"/>
              <w:left w:w="100" w:type="dxa"/>
              <w:bottom w:w="100" w:type="dxa"/>
              <w:right w:w="100" w:type="dxa"/>
            </w:tcMar>
            <w:vAlign w:val="center"/>
          </w:tcPr>
          <w:p w14:paraId="36FCFC0A"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Good agreement with SAP; Reproducible results; Potential for shorter testing time</w:t>
            </w:r>
          </w:p>
        </w:tc>
        <w:tc>
          <w:tcPr>
            <w:tcW w:w="3120" w:type="dxa"/>
            <w:shd w:val="clear" w:color="auto" w:fill="auto"/>
            <w:tcMar>
              <w:top w:w="100" w:type="dxa"/>
              <w:left w:w="100" w:type="dxa"/>
              <w:bottom w:w="100" w:type="dxa"/>
              <w:right w:w="100" w:type="dxa"/>
            </w:tcMar>
            <w:vAlign w:val="center"/>
          </w:tcPr>
          <w:p w14:paraId="225DEC84"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Variable precision in advanced cases; Limited luminance range</w:t>
            </w:r>
          </w:p>
        </w:tc>
      </w:tr>
      <w:tr w:rsidR="00015094" w:rsidRPr="00C63214" w14:paraId="26EC4F95" w14:textId="77777777" w:rsidTr="00633290">
        <w:tc>
          <w:tcPr>
            <w:tcW w:w="3120" w:type="dxa"/>
            <w:shd w:val="clear" w:color="auto" w:fill="auto"/>
            <w:tcMar>
              <w:top w:w="100" w:type="dxa"/>
              <w:left w:w="100" w:type="dxa"/>
              <w:bottom w:w="100" w:type="dxa"/>
              <w:right w:w="100" w:type="dxa"/>
            </w:tcMar>
            <w:vAlign w:val="center"/>
          </w:tcPr>
          <w:p w14:paraId="3419EF9A"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Accessibility</w:t>
            </w:r>
          </w:p>
        </w:tc>
        <w:tc>
          <w:tcPr>
            <w:tcW w:w="3120" w:type="dxa"/>
            <w:shd w:val="clear" w:color="auto" w:fill="auto"/>
            <w:tcMar>
              <w:top w:w="100" w:type="dxa"/>
              <w:left w:w="100" w:type="dxa"/>
              <w:bottom w:w="100" w:type="dxa"/>
              <w:right w:w="100" w:type="dxa"/>
            </w:tcMar>
            <w:vAlign w:val="center"/>
          </w:tcPr>
          <w:p w14:paraId="6209B206" w14:textId="51AAA416"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Portable; Remote testing capability; Lower space requirements</w:t>
            </w:r>
          </w:p>
        </w:tc>
        <w:tc>
          <w:tcPr>
            <w:tcW w:w="3120" w:type="dxa"/>
            <w:shd w:val="clear" w:color="auto" w:fill="auto"/>
            <w:tcMar>
              <w:top w:w="100" w:type="dxa"/>
              <w:left w:w="100" w:type="dxa"/>
              <w:bottom w:w="100" w:type="dxa"/>
              <w:right w:w="100" w:type="dxa"/>
            </w:tcMar>
            <w:vAlign w:val="center"/>
          </w:tcPr>
          <w:p w14:paraId="28FF6A2C"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Technology access barriers; Need for standardized protocols</w:t>
            </w:r>
          </w:p>
          <w:p w14:paraId="6998D33A" w14:textId="77777777" w:rsidR="00015094" w:rsidRPr="00C63214" w:rsidRDefault="00015094" w:rsidP="00633290">
            <w:pPr>
              <w:widowControl w:val="0"/>
              <w:pBdr>
                <w:top w:val="nil"/>
                <w:left w:val="nil"/>
                <w:bottom w:val="nil"/>
                <w:right w:val="nil"/>
                <w:between w:val="nil"/>
              </w:pBdr>
              <w:spacing w:line="240" w:lineRule="auto"/>
              <w:jc w:val="center"/>
              <w:rPr>
                <w:rFonts w:eastAsia="EB Garamond"/>
                <w:color w:val="000000"/>
                <w:sz w:val="24"/>
                <w:szCs w:val="24"/>
                <w:lang w:val="en-US"/>
              </w:rPr>
            </w:pPr>
          </w:p>
        </w:tc>
      </w:tr>
      <w:tr w:rsidR="00015094" w:rsidRPr="00C63214" w14:paraId="39AAF30B" w14:textId="77777777" w:rsidTr="00633290">
        <w:tc>
          <w:tcPr>
            <w:tcW w:w="3120" w:type="dxa"/>
            <w:shd w:val="clear" w:color="auto" w:fill="auto"/>
            <w:tcMar>
              <w:top w:w="100" w:type="dxa"/>
              <w:left w:w="100" w:type="dxa"/>
              <w:bottom w:w="100" w:type="dxa"/>
              <w:right w:w="100" w:type="dxa"/>
            </w:tcMar>
            <w:vAlign w:val="center"/>
          </w:tcPr>
          <w:p w14:paraId="52B5D61A"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Patient Factors</w:t>
            </w:r>
          </w:p>
        </w:tc>
        <w:tc>
          <w:tcPr>
            <w:tcW w:w="3120" w:type="dxa"/>
            <w:shd w:val="clear" w:color="auto" w:fill="auto"/>
            <w:tcMar>
              <w:top w:w="100" w:type="dxa"/>
              <w:left w:w="100" w:type="dxa"/>
              <w:bottom w:w="100" w:type="dxa"/>
              <w:right w:w="100" w:type="dxa"/>
            </w:tcMar>
            <w:vAlign w:val="center"/>
          </w:tcPr>
          <w:p w14:paraId="24E38E85"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Improved comfort; Intuitive interface; Reduced infection risk</w:t>
            </w:r>
          </w:p>
        </w:tc>
        <w:tc>
          <w:tcPr>
            <w:tcW w:w="3120" w:type="dxa"/>
            <w:shd w:val="clear" w:color="auto" w:fill="auto"/>
            <w:tcMar>
              <w:top w:w="100" w:type="dxa"/>
              <w:left w:w="100" w:type="dxa"/>
              <w:bottom w:w="100" w:type="dxa"/>
              <w:right w:w="100" w:type="dxa"/>
            </w:tcMar>
            <w:vAlign w:val="center"/>
          </w:tcPr>
          <w:p w14:paraId="48DF4D72" w14:textId="1A65B26A"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Technology adaptation challenges; Fatigue from head movement</w:t>
            </w:r>
          </w:p>
        </w:tc>
      </w:tr>
      <w:tr w:rsidR="00015094" w:rsidRPr="00C63214" w14:paraId="736A17C4" w14:textId="77777777" w:rsidTr="00633290">
        <w:tc>
          <w:tcPr>
            <w:tcW w:w="3120" w:type="dxa"/>
            <w:shd w:val="clear" w:color="auto" w:fill="auto"/>
            <w:tcMar>
              <w:top w:w="100" w:type="dxa"/>
              <w:left w:w="100" w:type="dxa"/>
              <w:bottom w:w="100" w:type="dxa"/>
              <w:right w:w="100" w:type="dxa"/>
            </w:tcMar>
            <w:vAlign w:val="center"/>
          </w:tcPr>
          <w:p w14:paraId="6E3AC4A9" w14:textId="4A7A5EDB"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Implementation</w:t>
            </w:r>
          </w:p>
        </w:tc>
        <w:tc>
          <w:tcPr>
            <w:tcW w:w="3120" w:type="dxa"/>
            <w:shd w:val="clear" w:color="auto" w:fill="auto"/>
            <w:tcMar>
              <w:top w:w="100" w:type="dxa"/>
              <w:left w:w="100" w:type="dxa"/>
              <w:bottom w:w="100" w:type="dxa"/>
              <w:right w:w="100" w:type="dxa"/>
            </w:tcMar>
            <w:vAlign w:val="center"/>
          </w:tcPr>
          <w:p w14:paraId="5F97752A" w14:textId="5395C2F0"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Cost-effective; Resource optimization; Cloud data storage</w:t>
            </w:r>
          </w:p>
        </w:tc>
        <w:tc>
          <w:tcPr>
            <w:tcW w:w="3120" w:type="dxa"/>
            <w:shd w:val="clear" w:color="auto" w:fill="auto"/>
            <w:tcMar>
              <w:top w:w="100" w:type="dxa"/>
              <w:left w:w="100" w:type="dxa"/>
              <w:bottom w:w="100" w:type="dxa"/>
              <w:right w:w="100" w:type="dxa"/>
            </w:tcMar>
            <w:vAlign w:val="center"/>
          </w:tcPr>
          <w:p w14:paraId="5076AA24" w14:textId="77777777" w:rsidR="00015094" w:rsidRPr="00C63214" w:rsidRDefault="00015094" w:rsidP="00633290">
            <w:pPr>
              <w:jc w:val="center"/>
              <w:rPr>
                <w:rFonts w:eastAsia="EB Garamond"/>
                <w:color w:val="000000"/>
                <w:sz w:val="24"/>
                <w:szCs w:val="24"/>
                <w:lang w:val="en-US"/>
              </w:rPr>
            </w:pPr>
            <w:r w:rsidRPr="00C63214">
              <w:rPr>
                <w:rFonts w:eastAsia="EB Garamond"/>
                <w:color w:val="000000"/>
                <w:sz w:val="24"/>
                <w:szCs w:val="24"/>
                <w:lang w:val="en-US"/>
              </w:rPr>
              <w:t>Staff training requirements; Variable testing conditions</w:t>
            </w:r>
          </w:p>
        </w:tc>
      </w:tr>
    </w:tbl>
    <w:p w14:paraId="481EC199" w14:textId="77777777" w:rsidR="00015094" w:rsidRPr="00C63214" w:rsidRDefault="00015094" w:rsidP="00015094">
      <w:pPr>
        <w:rPr>
          <w:color w:val="000000"/>
          <w:sz w:val="28"/>
          <w:szCs w:val="28"/>
          <w:lang w:val="en-US"/>
        </w:rPr>
      </w:pPr>
    </w:p>
    <w:p w14:paraId="116BCAE6" w14:textId="77777777" w:rsidR="0075484A" w:rsidRPr="00C63214" w:rsidRDefault="0075484A" w:rsidP="0075484A">
      <w:pPr>
        <w:jc w:val="center"/>
        <w:rPr>
          <w:color w:val="000000"/>
          <w:sz w:val="24"/>
          <w:szCs w:val="24"/>
          <w:lang w:val="en-US"/>
        </w:rPr>
      </w:pPr>
    </w:p>
    <w:p w14:paraId="6F539951" w14:textId="77777777" w:rsidR="0075484A" w:rsidRPr="00C63214" w:rsidRDefault="0075484A" w:rsidP="0075484A">
      <w:pPr>
        <w:jc w:val="center"/>
        <w:rPr>
          <w:color w:val="000000"/>
          <w:sz w:val="24"/>
          <w:szCs w:val="24"/>
          <w:lang w:val="en-US"/>
        </w:rPr>
      </w:pPr>
    </w:p>
    <w:p w14:paraId="752DA85E" w14:textId="77777777" w:rsidR="0075484A" w:rsidRPr="00C63214" w:rsidRDefault="0075484A" w:rsidP="0075484A">
      <w:pPr>
        <w:jc w:val="center"/>
        <w:rPr>
          <w:color w:val="000000"/>
          <w:sz w:val="24"/>
          <w:szCs w:val="24"/>
          <w:lang w:val="en-US"/>
        </w:rPr>
      </w:pPr>
    </w:p>
    <w:p w14:paraId="190DF4D5" w14:textId="77777777" w:rsidR="00B9396B" w:rsidRPr="00C63214" w:rsidRDefault="00B9396B">
      <w:pPr>
        <w:rPr>
          <w:color w:val="000000"/>
          <w:lang w:val="en-US"/>
        </w:rPr>
      </w:pPr>
    </w:p>
    <w:sectPr w:rsidR="00B9396B" w:rsidRPr="00C63214" w:rsidSect="0075484A">
      <w:footerReference w:type="even" r:id="rId6"/>
      <w:footerReference w:type="default" r:id="rId7"/>
      <w:footerReference w:type="firs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FC3E" w14:textId="77777777" w:rsidR="0082727A" w:rsidRDefault="0082727A" w:rsidP="0075484A">
      <w:pPr>
        <w:spacing w:line="240" w:lineRule="auto"/>
      </w:pPr>
      <w:r>
        <w:separator/>
      </w:r>
    </w:p>
  </w:endnote>
  <w:endnote w:type="continuationSeparator" w:id="0">
    <w:p w14:paraId="63CBCE7B" w14:textId="77777777" w:rsidR="0082727A" w:rsidRDefault="0082727A" w:rsidP="00754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8DF2" w14:textId="5BA082AE" w:rsidR="0075484A" w:rsidRDefault="0075484A">
    <w:pPr>
      <w:pStyle w:val="Footer"/>
    </w:pPr>
    <w:r>
      <w:rPr>
        <w:noProof/>
        <w14:ligatures w14:val="standardContextual"/>
      </w:rPr>
      <mc:AlternateContent>
        <mc:Choice Requires="wps">
          <w:drawing>
            <wp:anchor distT="0" distB="0" distL="0" distR="0" simplePos="0" relativeHeight="251659264" behindDoc="0" locked="0" layoutInCell="1" allowOverlap="1" wp14:anchorId="37C22481" wp14:editId="0927451F">
              <wp:simplePos x="635" y="635"/>
              <wp:positionH relativeFrom="page">
                <wp:align>left</wp:align>
              </wp:positionH>
              <wp:positionV relativeFrom="page">
                <wp:align>bottom</wp:align>
              </wp:positionV>
              <wp:extent cx="2085975" cy="344805"/>
              <wp:effectExtent l="0" t="0" r="9525" b="0"/>
              <wp:wrapNone/>
              <wp:docPr id="159807205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70E7FF5" w14:textId="024FD0C5" w:rsidR="0075484A" w:rsidRPr="0075484A" w:rsidRDefault="0075484A" w:rsidP="0075484A">
                          <w:pPr>
                            <w:rPr>
                              <w:rFonts w:ascii="Rockwell" w:eastAsia="Rockwell" w:hAnsi="Rockwell" w:cs="Rockwell"/>
                              <w:noProof/>
                              <w:color w:val="0078D7"/>
                              <w:sz w:val="18"/>
                              <w:szCs w:val="18"/>
                            </w:rPr>
                          </w:pPr>
                          <w:r w:rsidRPr="007548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2248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textbox style="mso-fit-shape-to-text:t" inset="20pt,0,0,15pt">
                <w:txbxContent>
                  <w:p w14:paraId="770E7FF5" w14:textId="024FD0C5" w:rsidR="0075484A" w:rsidRPr="0075484A" w:rsidRDefault="0075484A" w:rsidP="0075484A">
                    <w:pPr>
                      <w:rPr>
                        <w:rFonts w:ascii="Rockwell" w:eastAsia="Rockwell" w:hAnsi="Rockwell" w:cs="Rockwell"/>
                        <w:noProof/>
                        <w:color w:val="0078D7"/>
                        <w:sz w:val="18"/>
                        <w:szCs w:val="18"/>
                      </w:rPr>
                    </w:pPr>
                    <w:r w:rsidRPr="007548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DCB1" w14:textId="29C5866F" w:rsidR="0075484A" w:rsidRDefault="0075484A">
    <w:pPr>
      <w:pStyle w:val="Footer"/>
    </w:pPr>
    <w:r>
      <w:rPr>
        <w:noProof/>
        <w14:ligatures w14:val="standardContextual"/>
      </w:rPr>
      <mc:AlternateContent>
        <mc:Choice Requires="wps">
          <w:drawing>
            <wp:anchor distT="0" distB="0" distL="0" distR="0" simplePos="0" relativeHeight="251660288" behindDoc="0" locked="0" layoutInCell="1" allowOverlap="1" wp14:anchorId="19C309DF" wp14:editId="44CB3AD2">
              <wp:simplePos x="914400" y="6949440"/>
              <wp:positionH relativeFrom="page">
                <wp:align>left</wp:align>
              </wp:positionH>
              <wp:positionV relativeFrom="page">
                <wp:align>bottom</wp:align>
              </wp:positionV>
              <wp:extent cx="2085975" cy="344805"/>
              <wp:effectExtent l="0" t="0" r="9525" b="0"/>
              <wp:wrapNone/>
              <wp:docPr id="11301300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B10D706" w14:textId="501608F3" w:rsidR="0075484A" w:rsidRPr="0075484A" w:rsidRDefault="0075484A" w:rsidP="0075484A">
                          <w:pPr>
                            <w:rPr>
                              <w:rFonts w:ascii="Rockwell" w:eastAsia="Rockwell" w:hAnsi="Rockwell" w:cs="Rockwell"/>
                              <w:noProof/>
                              <w:color w:val="0078D7"/>
                              <w:sz w:val="18"/>
                              <w:szCs w:val="18"/>
                            </w:rPr>
                          </w:pPr>
                          <w:r w:rsidRPr="007548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C309D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textbox style="mso-fit-shape-to-text:t" inset="20pt,0,0,15pt">
                <w:txbxContent>
                  <w:p w14:paraId="7B10D706" w14:textId="501608F3" w:rsidR="0075484A" w:rsidRPr="0075484A" w:rsidRDefault="0075484A" w:rsidP="0075484A">
                    <w:pPr>
                      <w:rPr>
                        <w:rFonts w:ascii="Rockwell" w:eastAsia="Rockwell" w:hAnsi="Rockwell" w:cs="Rockwell"/>
                        <w:noProof/>
                        <w:color w:val="0078D7"/>
                        <w:sz w:val="18"/>
                        <w:szCs w:val="18"/>
                      </w:rPr>
                    </w:pPr>
                    <w:r w:rsidRPr="007548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E1DC" w14:textId="3D924F93" w:rsidR="0075484A" w:rsidRDefault="0075484A">
    <w:pPr>
      <w:pStyle w:val="Footer"/>
    </w:pPr>
    <w:r>
      <w:rPr>
        <w:noProof/>
        <w14:ligatures w14:val="standardContextual"/>
      </w:rPr>
      <mc:AlternateContent>
        <mc:Choice Requires="wps">
          <w:drawing>
            <wp:anchor distT="0" distB="0" distL="0" distR="0" simplePos="0" relativeHeight="251658240" behindDoc="0" locked="0" layoutInCell="1" allowOverlap="1" wp14:anchorId="31037D8A" wp14:editId="63FAF340">
              <wp:simplePos x="635" y="635"/>
              <wp:positionH relativeFrom="page">
                <wp:align>left</wp:align>
              </wp:positionH>
              <wp:positionV relativeFrom="page">
                <wp:align>bottom</wp:align>
              </wp:positionV>
              <wp:extent cx="2085975" cy="344805"/>
              <wp:effectExtent l="0" t="0" r="9525" b="0"/>
              <wp:wrapNone/>
              <wp:docPr id="85471914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46D6A386" w14:textId="334C1E40" w:rsidR="0075484A" w:rsidRPr="0075484A" w:rsidRDefault="0075484A" w:rsidP="0075484A">
                          <w:pPr>
                            <w:rPr>
                              <w:rFonts w:ascii="Rockwell" w:eastAsia="Rockwell" w:hAnsi="Rockwell" w:cs="Rockwell"/>
                              <w:noProof/>
                              <w:color w:val="0078D7"/>
                              <w:sz w:val="18"/>
                              <w:szCs w:val="18"/>
                            </w:rPr>
                          </w:pPr>
                          <w:r w:rsidRPr="0075484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037D8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textbox style="mso-fit-shape-to-text:t" inset="20pt,0,0,15pt">
                <w:txbxContent>
                  <w:p w14:paraId="46D6A386" w14:textId="334C1E40" w:rsidR="0075484A" w:rsidRPr="0075484A" w:rsidRDefault="0075484A" w:rsidP="0075484A">
                    <w:pPr>
                      <w:rPr>
                        <w:rFonts w:ascii="Rockwell" w:eastAsia="Rockwell" w:hAnsi="Rockwell" w:cs="Rockwell"/>
                        <w:noProof/>
                        <w:color w:val="0078D7"/>
                        <w:sz w:val="18"/>
                        <w:szCs w:val="18"/>
                      </w:rPr>
                    </w:pPr>
                    <w:r w:rsidRPr="0075484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E6CD" w14:textId="77777777" w:rsidR="0082727A" w:rsidRDefault="0082727A" w:rsidP="0075484A">
      <w:pPr>
        <w:spacing w:line="240" w:lineRule="auto"/>
      </w:pPr>
      <w:r>
        <w:separator/>
      </w:r>
    </w:p>
  </w:footnote>
  <w:footnote w:type="continuationSeparator" w:id="0">
    <w:p w14:paraId="3A89A7A4" w14:textId="77777777" w:rsidR="0082727A" w:rsidRDefault="0082727A" w:rsidP="007548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4A"/>
    <w:rsid w:val="00015094"/>
    <w:rsid w:val="002E75A8"/>
    <w:rsid w:val="0061075C"/>
    <w:rsid w:val="00633290"/>
    <w:rsid w:val="00661AD7"/>
    <w:rsid w:val="007328EE"/>
    <w:rsid w:val="0075484A"/>
    <w:rsid w:val="00764A65"/>
    <w:rsid w:val="007B1F50"/>
    <w:rsid w:val="0082727A"/>
    <w:rsid w:val="009B7FA3"/>
    <w:rsid w:val="00A32A51"/>
    <w:rsid w:val="00B71123"/>
    <w:rsid w:val="00B9396B"/>
    <w:rsid w:val="00C25DB1"/>
    <w:rsid w:val="00C63214"/>
    <w:rsid w:val="00C64576"/>
    <w:rsid w:val="00FE2F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911E"/>
  <w15:chartTrackingRefBased/>
  <w15:docId w15:val="{1BA61BA0-5353-43E8-BF89-2105C48F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4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548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7548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7548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7548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75484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75484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9"/>
    <w:semiHidden/>
    <w:unhideWhenUsed/>
    <w:qFormat/>
    <w:rsid w:val="0075484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75484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9"/>
    <w:semiHidden/>
    <w:unhideWhenUsed/>
    <w:qFormat/>
    <w:rsid w:val="0075484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84A"/>
    <w:rPr>
      <w:rFonts w:eastAsiaTheme="majorEastAsia" w:cstheme="majorBidi"/>
      <w:color w:val="272727" w:themeColor="text1" w:themeTint="D8"/>
    </w:rPr>
  </w:style>
  <w:style w:type="paragraph" w:styleId="Title">
    <w:name w:val="Title"/>
    <w:basedOn w:val="Normal"/>
    <w:next w:val="Normal"/>
    <w:link w:val="TitleChar"/>
    <w:uiPriority w:val="10"/>
    <w:qFormat/>
    <w:rsid w:val="0075484A"/>
    <w:pPr>
      <w:spacing w:after="80" w:line="240" w:lineRule="auto"/>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754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8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754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4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75484A"/>
    <w:rPr>
      <w:i/>
      <w:iCs/>
      <w:color w:val="404040" w:themeColor="text1" w:themeTint="BF"/>
    </w:rPr>
  </w:style>
  <w:style w:type="paragraph" w:styleId="ListParagraph">
    <w:name w:val="List Paragraph"/>
    <w:basedOn w:val="Normal"/>
    <w:uiPriority w:val="34"/>
    <w:qFormat/>
    <w:rsid w:val="0075484A"/>
    <w:pPr>
      <w:spacing w:after="160" w:line="278" w:lineRule="auto"/>
      <w:ind w:left="720"/>
      <w:contextualSpacing/>
    </w:pPr>
    <w:rPr>
      <w:rFonts w:asciiTheme="minorHAnsi" w:eastAsiaTheme="minorHAnsi" w:hAnsiTheme="minorHAnsi" w:cstheme="minorBidi"/>
      <w:kern w:val="2"/>
      <w:sz w:val="24"/>
      <w:szCs w:val="24"/>
      <w:lang w:val="en-NZ"/>
      <w14:ligatures w14:val="standardContextual"/>
    </w:rPr>
  </w:style>
  <w:style w:type="character" w:styleId="IntenseEmphasis">
    <w:name w:val="Intense Emphasis"/>
    <w:basedOn w:val="DefaultParagraphFont"/>
    <w:uiPriority w:val="21"/>
    <w:qFormat/>
    <w:rsid w:val="0075484A"/>
    <w:rPr>
      <w:i/>
      <w:iCs/>
      <w:color w:val="0F4761" w:themeColor="accent1" w:themeShade="BF"/>
    </w:rPr>
  </w:style>
  <w:style w:type="paragraph" w:styleId="IntenseQuote">
    <w:name w:val="Intense Quote"/>
    <w:basedOn w:val="Normal"/>
    <w:next w:val="Normal"/>
    <w:link w:val="IntenseQuoteChar"/>
    <w:uiPriority w:val="30"/>
    <w:qFormat/>
    <w:rsid w:val="007548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75484A"/>
    <w:rPr>
      <w:i/>
      <w:iCs/>
      <w:color w:val="0F4761" w:themeColor="accent1" w:themeShade="BF"/>
    </w:rPr>
  </w:style>
  <w:style w:type="character" w:styleId="IntenseReference">
    <w:name w:val="Intense Reference"/>
    <w:basedOn w:val="DefaultParagraphFont"/>
    <w:uiPriority w:val="32"/>
    <w:qFormat/>
    <w:rsid w:val="0075484A"/>
    <w:rPr>
      <w:b/>
      <w:bCs/>
      <w:smallCaps/>
      <w:color w:val="0F4761" w:themeColor="accent1" w:themeShade="BF"/>
      <w:spacing w:val="5"/>
    </w:rPr>
  </w:style>
  <w:style w:type="paragraph" w:styleId="Footer">
    <w:name w:val="footer"/>
    <w:basedOn w:val="Normal"/>
    <w:link w:val="FooterChar"/>
    <w:uiPriority w:val="99"/>
    <w:unhideWhenUsed/>
    <w:rsid w:val="0075484A"/>
    <w:pPr>
      <w:tabs>
        <w:tab w:val="center" w:pos="4513"/>
        <w:tab w:val="right" w:pos="9026"/>
      </w:tabs>
      <w:spacing w:line="240" w:lineRule="auto"/>
    </w:pPr>
  </w:style>
  <w:style w:type="character" w:customStyle="1" w:styleId="FooterChar">
    <w:name w:val="Footer Char"/>
    <w:basedOn w:val="DefaultParagraphFont"/>
    <w:link w:val="Footer"/>
    <w:uiPriority w:val="99"/>
    <w:rsid w:val="0075484A"/>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764A65"/>
    <w:rPr>
      <w:sz w:val="16"/>
      <w:szCs w:val="16"/>
    </w:rPr>
  </w:style>
  <w:style w:type="paragraph" w:styleId="CommentText">
    <w:name w:val="annotation text"/>
    <w:basedOn w:val="Normal"/>
    <w:link w:val="CommentTextChar"/>
    <w:uiPriority w:val="99"/>
    <w:unhideWhenUsed/>
    <w:rsid w:val="00764A65"/>
    <w:pPr>
      <w:spacing w:line="240" w:lineRule="auto"/>
    </w:pPr>
    <w:rPr>
      <w:sz w:val="20"/>
      <w:szCs w:val="20"/>
    </w:rPr>
  </w:style>
  <w:style w:type="character" w:customStyle="1" w:styleId="CommentTextChar">
    <w:name w:val="Comment Text Char"/>
    <w:basedOn w:val="DefaultParagraphFont"/>
    <w:link w:val="CommentText"/>
    <w:uiPriority w:val="99"/>
    <w:rsid w:val="00764A65"/>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764A65"/>
    <w:rPr>
      <w:b/>
      <w:bCs/>
    </w:rPr>
  </w:style>
  <w:style w:type="character" w:customStyle="1" w:styleId="CommentSubjectChar">
    <w:name w:val="Comment Subject Char"/>
    <w:basedOn w:val="CommentTextChar"/>
    <w:link w:val="CommentSubject"/>
    <w:uiPriority w:val="99"/>
    <w:semiHidden/>
    <w:rsid w:val="00764A65"/>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63329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3290"/>
    <w:rPr>
      <w:rFonts w:ascii="Times New Roman" w:eastAsia="Arial" w:hAnsi="Times New Roman" w:cs="Times New Roman"/>
      <w:kern w:val="0"/>
      <w:sz w:val="18"/>
      <w:szCs w:val="1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2811</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Tamara</dc:creator>
  <cp:keywords/>
  <dc:description/>
  <cp:lastModifiedBy>Nicholson, Tamara</cp:lastModifiedBy>
  <cp:revision>2</cp:revision>
  <dcterms:created xsi:type="dcterms:W3CDTF">2025-03-11T02:39:00Z</dcterms:created>
  <dcterms:modified xsi:type="dcterms:W3CDTF">2025-03-11T02:39:00Z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32f1faaa,5f40a4f3,435c6a75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2025-03-06T22:34:00Z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2d08de6e-2bd8-425d-87d2-e9248cb2bf68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