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4E72D" w14:textId="5BC84160" w:rsidR="00012F0A" w:rsidRPr="00D52B27" w:rsidRDefault="00012F0A" w:rsidP="000A25AD">
      <w:pPr>
        <w:widowControl/>
        <w:snapToGrid w:val="0"/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D52B27">
        <w:rPr>
          <w:rFonts w:ascii="Arial" w:hAnsi="Arial" w:cs="Arial"/>
          <w:b/>
          <w:bCs/>
          <w:sz w:val="20"/>
          <w:szCs w:val="20"/>
        </w:rPr>
        <w:t xml:space="preserve">Single-factor analysis of </w:t>
      </w:r>
      <w:r w:rsidRPr="00D52B27">
        <w:rPr>
          <w:rFonts w:ascii="Arial" w:hAnsi="Arial" w:cs="Arial"/>
          <w:b/>
          <w:bCs/>
          <w:color w:val="000000"/>
          <w:kern w:val="0"/>
          <w:sz w:val="20"/>
          <w:szCs w:val="20"/>
        </w:rPr>
        <w:t>CoQ10-Lip</w:t>
      </w:r>
    </w:p>
    <w:p w14:paraId="57859EF1" w14:textId="41185DC3" w:rsidR="00012F0A" w:rsidRPr="00D52B27" w:rsidRDefault="00012F0A" w:rsidP="00F90DC7">
      <w:pPr>
        <w:snapToGrid w:val="0"/>
        <w:spacing w:line="480" w:lineRule="auto"/>
        <w:ind w:firstLineChars="150" w:firstLine="300"/>
        <w:rPr>
          <w:rFonts w:ascii="Arial" w:hAnsi="Arial" w:cs="Arial"/>
          <w:color w:val="000000"/>
          <w:kern w:val="0"/>
          <w:sz w:val="20"/>
          <w:szCs w:val="20"/>
        </w:rPr>
      </w:pPr>
      <w:r w:rsidRPr="00D52B27">
        <w:rPr>
          <w:rFonts w:ascii="Arial" w:hAnsi="Arial" w:cs="Arial"/>
          <w:color w:val="000000"/>
          <w:kern w:val="0"/>
          <w:sz w:val="20"/>
          <w:szCs w:val="20"/>
        </w:rPr>
        <w:t xml:space="preserve">(E+Q)-Lip-Apt was prepared based on CoQ10-Lip. Therefore, the first step in the formulation study of (E+Q)-Lip-Apt was to investigate the optimal formulation of CoQ10-Lip. </w:t>
      </w:r>
      <w:bookmarkStart w:id="0" w:name="_Hlk183165340"/>
      <w:r w:rsidRPr="00D52B27">
        <w:rPr>
          <w:rFonts w:ascii="Arial" w:hAnsi="Arial" w:cs="Arial"/>
          <w:color w:val="000000"/>
          <w:kern w:val="0"/>
          <w:sz w:val="20"/>
          <w:szCs w:val="20"/>
        </w:rPr>
        <w:t xml:space="preserve">The effects of ultrasound time, power, the molar ratio of </w:t>
      </w:r>
      <w:r w:rsidRPr="00D52B27">
        <w:rPr>
          <w:rFonts w:ascii="Arial" w:hAnsi="Arial" w:cs="Arial"/>
          <w:sz w:val="20"/>
          <w:szCs w:val="20"/>
        </w:rPr>
        <w:t>phosphatidylcholine</w:t>
      </w:r>
      <w:r w:rsidRPr="00D52B27">
        <w:rPr>
          <w:rFonts w:ascii="Arial" w:hAnsi="Arial" w:cs="Arial"/>
          <w:color w:val="000000"/>
          <w:kern w:val="0"/>
          <w:sz w:val="20"/>
          <w:szCs w:val="20"/>
        </w:rPr>
        <w:t xml:space="preserve"> to cholesterol (PC: Chol), and the mass ratio of CoQ10 to lipids (CoQ10: lipids) on </w:t>
      </w:r>
      <w:r w:rsidRPr="00D52B27">
        <w:rPr>
          <w:rFonts w:ascii="Arial" w:hAnsi="Arial" w:cs="Arial"/>
          <w:sz w:val="20"/>
          <w:szCs w:val="20"/>
        </w:rPr>
        <w:t>encapsulation efficiency</w:t>
      </w:r>
      <w:r w:rsidRPr="00D52B27">
        <w:rPr>
          <w:rFonts w:ascii="Arial" w:hAnsi="Arial" w:cs="Arial"/>
          <w:color w:val="000000"/>
          <w:kern w:val="0"/>
          <w:sz w:val="20"/>
          <w:szCs w:val="20"/>
        </w:rPr>
        <w:t xml:space="preserve"> (EE) of CoQ10 were Investigated through the single-factor experiment.</w:t>
      </w:r>
      <w:bookmarkEnd w:id="0"/>
      <w:r w:rsidRPr="00D52B27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88FEBFB" w14:textId="32D7400A" w:rsidR="00CD68CB" w:rsidRPr="00D52B27" w:rsidRDefault="00CD68CB" w:rsidP="00F90DC7">
      <w:pPr>
        <w:snapToGrid w:val="0"/>
        <w:spacing w:line="480" w:lineRule="auto"/>
        <w:ind w:firstLineChars="50" w:firstLine="100"/>
        <w:rPr>
          <w:rFonts w:ascii="Arial" w:hAnsi="Arial" w:cs="Arial"/>
          <w:color w:val="000000"/>
          <w:kern w:val="0"/>
          <w:sz w:val="20"/>
          <w:szCs w:val="20"/>
        </w:rPr>
      </w:pPr>
      <w:r w:rsidRPr="00D52B27">
        <w:rPr>
          <w:rFonts w:ascii="Arial" w:hAnsi="Arial" w:cs="Arial"/>
          <w:color w:val="000000"/>
          <w:kern w:val="0"/>
          <w:sz w:val="20"/>
          <w:szCs w:val="20"/>
        </w:rPr>
        <w:t xml:space="preserve">Table </w:t>
      </w:r>
      <w:r w:rsidR="00F90DC7" w:rsidRPr="00D52B27">
        <w:rPr>
          <w:rFonts w:ascii="Arial" w:hAnsi="Arial" w:cs="Arial"/>
          <w:color w:val="000000"/>
          <w:kern w:val="0"/>
          <w:sz w:val="20"/>
          <w:szCs w:val="20"/>
        </w:rPr>
        <w:t>S</w:t>
      </w:r>
      <w:r w:rsidRPr="00D52B27">
        <w:rPr>
          <w:rFonts w:ascii="Arial" w:hAnsi="Arial" w:cs="Arial"/>
          <w:color w:val="000000"/>
          <w:kern w:val="0"/>
          <w:sz w:val="20"/>
          <w:szCs w:val="20"/>
        </w:rPr>
        <w:t>1</w:t>
      </w:r>
      <w:r w:rsidR="00F90DC7" w:rsidRPr="00D52B27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D52B27">
        <w:rPr>
          <w:rFonts w:ascii="Arial" w:hAnsi="Arial" w:cs="Arial"/>
          <w:color w:val="000000"/>
          <w:kern w:val="0"/>
          <w:sz w:val="20"/>
          <w:szCs w:val="20"/>
        </w:rPr>
        <w:t>Effect of ultrasonic power on the EE of CoQ10-Lip (n=3) (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Arial"/>
                <w:sz w:val="20"/>
                <w:szCs w:val="20"/>
              </w:rPr>
              <m:t xml:space="preserve">x </m:t>
            </m:r>
          </m:e>
        </m:acc>
      </m:oMath>
      <w:r w:rsidRPr="00D52B27">
        <w:rPr>
          <w:rFonts w:ascii="Arial" w:hAnsi="Arial" w:cs="Arial"/>
          <w:sz w:val="20"/>
          <w:szCs w:val="20"/>
        </w:rPr>
        <w:t>± s)</w:t>
      </w:r>
    </w:p>
    <w:tbl>
      <w:tblPr>
        <w:tblW w:w="7350" w:type="dxa"/>
        <w:tblInd w:w="108" w:type="dxa"/>
        <w:tblLook w:val="04A0" w:firstRow="1" w:lastRow="0" w:firstColumn="1" w:lastColumn="0" w:noHBand="0" w:noVBand="1"/>
      </w:tblPr>
      <w:tblGrid>
        <w:gridCol w:w="3134"/>
        <w:gridCol w:w="4216"/>
      </w:tblGrid>
      <w:tr w:rsidR="00CD68CB" w:rsidRPr="00D52B27" w14:paraId="097ED9B3" w14:textId="77777777" w:rsidTr="00466EBF">
        <w:trPr>
          <w:trHeight w:val="570"/>
        </w:trPr>
        <w:tc>
          <w:tcPr>
            <w:tcW w:w="3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CFC3C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Ultrasonic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Power / W</w:t>
            </w:r>
          </w:p>
        </w:tc>
        <w:tc>
          <w:tcPr>
            <w:tcW w:w="42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573F8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EE (%)</w:t>
            </w:r>
          </w:p>
        </w:tc>
      </w:tr>
      <w:tr w:rsidR="00CD68CB" w:rsidRPr="00D52B27" w14:paraId="14E8A237" w14:textId="77777777" w:rsidTr="00466EBF">
        <w:trPr>
          <w:trHeight w:val="57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4B04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D1FC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66.09±0.12</w:t>
            </w:r>
          </w:p>
        </w:tc>
      </w:tr>
      <w:tr w:rsidR="00CD68CB" w:rsidRPr="00D52B27" w14:paraId="3739E804" w14:textId="77777777" w:rsidTr="00466EBF">
        <w:trPr>
          <w:trHeight w:val="57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E083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D4D6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77.67±0.08</w:t>
            </w:r>
          </w:p>
        </w:tc>
      </w:tr>
      <w:tr w:rsidR="00CD68CB" w:rsidRPr="00D52B27" w14:paraId="542EAD08" w14:textId="77777777" w:rsidTr="00466EBF">
        <w:trPr>
          <w:trHeight w:val="570"/>
        </w:trPr>
        <w:tc>
          <w:tcPr>
            <w:tcW w:w="3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6A5DD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5E2E8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88.09±0.10</w:t>
            </w:r>
          </w:p>
        </w:tc>
      </w:tr>
    </w:tbl>
    <w:p w14:paraId="1DB0E214" w14:textId="77777777" w:rsidR="00CD68CB" w:rsidRPr="00D52B27" w:rsidRDefault="00CD68CB" w:rsidP="000A25AD">
      <w:pPr>
        <w:snapToGrid w:val="0"/>
        <w:spacing w:line="480" w:lineRule="auto"/>
        <w:rPr>
          <w:rFonts w:ascii="Arial" w:hAnsi="Arial" w:cs="Arial"/>
          <w:sz w:val="20"/>
          <w:szCs w:val="20"/>
        </w:rPr>
      </w:pPr>
    </w:p>
    <w:p w14:paraId="485DAE32" w14:textId="264B02F1" w:rsidR="00CD68CB" w:rsidRPr="00D52B27" w:rsidRDefault="00CD68CB" w:rsidP="00F90DC7">
      <w:pPr>
        <w:snapToGrid w:val="0"/>
        <w:spacing w:line="480" w:lineRule="auto"/>
        <w:ind w:firstLineChars="50" w:firstLine="100"/>
        <w:rPr>
          <w:rFonts w:ascii="Arial" w:hAnsi="Arial" w:cs="Arial"/>
          <w:sz w:val="20"/>
          <w:szCs w:val="20"/>
        </w:rPr>
      </w:pPr>
      <w:r w:rsidRPr="00D52B27">
        <w:rPr>
          <w:rFonts w:ascii="Arial" w:hAnsi="Arial" w:cs="Arial"/>
          <w:sz w:val="20"/>
          <w:szCs w:val="20"/>
        </w:rPr>
        <w:t>Table S2</w:t>
      </w:r>
      <w:r w:rsidR="00F90DC7" w:rsidRPr="00D52B27">
        <w:rPr>
          <w:rFonts w:ascii="Arial" w:hAnsi="Arial" w:cs="Arial"/>
          <w:sz w:val="20"/>
          <w:szCs w:val="20"/>
        </w:rPr>
        <w:t xml:space="preserve"> </w:t>
      </w:r>
      <w:r w:rsidRPr="00D52B27">
        <w:rPr>
          <w:rFonts w:ascii="Arial" w:hAnsi="Arial" w:cs="Arial"/>
          <w:sz w:val="20"/>
          <w:szCs w:val="20"/>
        </w:rPr>
        <w:t xml:space="preserve">Effect of </w:t>
      </w:r>
      <w:r w:rsidRPr="00D52B27">
        <w:rPr>
          <w:rFonts w:ascii="Arial" w:hAnsi="Arial" w:cs="Arial"/>
          <w:color w:val="000000"/>
          <w:kern w:val="0"/>
          <w:sz w:val="20"/>
          <w:szCs w:val="20"/>
        </w:rPr>
        <w:t xml:space="preserve">ultrasonic </w:t>
      </w:r>
      <w:r w:rsidRPr="00D52B27">
        <w:rPr>
          <w:rFonts w:ascii="Arial" w:hAnsi="Arial" w:cs="Arial"/>
          <w:sz w:val="20"/>
          <w:szCs w:val="20"/>
        </w:rPr>
        <w:t xml:space="preserve">time on the </w:t>
      </w:r>
      <w:r w:rsidRPr="00D52B27">
        <w:rPr>
          <w:rFonts w:ascii="Arial" w:hAnsi="Arial" w:cs="Arial"/>
          <w:color w:val="000000"/>
          <w:kern w:val="0"/>
          <w:sz w:val="20"/>
          <w:szCs w:val="20"/>
        </w:rPr>
        <w:t>EE of CoQ10-Lip (n=3) (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Arial"/>
                <w:sz w:val="20"/>
                <w:szCs w:val="20"/>
              </w:rPr>
              <m:t xml:space="preserve">x </m:t>
            </m:r>
          </m:e>
        </m:acc>
      </m:oMath>
      <w:r w:rsidRPr="00D52B27">
        <w:rPr>
          <w:rFonts w:ascii="Arial" w:hAnsi="Arial" w:cs="Arial"/>
          <w:sz w:val="20"/>
          <w:szCs w:val="20"/>
        </w:rPr>
        <w:t>± s)</w:t>
      </w:r>
    </w:p>
    <w:tbl>
      <w:tblPr>
        <w:tblW w:w="7425" w:type="dxa"/>
        <w:tblInd w:w="108" w:type="dxa"/>
        <w:tblLook w:val="04A0" w:firstRow="1" w:lastRow="0" w:firstColumn="1" w:lastColumn="0" w:noHBand="0" w:noVBand="1"/>
      </w:tblPr>
      <w:tblGrid>
        <w:gridCol w:w="3166"/>
        <w:gridCol w:w="4259"/>
      </w:tblGrid>
      <w:tr w:rsidR="00CD68CB" w:rsidRPr="00D52B27" w14:paraId="0E181C6B" w14:textId="77777777" w:rsidTr="00CD68CB">
        <w:trPr>
          <w:trHeight w:val="482"/>
        </w:trPr>
        <w:tc>
          <w:tcPr>
            <w:tcW w:w="316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09665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Ultrasonic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time/min</w:t>
            </w:r>
          </w:p>
        </w:tc>
        <w:tc>
          <w:tcPr>
            <w:tcW w:w="42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67F8D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EE (%)</w:t>
            </w:r>
          </w:p>
        </w:tc>
      </w:tr>
      <w:tr w:rsidR="00CD68CB" w:rsidRPr="00D52B27" w14:paraId="32C36D74" w14:textId="77777777" w:rsidTr="00466EBF">
        <w:trPr>
          <w:trHeight w:val="482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E054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DDD7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55.80±0.08</w:t>
            </w:r>
          </w:p>
        </w:tc>
      </w:tr>
      <w:tr w:rsidR="00CD68CB" w:rsidRPr="00D52B27" w14:paraId="4BAF4831" w14:textId="77777777" w:rsidTr="00466EBF">
        <w:trPr>
          <w:trHeight w:val="482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C7CC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899D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77.67±0.08</w:t>
            </w:r>
          </w:p>
        </w:tc>
      </w:tr>
      <w:tr w:rsidR="00CD68CB" w:rsidRPr="00D52B27" w14:paraId="445775D8" w14:textId="77777777" w:rsidTr="00CD68CB">
        <w:trPr>
          <w:trHeight w:val="482"/>
        </w:trPr>
        <w:tc>
          <w:tcPr>
            <w:tcW w:w="31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158D1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91BAB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68.73±0.09</w:t>
            </w:r>
          </w:p>
        </w:tc>
      </w:tr>
    </w:tbl>
    <w:p w14:paraId="6A50A9B8" w14:textId="77777777" w:rsidR="00CD68CB" w:rsidRPr="00D52B27" w:rsidRDefault="00CD68CB" w:rsidP="000A25AD">
      <w:pPr>
        <w:snapToGrid w:val="0"/>
        <w:spacing w:line="480" w:lineRule="auto"/>
        <w:ind w:firstLineChars="50" w:firstLine="100"/>
        <w:rPr>
          <w:rFonts w:ascii="Arial" w:hAnsi="Arial" w:cs="Arial"/>
          <w:sz w:val="20"/>
          <w:szCs w:val="20"/>
        </w:rPr>
      </w:pPr>
    </w:p>
    <w:p w14:paraId="1BC055A5" w14:textId="5B4AD3F2" w:rsidR="00CD68CB" w:rsidRPr="00D52B27" w:rsidRDefault="00CD68CB" w:rsidP="000A25AD">
      <w:pPr>
        <w:snapToGrid w:val="0"/>
        <w:spacing w:line="480" w:lineRule="auto"/>
        <w:rPr>
          <w:rFonts w:ascii="Arial" w:hAnsi="Arial" w:cs="Arial"/>
          <w:sz w:val="20"/>
          <w:szCs w:val="20"/>
        </w:rPr>
      </w:pPr>
      <w:r w:rsidRPr="00D52B27">
        <w:rPr>
          <w:rFonts w:ascii="Arial" w:hAnsi="Arial" w:cs="Arial"/>
          <w:sz w:val="20"/>
          <w:szCs w:val="20"/>
        </w:rPr>
        <w:t>Table S3</w:t>
      </w:r>
      <w:r w:rsidR="00F90DC7" w:rsidRPr="00D52B27">
        <w:rPr>
          <w:rFonts w:ascii="Arial" w:hAnsi="Arial" w:cs="Arial"/>
          <w:sz w:val="20"/>
          <w:szCs w:val="20"/>
        </w:rPr>
        <w:t xml:space="preserve"> </w:t>
      </w:r>
      <w:r w:rsidRPr="00D52B27">
        <w:rPr>
          <w:rFonts w:ascii="Arial" w:hAnsi="Arial" w:cs="Arial"/>
          <w:sz w:val="20"/>
          <w:szCs w:val="20"/>
        </w:rPr>
        <w:t xml:space="preserve">Effect of Phospholipid ratio on </w:t>
      </w:r>
      <w:r w:rsidRPr="00D52B27">
        <w:rPr>
          <w:rFonts w:ascii="Arial" w:hAnsi="Arial" w:cs="Arial"/>
          <w:color w:val="000000"/>
          <w:kern w:val="0"/>
          <w:sz w:val="20"/>
          <w:szCs w:val="20"/>
        </w:rPr>
        <w:t>EE of CoQ10-Lip (n=3) (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Arial"/>
                <w:sz w:val="20"/>
                <w:szCs w:val="20"/>
              </w:rPr>
              <m:t xml:space="preserve">x </m:t>
            </m:r>
          </m:e>
        </m:acc>
      </m:oMath>
      <w:r w:rsidRPr="00D52B27">
        <w:rPr>
          <w:rFonts w:ascii="Arial" w:hAnsi="Arial" w:cs="Arial"/>
          <w:sz w:val="20"/>
          <w:szCs w:val="20"/>
        </w:rPr>
        <w:t>± s)</w:t>
      </w:r>
      <w:r w:rsidRPr="00D52B27">
        <w:rPr>
          <w:rFonts w:ascii="Arial" w:hAnsi="Arial" w:cs="Arial"/>
          <w:color w:val="000000"/>
          <w:kern w:val="0"/>
          <w:sz w:val="20"/>
          <w:szCs w:val="20"/>
        </w:rPr>
        <w:t xml:space="preserve">   </w:t>
      </w:r>
    </w:p>
    <w:tbl>
      <w:tblPr>
        <w:tblpPr w:leftFromText="180" w:rightFromText="180" w:vertAnchor="text" w:tblpY="1"/>
        <w:tblOverlap w:val="never"/>
        <w:tblW w:w="7496" w:type="dxa"/>
        <w:tblLook w:val="04A0" w:firstRow="1" w:lastRow="0" w:firstColumn="1" w:lastColumn="0" w:noHBand="0" w:noVBand="1"/>
      </w:tblPr>
      <w:tblGrid>
        <w:gridCol w:w="3196"/>
        <w:gridCol w:w="4300"/>
      </w:tblGrid>
      <w:tr w:rsidR="00CD68CB" w:rsidRPr="00D52B27" w14:paraId="41C92A9A" w14:textId="77777777" w:rsidTr="00466EBF">
        <w:trPr>
          <w:trHeight w:val="533"/>
        </w:trPr>
        <w:tc>
          <w:tcPr>
            <w:tcW w:w="31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267F8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PC: Chol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（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molar ratio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43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B6471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EE (%)</w:t>
            </w:r>
          </w:p>
        </w:tc>
      </w:tr>
      <w:tr w:rsidR="00CD68CB" w:rsidRPr="00D52B27" w14:paraId="1926412A" w14:textId="77777777" w:rsidTr="00466EBF">
        <w:trPr>
          <w:trHeight w:val="533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30D5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：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41E1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63.67±0.17</w:t>
            </w:r>
          </w:p>
        </w:tc>
      </w:tr>
      <w:tr w:rsidR="00CD68CB" w:rsidRPr="00D52B27" w14:paraId="2E3976DA" w14:textId="77777777" w:rsidTr="00466EBF">
        <w:trPr>
          <w:trHeight w:val="533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955D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：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F7F6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71.60±1.99</w:t>
            </w:r>
          </w:p>
        </w:tc>
      </w:tr>
      <w:tr w:rsidR="00CD68CB" w:rsidRPr="00D52B27" w14:paraId="08B04B49" w14:textId="77777777" w:rsidTr="00466EBF">
        <w:trPr>
          <w:trHeight w:val="533"/>
        </w:trPr>
        <w:tc>
          <w:tcPr>
            <w:tcW w:w="31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164E8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：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8FEB4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66.67±0.17</w:t>
            </w:r>
          </w:p>
        </w:tc>
      </w:tr>
    </w:tbl>
    <w:p w14:paraId="6E44E7CA" w14:textId="77777777" w:rsidR="00CD68CB" w:rsidRPr="00D52B27" w:rsidRDefault="00CD68CB" w:rsidP="000A25AD">
      <w:pPr>
        <w:widowControl/>
        <w:snapToGrid w:val="0"/>
        <w:spacing w:line="48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47D1A08" w14:textId="77777777" w:rsidR="00CD68CB" w:rsidRPr="00D52B27" w:rsidRDefault="00CD68CB" w:rsidP="000A25AD">
      <w:pPr>
        <w:snapToGrid w:val="0"/>
        <w:spacing w:line="480" w:lineRule="auto"/>
        <w:rPr>
          <w:rFonts w:ascii="Arial" w:hAnsi="Arial" w:cs="Arial"/>
          <w:sz w:val="20"/>
          <w:szCs w:val="20"/>
        </w:rPr>
      </w:pPr>
    </w:p>
    <w:p w14:paraId="165F84E6" w14:textId="77777777" w:rsidR="00012F0A" w:rsidRPr="00D52B27" w:rsidRDefault="00012F0A" w:rsidP="00F90DC7">
      <w:pPr>
        <w:snapToGrid w:val="0"/>
        <w:spacing w:line="480" w:lineRule="auto"/>
        <w:rPr>
          <w:rFonts w:ascii="Arial" w:hAnsi="Arial" w:cs="Arial"/>
          <w:sz w:val="20"/>
          <w:szCs w:val="20"/>
        </w:rPr>
      </w:pPr>
    </w:p>
    <w:p w14:paraId="1104998B" w14:textId="77777777" w:rsidR="00012F0A" w:rsidRPr="00D52B27" w:rsidRDefault="00012F0A" w:rsidP="000A25AD">
      <w:pPr>
        <w:snapToGrid w:val="0"/>
        <w:spacing w:line="480" w:lineRule="auto"/>
        <w:ind w:firstLineChars="50" w:firstLine="100"/>
        <w:rPr>
          <w:rFonts w:ascii="Arial" w:hAnsi="Arial" w:cs="Arial"/>
          <w:sz w:val="20"/>
          <w:szCs w:val="20"/>
        </w:rPr>
      </w:pPr>
    </w:p>
    <w:p w14:paraId="6FCF655D" w14:textId="77777777" w:rsidR="00F90DC7" w:rsidRPr="00D52B27" w:rsidRDefault="00F90DC7" w:rsidP="000A25AD">
      <w:pPr>
        <w:snapToGrid w:val="0"/>
        <w:spacing w:line="480" w:lineRule="auto"/>
        <w:ind w:firstLineChars="50" w:firstLine="100"/>
        <w:rPr>
          <w:rFonts w:ascii="Arial" w:hAnsi="Arial" w:cs="Arial"/>
          <w:sz w:val="20"/>
          <w:szCs w:val="20"/>
        </w:rPr>
      </w:pPr>
    </w:p>
    <w:p w14:paraId="2F34FA44" w14:textId="77777777" w:rsidR="00F90DC7" w:rsidRPr="00D52B27" w:rsidRDefault="00F90DC7" w:rsidP="00F90DC7">
      <w:pPr>
        <w:snapToGrid w:val="0"/>
        <w:spacing w:line="480" w:lineRule="auto"/>
        <w:ind w:firstLineChars="50" w:firstLine="100"/>
        <w:rPr>
          <w:rFonts w:ascii="Arial" w:hAnsi="Arial" w:cs="Arial"/>
          <w:sz w:val="20"/>
          <w:szCs w:val="20"/>
        </w:rPr>
      </w:pPr>
    </w:p>
    <w:p w14:paraId="0E2714B4" w14:textId="77777777" w:rsidR="00F90DC7" w:rsidRPr="00D52B27" w:rsidRDefault="00F90DC7" w:rsidP="00F90DC7">
      <w:pPr>
        <w:snapToGrid w:val="0"/>
        <w:spacing w:line="480" w:lineRule="auto"/>
        <w:ind w:firstLineChars="50" w:firstLine="100"/>
        <w:rPr>
          <w:rFonts w:ascii="Arial" w:hAnsi="Arial" w:cs="Arial"/>
          <w:sz w:val="20"/>
          <w:szCs w:val="20"/>
        </w:rPr>
      </w:pPr>
    </w:p>
    <w:p w14:paraId="11A0840D" w14:textId="1E71C88A" w:rsidR="00CD68CB" w:rsidRPr="00D52B27" w:rsidRDefault="00CD68CB" w:rsidP="00F90DC7">
      <w:pPr>
        <w:snapToGrid w:val="0"/>
        <w:spacing w:line="480" w:lineRule="auto"/>
        <w:ind w:firstLineChars="50" w:firstLine="100"/>
        <w:rPr>
          <w:rFonts w:ascii="Arial" w:hAnsi="Arial" w:cs="Arial"/>
          <w:sz w:val="20"/>
          <w:szCs w:val="20"/>
        </w:rPr>
      </w:pPr>
      <w:r w:rsidRPr="00D52B27">
        <w:rPr>
          <w:rFonts w:ascii="Arial" w:hAnsi="Arial" w:cs="Arial"/>
          <w:sz w:val="20"/>
          <w:szCs w:val="20"/>
        </w:rPr>
        <w:t xml:space="preserve">Table S4 Effect of </w:t>
      </w:r>
      <w:r w:rsidRPr="00D52B27">
        <w:rPr>
          <w:rFonts w:ascii="Arial" w:eastAsia="宋体" w:hAnsi="Arial" w:cs="Arial"/>
          <w:color w:val="000000"/>
          <w:kern w:val="0"/>
          <w:sz w:val="20"/>
          <w:szCs w:val="20"/>
        </w:rPr>
        <w:t>CoQ10</w:t>
      </w:r>
      <w:r w:rsidRPr="00D52B27">
        <w:rPr>
          <w:rFonts w:ascii="Arial" w:hAnsi="Arial" w:cs="Arial"/>
          <w:sz w:val="20"/>
          <w:szCs w:val="20"/>
        </w:rPr>
        <w:t xml:space="preserve">-to-Lipids ratio on the </w:t>
      </w:r>
      <w:r w:rsidRPr="00D52B27">
        <w:rPr>
          <w:rFonts w:ascii="Arial" w:hAnsi="Arial" w:cs="Arial"/>
          <w:color w:val="000000"/>
          <w:kern w:val="0"/>
          <w:sz w:val="20"/>
          <w:szCs w:val="20"/>
        </w:rPr>
        <w:t>EE of CoQ10-Lip (n=3) (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Arial"/>
                <w:sz w:val="20"/>
                <w:szCs w:val="20"/>
              </w:rPr>
              <m:t xml:space="preserve">x </m:t>
            </m:r>
          </m:e>
        </m:acc>
      </m:oMath>
      <w:r w:rsidRPr="00D52B27">
        <w:rPr>
          <w:rFonts w:ascii="Arial" w:hAnsi="Arial" w:cs="Arial"/>
          <w:sz w:val="20"/>
          <w:szCs w:val="20"/>
        </w:rPr>
        <w:t>± s)</w:t>
      </w:r>
    </w:p>
    <w:tbl>
      <w:tblPr>
        <w:tblW w:w="7387" w:type="dxa"/>
        <w:tblInd w:w="108" w:type="dxa"/>
        <w:tblLook w:val="04A0" w:firstRow="1" w:lastRow="0" w:firstColumn="1" w:lastColumn="0" w:noHBand="0" w:noVBand="1"/>
      </w:tblPr>
      <w:tblGrid>
        <w:gridCol w:w="3149"/>
        <w:gridCol w:w="4238"/>
      </w:tblGrid>
      <w:tr w:rsidR="00CD68CB" w:rsidRPr="00D52B27" w14:paraId="2753708C" w14:textId="77777777" w:rsidTr="00466EBF">
        <w:trPr>
          <w:trHeight w:val="560"/>
        </w:trPr>
        <w:tc>
          <w:tcPr>
            <w:tcW w:w="314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47E6B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CoQ10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：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Lipids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（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W/W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42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28C77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EE (%)</w:t>
            </w:r>
          </w:p>
        </w:tc>
      </w:tr>
      <w:tr w:rsidR="00CD68CB" w:rsidRPr="00D52B27" w14:paraId="47C41B2C" w14:textId="77777777" w:rsidTr="00466EBF">
        <w:trPr>
          <w:trHeight w:val="56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70FE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1:15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9AB7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63.33±0.09</w:t>
            </w:r>
          </w:p>
        </w:tc>
      </w:tr>
      <w:tr w:rsidR="00CD68CB" w:rsidRPr="00D52B27" w14:paraId="4D14FE9F" w14:textId="77777777" w:rsidTr="00CD68CB">
        <w:trPr>
          <w:trHeight w:val="560"/>
        </w:trPr>
        <w:tc>
          <w:tcPr>
            <w:tcW w:w="31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45C5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：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4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7ECB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71.60±1.99</w:t>
            </w:r>
          </w:p>
        </w:tc>
      </w:tr>
      <w:tr w:rsidR="00CD68CB" w:rsidRPr="00D52B27" w14:paraId="22B37274" w14:textId="77777777" w:rsidTr="00466EBF">
        <w:trPr>
          <w:trHeight w:val="560"/>
        </w:trPr>
        <w:tc>
          <w:tcPr>
            <w:tcW w:w="31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9018A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：</w:t>
            </w: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CD48F" w14:textId="77777777" w:rsidR="00CD68CB" w:rsidRPr="00D52B27" w:rsidRDefault="00CD68CB" w:rsidP="000A25AD">
            <w:pPr>
              <w:widowControl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52B2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55.37±0.25</w:t>
            </w:r>
          </w:p>
        </w:tc>
      </w:tr>
    </w:tbl>
    <w:p w14:paraId="593A9365" w14:textId="77777777" w:rsidR="00CD68CB" w:rsidRPr="00D52B27" w:rsidRDefault="00CD68CB" w:rsidP="000A25AD">
      <w:pPr>
        <w:pStyle w:val="a7"/>
        <w:snapToGrid w:val="0"/>
        <w:spacing w:line="480" w:lineRule="auto"/>
        <w:ind w:left="360" w:firstLineChars="0" w:firstLine="0"/>
        <w:rPr>
          <w:rFonts w:ascii="Arial" w:hAnsi="Arial" w:cs="Arial"/>
          <w:b/>
          <w:bCs/>
          <w:sz w:val="20"/>
          <w:szCs w:val="20"/>
        </w:rPr>
      </w:pPr>
    </w:p>
    <w:p w14:paraId="19E5DDD9" w14:textId="77777777" w:rsidR="00F90DC7" w:rsidRPr="00D52B27" w:rsidRDefault="00F90DC7" w:rsidP="00F90DC7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D52B27">
        <w:rPr>
          <w:rFonts w:ascii="Arial" w:hAnsi="Arial" w:cs="Arial"/>
          <w:b/>
          <w:bCs/>
          <w:sz w:val="20"/>
          <w:szCs w:val="20"/>
        </w:rPr>
        <w:t>Cell uptake</w:t>
      </w:r>
    </w:p>
    <w:p w14:paraId="227C7F36" w14:textId="77777777" w:rsidR="00F90DC7" w:rsidRPr="00D52B27" w:rsidRDefault="00F90DC7" w:rsidP="00F90DC7">
      <w:pPr>
        <w:widowControl/>
        <w:snapToGrid w:val="0"/>
        <w:spacing w:line="480" w:lineRule="auto"/>
        <w:ind w:firstLineChars="150" w:firstLine="300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D52B27">
        <w:rPr>
          <w:rFonts w:ascii="Arial" w:hAnsi="Arial" w:cs="Arial"/>
          <w:color w:val="000000"/>
          <w:kern w:val="0"/>
          <w:sz w:val="20"/>
          <w:szCs w:val="20"/>
        </w:rPr>
        <w:t xml:space="preserve">Using the method of preparing (E+Q)-Lip-Apt, we prepared rhodamine B-labeled liposomes (Rhod-Lip) and centrifuged to remove free rhodamine B particles. The Rhod-Lip was added to the medium to culture for 4 h. Then the mixture was removed and cells were washed with PBS. Next, cells were fixed for 20 min and then stained for 5 min with DAPI solution. Finally, cells were observed under a confocal microscope (Leica SP8, Germany). </w:t>
      </w:r>
    </w:p>
    <w:p w14:paraId="1D2908FF" w14:textId="77777777" w:rsidR="00F90DC7" w:rsidRPr="00D52B27" w:rsidRDefault="00F90DC7" w:rsidP="00F90DC7">
      <w:pPr>
        <w:widowControl/>
        <w:snapToGrid w:val="0"/>
        <w:spacing w:line="480" w:lineRule="auto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D52B2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365B477" wp14:editId="5FC91ADC">
            <wp:extent cx="5274310" cy="2932430"/>
            <wp:effectExtent l="0" t="0" r="2540" b="1270"/>
            <wp:docPr id="5840119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AD1F6" w14:textId="77777777" w:rsidR="00F90DC7" w:rsidRPr="00D52B27" w:rsidRDefault="00F90DC7" w:rsidP="00F90DC7">
      <w:pPr>
        <w:widowControl/>
        <w:snapToGrid w:val="0"/>
        <w:spacing w:line="480" w:lineRule="auto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D52B27">
        <w:rPr>
          <w:rFonts w:ascii="Arial" w:hAnsi="Arial" w:cs="Arial"/>
          <w:color w:val="000000"/>
          <w:kern w:val="0"/>
          <w:sz w:val="20"/>
          <w:szCs w:val="20"/>
        </w:rPr>
        <w:t>Fig S1 Cellular uptake of the rhodamine B-labeled liposomes, scale bar: 25 μm.</w:t>
      </w:r>
    </w:p>
    <w:p w14:paraId="72091978" w14:textId="77777777" w:rsidR="005100F3" w:rsidRPr="00D52B27" w:rsidRDefault="005100F3" w:rsidP="000A25AD">
      <w:pPr>
        <w:snapToGrid w:val="0"/>
        <w:spacing w:line="480" w:lineRule="auto"/>
        <w:rPr>
          <w:rFonts w:ascii="Arial" w:hAnsi="Arial" w:cs="Arial"/>
          <w:sz w:val="20"/>
          <w:szCs w:val="20"/>
        </w:rPr>
      </w:pPr>
    </w:p>
    <w:sectPr w:rsidR="005100F3" w:rsidRPr="00D52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6B100" w14:textId="77777777" w:rsidR="00006072" w:rsidRDefault="00006072" w:rsidP="00CD68CB">
      <w:r>
        <w:separator/>
      </w:r>
    </w:p>
  </w:endnote>
  <w:endnote w:type="continuationSeparator" w:id="0">
    <w:p w14:paraId="40C8AD30" w14:textId="77777777" w:rsidR="00006072" w:rsidRDefault="00006072" w:rsidP="00CD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2B395" w14:textId="77777777" w:rsidR="00006072" w:rsidRDefault="00006072" w:rsidP="00CD68CB">
      <w:r>
        <w:separator/>
      </w:r>
    </w:p>
  </w:footnote>
  <w:footnote w:type="continuationSeparator" w:id="0">
    <w:p w14:paraId="405C01F7" w14:textId="77777777" w:rsidR="00006072" w:rsidRDefault="00006072" w:rsidP="00CD6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74F6"/>
    <w:rsid w:val="00006072"/>
    <w:rsid w:val="00012F0A"/>
    <w:rsid w:val="00057AEC"/>
    <w:rsid w:val="000A25AD"/>
    <w:rsid w:val="001406CC"/>
    <w:rsid w:val="002274F6"/>
    <w:rsid w:val="00227E7E"/>
    <w:rsid w:val="004C765B"/>
    <w:rsid w:val="005100F3"/>
    <w:rsid w:val="005606A5"/>
    <w:rsid w:val="0077047E"/>
    <w:rsid w:val="00881BE9"/>
    <w:rsid w:val="00AF26A8"/>
    <w:rsid w:val="00B02826"/>
    <w:rsid w:val="00CD68CB"/>
    <w:rsid w:val="00D1031C"/>
    <w:rsid w:val="00D52B27"/>
    <w:rsid w:val="00F9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1641C"/>
  <w15:chartTrackingRefBased/>
  <w15:docId w15:val="{47807151-3079-437A-92F7-A55E06F6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8C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F90D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8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68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6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68CB"/>
    <w:rPr>
      <w:sz w:val="18"/>
      <w:szCs w:val="18"/>
    </w:rPr>
  </w:style>
  <w:style w:type="paragraph" w:styleId="a7">
    <w:name w:val="List Paragraph"/>
    <w:basedOn w:val="a"/>
    <w:uiPriority w:val="34"/>
    <w:qFormat/>
    <w:rsid w:val="00CD68CB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F90DC7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233</Words>
  <Characters>1381</Characters>
  <Application>Microsoft Office Word</Application>
  <DocSecurity>0</DocSecurity>
  <Lines>26</Lines>
  <Paragraphs>11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2024-11-22T02:48:00Z</dcterms:created>
  <dcterms:modified xsi:type="dcterms:W3CDTF">2024-12-04T10:21:00Z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58154a7f28534c3d362b2b3f2fb83dbbca1ed04c439ab645d6ba5277164fb4df</vt:lpwstr>
  </property>
</Properties>
</file>