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D70F" w14:textId="77777777" w:rsidR="009A5DE9" w:rsidRPr="00203682" w:rsidRDefault="009A5DE9" w:rsidP="009A5DE9">
      <w:pPr>
        <w:rPr>
          <w:rFonts w:ascii="Times New Roman" w:hAnsi="Times New Roman"/>
          <w:color w:val="000000"/>
        </w:rPr>
      </w:pPr>
    </w:p>
    <w:p w14:paraId="12E22468" w14:textId="77777777" w:rsidR="009A5DE9" w:rsidRPr="00203682" w:rsidRDefault="009A5DE9" w:rsidP="009A5DE9">
      <w:pPr>
        <w:pStyle w:val="MDPI21heading1"/>
        <w:ind w:left="0"/>
        <w:rPr>
          <w:b w:val="0"/>
          <w:sz w:val="18"/>
          <w:szCs w:val="18"/>
        </w:rPr>
      </w:pPr>
      <w:r w:rsidRPr="00203682">
        <w:rPr>
          <w:rFonts w:ascii="Times New Roman" w:hAnsi="Times New Roman"/>
        </w:rPr>
        <w:t xml:space="preserve">Table 1 </w:t>
      </w:r>
      <w:proofErr w:type="spellStart"/>
      <w:proofErr w:type="gramStart"/>
      <w:r w:rsidRPr="00203682">
        <w:rPr>
          <w:rFonts w:ascii="Times New Roman" w:hAnsi="Times New Roman"/>
        </w:rPr>
        <w:t>Suplement</w:t>
      </w:r>
      <w:proofErr w:type="spellEnd"/>
      <w:r w:rsidRPr="00203682">
        <w:rPr>
          <w:rFonts w:ascii="Times New Roman" w:hAnsi="Times New Roman"/>
        </w:rPr>
        <w:t xml:space="preserve">  </w:t>
      </w:r>
      <w:r w:rsidRPr="00203682">
        <w:rPr>
          <w:b w:val="0"/>
          <w:sz w:val="18"/>
          <w:szCs w:val="18"/>
        </w:rPr>
        <w:t>The</w:t>
      </w:r>
      <w:proofErr w:type="gramEnd"/>
      <w:r w:rsidRPr="00203682">
        <w:rPr>
          <w:b w:val="0"/>
          <w:sz w:val="18"/>
          <w:szCs w:val="18"/>
        </w:rPr>
        <w:t xml:space="preserve"> polyphenolic content in the herbal infusions used in the synthesis of </w:t>
      </w:r>
      <w:proofErr w:type="spellStart"/>
      <w:r w:rsidRPr="00203682">
        <w:rPr>
          <w:b w:val="0"/>
          <w:sz w:val="18"/>
          <w:szCs w:val="18"/>
        </w:rPr>
        <w:t>SeNP</w:t>
      </w:r>
      <w:proofErr w:type="spellEnd"/>
      <w:r w:rsidRPr="00203682">
        <w:rPr>
          <w:b w:val="0"/>
          <w:sz w:val="18"/>
          <w:szCs w:val="18"/>
        </w:rPr>
        <w:t xml:space="preserve"> (</w:t>
      </w:r>
      <w:proofErr w:type="spellStart"/>
      <w:r w:rsidRPr="00203682">
        <w:rPr>
          <w:b w:val="0"/>
          <w:sz w:val="18"/>
          <w:szCs w:val="18"/>
        </w:rPr>
        <w:t>Sentkowska</w:t>
      </w:r>
      <w:proofErr w:type="spellEnd"/>
      <w:r w:rsidRPr="00203682">
        <w:rPr>
          <w:b w:val="0"/>
          <w:sz w:val="18"/>
          <w:szCs w:val="18"/>
        </w:rPr>
        <w:t>, 2024)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43"/>
        <w:gridCol w:w="1475"/>
        <w:gridCol w:w="1334"/>
        <w:gridCol w:w="1358"/>
        <w:gridCol w:w="1458"/>
        <w:gridCol w:w="1362"/>
      </w:tblGrid>
      <w:tr w:rsidR="009A5DE9" w:rsidRPr="00203682" w14:paraId="433DA60F" w14:textId="77777777" w:rsidTr="00C64B67">
        <w:trPr>
          <w:jc w:val="right"/>
        </w:trPr>
        <w:tc>
          <w:tcPr>
            <w:tcW w:w="1643" w:type="dxa"/>
            <w:vMerge w:val="restart"/>
            <w:tcBorders>
              <w:right w:val="nil"/>
            </w:tcBorders>
          </w:tcPr>
          <w:p w14:paraId="089B67F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987" w:type="dxa"/>
            <w:gridSpan w:val="5"/>
            <w:tcBorders>
              <w:left w:val="nil"/>
              <w:bottom w:val="single" w:sz="4" w:space="0" w:color="auto"/>
            </w:tcBorders>
          </w:tcPr>
          <w:p w14:paraId="4CF08C2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Plant material used for </w:t>
            </w:r>
            <w:proofErr w:type="spellStart"/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SeNPs</w:t>
            </w:r>
            <w:proofErr w:type="spellEnd"/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synthesis</w:t>
            </w:r>
          </w:p>
        </w:tc>
      </w:tr>
      <w:tr w:rsidR="009A5DE9" w:rsidRPr="00203682" w14:paraId="4E7745E3" w14:textId="77777777" w:rsidTr="00C64B67">
        <w:trPr>
          <w:jc w:val="right"/>
        </w:trPr>
        <w:tc>
          <w:tcPr>
            <w:tcW w:w="1643" w:type="dxa"/>
            <w:vMerge/>
            <w:tcBorders>
              <w:bottom w:val="single" w:sz="4" w:space="0" w:color="auto"/>
              <w:right w:val="nil"/>
            </w:tcBorders>
          </w:tcPr>
          <w:p w14:paraId="2F186AE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75" w:type="dxa"/>
            <w:tcBorders>
              <w:left w:val="nil"/>
              <w:bottom w:val="single" w:sz="4" w:space="0" w:color="auto"/>
              <w:right w:val="nil"/>
            </w:tcBorders>
          </w:tcPr>
          <w:p w14:paraId="56C94D59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Blackberry</w:t>
            </w:r>
          </w:p>
        </w:tc>
        <w:tc>
          <w:tcPr>
            <w:tcW w:w="1334" w:type="dxa"/>
            <w:tcBorders>
              <w:left w:val="nil"/>
              <w:bottom w:val="single" w:sz="4" w:space="0" w:color="auto"/>
              <w:right w:val="nil"/>
            </w:tcBorders>
          </w:tcPr>
          <w:p w14:paraId="03A922B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Hop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nil"/>
            </w:tcBorders>
          </w:tcPr>
          <w:p w14:paraId="0AA619C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Lemon balm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</w:tcPr>
          <w:p w14:paraId="2137C9D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Raspberry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</w:tcBorders>
          </w:tcPr>
          <w:p w14:paraId="7446780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color w:val="000000"/>
                <w:sz w:val="24"/>
              </w:rPr>
              <w:t>Sage</w:t>
            </w:r>
          </w:p>
        </w:tc>
      </w:tr>
      <w:tr w:rsidR="009A5DE9" w:rsidRPr="00203682" w14:paraId="13B22022" w14:textId="77777777" w:rsidTr="00C64B67">
        <w:trPr>
          <w:jc w:val="right"/>
        </w:trPr>
        <w:tc>
          <w:tcPr>
            <w:tcW w:w="8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8DC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Flavonoids*</w:t>
            </w:r>
          </w:p>
        </w:tc>
      </w:tr>
      <w:tr w:rsidR="009A5DE9" w:rsidRPr="00203682" w14:paraId="79803224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7748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Kaempferol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DE6A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7B5A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0.705 ± 0.023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04E5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0.507 ± 0.020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A197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F334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0.748± 0.030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</w:tr>
      <w:tr w:rsidR="009A5DE9" w:rsidRPr="00203682" w14:paraId="746D31A8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10841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Epicatechin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9424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9.62 ± 0.324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F527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7.54 ± 0.295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A6D9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3.00 ± 0.101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A9DE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17.7 ± 0.730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8B0A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5.08 ± 0.220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e</w:t>
            </w:r>
          </w:p>
        </w:tc>
      </w:tr>
      <w:tr w:rsidR="009A5DE9" w:rsidRPr="00203682" w14:paraId="753EADE9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16EF2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Catechin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134A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3.91 ± 0.183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AEFA0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1.22 ± 0.045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B0AA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0.11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48B5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2.02 ± 0.092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2B7B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0.10 ± 0.002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3B317AFB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A2C56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EGCG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C8AC9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0.197 ± 0.007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536F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A36A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ED8B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BD11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0.180 ± 0.040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9A5DE9" w:rsidRPr="00203682" w14:paraId="29E91B95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7D35C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Quercetin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6B0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0.064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9E57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0.608 ± 0.025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614B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0.078 ± 0.002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5068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0.077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800F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0.052 ± 0.002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</w:tr>
      <w:tr w:rsidR="009A5DE9" w:rsidRPr="00203682" w14:paraId="0662C585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3EAA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Naringenin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F275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4566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2.47 ± 0.100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43AB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D2AE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0.237 ± 0.011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421D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0.312 ± 0.014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54AB1CB1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402A54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03682">
              <w:rPr>
                <w:rFonts w:ascii="Times New Roman" w:hAnsi="Times New Roman"/>
                <w:color w:val="000000"/>
                <w:sz w:val="24"/>
              </w:rPr>
              <w:t>Hesperetin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4960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C8F9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8.18 ± 0.305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BE6AA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E62B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E868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</w:tr>
      <w:tr w:rsidR="009A5DE9" w:rsidRPr="00203682" w14:paraId="58CE8CE1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8889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Myricetin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DF8D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FB84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D5EC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0.087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19C0B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45219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0.161 ± 0.006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9A5DE9" w:rsidRPr="00203682" w14:paraId="42C423DC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F811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Apigenin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6F6D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0.09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765A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3743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0.138 ± 0.004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CE0C7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10AB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1.05 ± 0.041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781F58C5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0768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Naringin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08F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0DA0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DA50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EFE4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D29F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0.717± 0.024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</w:tr>
      <w:tr w:rsidR="009A5DE9" w:rsidRPr="00203682" w14:paraId="3AECEFC6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D635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lastRenderedPageBreak/>
              <w:t>Luteolin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80E0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0.15 ± 0.006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F79E4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3D4A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E6A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0.06 ± 0.002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7D2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2.01 ± 0.093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7F6441F0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7580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Rutin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89088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1.45 ± 0.064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D8DA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FBD6C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2A0D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2.49 ± 0.102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31325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0.347 ± 0.012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461BD67E" w14:textId="77777777" w:rsidTr="00C64B67">
        <w:trPr>
          <w:jc w:val="right"/>
        </w:trPr>
        <w:tc>
          <w:tcPr>
            <w:tcW w:w="8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7F5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Polyphenolic acid*</w:t>
            </w:r>
          </w:p>
        </w:tc>
      </w:tr>
      <w:tr w:rsidR="009A5DE9" w:rsidRPr="00203682" w14:paraId="177C0C45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067D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Chlorogenic acid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D0C5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7.58 ± 0.325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FEA0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2.93 ± 0.110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3039C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0.217 ± 0.09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E606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 xml:space="preserve">3.71 </w:t>
            </w:r>
            <w:proofErr w:type="gramStart"/>
            <w:r w:rsidRPr="00203682">
              <w:rPr>
                <w:rFonts w:ascii="Times New Roman" w:hAnsi="Times New Roman"/>
                <w:color w:val="000000"/>
                <w:sz w:val="24"/>
              </w:rPr>
              <w:t>±  0</w:t>
            </w:r>
            <w:proofErr w:type="gramEnd"/>
            <w:r w:rsidRPr="00203682">
              <w:rPr>
                <w:rFonts w:ascii="Times New Roman" w:hAnsi="Times New Roman"/>
                <w:color w:val="000000"/>
                <w:sz w:val="24"/>
              </w:rPr>
              <w:t>.142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FD8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0.458 ± 0.018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e</w:t>
            </w:r>
          </w:p>
        </w:tc>
      </w:tr>
      <w:tr w:rsidR="009A5DE9" w:rsidRPr="00203682" w14:paraId="677CDA12" w14:textId="77777777" w:rsidTr="00C64B67">
        <w:trPr>
          <w:jc w:val="right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CEF7FF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03682">
              <w:rPr>
                <w:rFonts w:ascii="Times New Roman" w:hAnsi="Times New Roman"/>
                <w:color w:val="000000"/>
                <w:sz w:val="24"/>
              </w:rPr>
              <w:t>pHBA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nil"/>
              <w:right w:val="nil"/>
            </w:tcBorders>
          </w:tcPr>
          <w:p w14:paraId="5B0C285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1.07 ± 0.045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right w:val="nil"/>
            </w:tcBorders>
          </w:tcPr>
          <w:p w14:paraId="7C73E7F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1.64 ± 0.076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nil"/>
            </w:tcBorders>
          </w:tcPr>
          <w:p w14:paraId="0596090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1.45 ± 0.032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right w:val="nil"/>
            </w:tcBorders>
          </w:tcPr>
          <w:p w14:paraId="67E62557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1.86 ± 0.057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3370D9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0.749 ± 0.08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e</w:t>
            </w:r>
          </w:p>
        </w:tc>
      </w:tr>
      <w:tr w:rsidR="009A5DE9" w:rsidRPr="00203682" w14:paraId="4E5F81C6" w14:textId="77777777" w:rsidTr="00C64B67">
        <w:trPr>
          <w:jc w:val="right"/>
        </w:trPr>
        <w:tc>
          <w:tcPr>
            <w:tcW w:w="1643" w:type="dxa"/>
            <w:tcBorders>
              <w:left w:val="single" w:sz="4" w:space="0" w:color="auto"/>
              <w:right w:val="nil"/>
            </w:tcBorders>
          </w:tcPr>
          <w:p w14:paraId="3BC6C8F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Caffeic acid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5417C5A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0.568 ± 0.021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2F076EE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0.197 ± 0.007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4B36E48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5.60 ± 0.19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13E9902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0.395 ± 0.013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  <w:tc>
          <w:tcPr>
            <w:tcW w:w="1362" w:type="dxa"/>
            <w:tcBorders>
              <w:left w:val="nil"/>
              <w:right w:val="single" w:sz="4" w:space="0" w:color="auto"/>
            </w:tcBorders>
          </w:tcPr>
          <w:p w14:paraId="024C90E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6.43 ± 0.304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e</w:t>
            </w:r>
          </w:p>
        </w:tc>
      </w:tr>
      <w:tr w:rsidR="009A5DE9" w:rsidRPr="00203682" w14:paraId="40E1C46B" w14:textId="77777777" w:rsidTr="00C64B67">
        <w:trPr>
          <w:jc w:val="right"/>
        </w:trPr>
        <w:tc>
          <w:tcPr>
            <w:tcW w:w="1643" w:type="dxa"/>
            <w:tcBorders>
              <w:left w:val="single" w:sz="4" w:space="0" w:color="auto"/>
              <w:right w:val="nil"/>
            </w:tcBorders>
          </w:tcPr>
          <w:p w14:paraId="410267F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203682">
              <w:rPr>
                <w:rFonts w:ascii="Times New Roman" w:hAnsi="Times New Roman"/>
                <w:color w:val="000000"/>
                <w:sz w:val="24"/>
              </w:rPr>
              <w:t>Ferrulic</w:t>
            </w:r>
            <w:proofErr w:type="spellEnd"/>
            <w:r w:rsidRPr="00203682">
              <w:rPr>
                <w:rFonts w:ascii="Times New Roman" w:hAnsi="Times New Roman"/>
                <w:color w:val="000000"/>
                <w:sz w:val="24"/>
              </w:rPr>
              <w:t xml:space="preserve"> acid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145A5F5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0.874 ± 0.039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A078D4D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1.20 ± 0.041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3EC4ABD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1A026F3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0.619 ± 0.023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  <w:tc>
          <w:tcPr>
            <w:tcW w:w="1362" w:type="dxa"/>
            <w:tcBorders>
              <w:left w:val="nil"/>
              <w:right w:val="single" w:sz="4" w:space="0" w:color="auto"/>
            </w:tcBorders>
          </w:tcPr>
          <w:p w14:paraId="6A726035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2.24 ± 0.100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d</w:t>
            </w:r>
          </w:p>
        </w:tc>
      </w:tr>
      <w:tr w:rsidR="009A5DE9" w:rsidRPr="00203682" w14:paraId="4EF1EE62" w14:textId="77777777" w:rsidTr="00C64B67">
        <w:trPr>
          <w:jc w:val="right"/>
        </w:trPr>
        <w:tc>
          <w:tcPr>
            <w:tcW w:w="1643" w:type="dxa"/>
            <w:tcBorders>
              <w:left w:val="single" w:sz="4" w:space="0" w:color="auto"/>
              <w:right w:val="nil"/>
            </w:tcBorders>
          </w:tcPr>
          <w:p w14:paraId="30391DA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Protocatechuic acid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1A3469C4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0.605 ± 0.027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67CA379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2.22 ± 0.100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53C4000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2141509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62" w:type="dxa"/>
            <w:tcBorders>
              <w:left w:val="nil"/>
              <w:right w:val="single" w:sz="4" w:space="0" w:color="auto"/>
            </w:tcBorders>
          </w:tcPr>
          <w:p w14:paraId="61BDF1CB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1.09 ± 0.042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0C7A582F" w14:textId="77777777" w:rsidTr="00C64B67">
        <w:trPr>
          <w:jc w:val="right"/>
        </w:trPr>
        <w:tc>
          <w:tcPr>
            <w:tcW w:w="1643" w:type="dxa"/>
            <w:tcBorders>
              <w:left w:val="single" w:sz="4" w:space="0" w:color="auto"/>
              <w:right w:val="nil"/>
            </w:tcBorders>
          </w:tcPr>
          <w:p w14:paraId="3253062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p-coumaric acid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36211816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0.195 ± 0.007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2EA5C3C2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2853B30F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2E09082A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0.131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62" w:type="dxa"/>
            <w:tcBorders>
              <w:left w:val="nil"/>
              <w:right w:val="single" w:sz="4" w:space="0" w:color="auto"/>
            </w:tcBorders>
          </w:tcPr>
          <w:p w14:paraId="2B8AF23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0.614 ± 0.0271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  <w:tr w:rsidR="009A5DE9" w:rsidRPr="00203682" w14:paraId="0DF5EEB9" w14:textId="77777777" w:rsidTr="00C64B67">
        <w:trPr>
          <w:jc w:val="right"/>
        </w:trPr>
        <w:tc>
          <w:tcPr>
            <w:tcW w:w="1643" w:type="dxa"/>
            <w:tcBorders>
              <w:left w:val="single" w:sz="4" w:space="0" w:color="auto"/>
              <w:right w:val="nil"/>
            </w:tcBorders>
          </w:tcPr>
          <w:p w14:paraId="4C95CBC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Gallic acid</w:t>
            </w:r>
          </w:p>
        </w:tc>
        <w:tc>
          <w:tcPr>
            <w:tcW w:w="1475" w:type="dxa"/>
            <w:tcBorders>
              <w:left w:val="nil"/>
              <w:right w:val="nil"/>
            </w:tcBorders>
          </w:tcPr>
          <w:p w14:paraId="29B68C4C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0.253 ± 0.010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334" w:type="dxa"/>
            <w:tcBorders>
              <w:left w:val="nil"/>
              <w:right w:val="nil"/>
            </w:tcBorders>
          </w:tcPr>
          <w:p w14:paraId="5B3109A3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358" w:type="dxa"/>
            <w:tcBorders>
              <w:left w:val="nil"/>
              <w:right w:val="nil"/>
            </w:tcBorders>
          </w:tcPr>
          <w:p w14:paraId="034B9DB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&lt;LOD</w:t>
            </w:r>
          </w:p>
        </w:tc>
        <w:tc>
          <w:tcPr>
            <w:tcW w:w="1458" w:type="dxa"/>
            <w:tcBorders>
              <w:left w:val="nil"/>
              <w:right w:val="nil"/>
            </w:tcBorders>
          </w:tcPr>
          <w:p w14:paraId="06EF283E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0.120 ± 0.003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b</w:t>
            </w:r>
          </w:p>
        </w:tc>
        <w:tc>
          <w:tcPr>
            <w:tcW w:w="1362" w:type="dxa"/>
            <w:tcBorders>
              <w:left w:val="nil"/>
              <w:right w:val="single" w:sz="4" w:space="0" w:color="auto"/>
            </w:tcBorders>
          </w:tcPr>
          <w:p w14:paraId="1FE77811" w14:textId="77777777" w:rsidR="009A5DE9" w:rsidRPr="00203682" w:rsidRDefault="009A5DE9" w:rsidP="00C64B67">
            <w:pPr>
              <w:spacing w:after="160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03682">
              <w:rPr>
                <w:rFonts w:ascii="Times New Roman" w:hAnsi="Times New Roman"/>
                <w:color w:val="000000"/>
                <w:sz w:val="24"/>
              </w:rPr>
              <w:t>0.07 ± 0.002</w:t>
            </w:r>
            <w:r w:rsidRPr="00203682">
              <w:rPr>
                <w:rFonts w:ascii="Times New Roman" w:hAnsi="Times New Roman"/>
                <w:color w:val="000000"/>
                <w:sz w:val="24"/>
                <w:vertAlign w:val="superscript"/>
              </w:rPr>
              <w:t>c</w:t>
            </w:r>
          </w:p>
        </w:tc>
      </w:tr>
    </w:tbl>
    <w:p w14:paraId="2ED3EF89" w14:textId="77777777" w:rsidR="009A5DE9" w:rsidRDefault="009A5DE9" w:rsidP="009A5DE9">
      <w:pPr>
        <w:pStyle w:val="PlainText"/>
        <w:spacing w:line="48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449AB86" w14:textId="3565D876" w:rsidR="00151741" w:rsidRDefault="00322B73" w:rsidP="008F367F">
      <w:pPr>
        <w:jc w:val="both"/>
      </w:pPr>
      <w:r w:rsidRPr="00322B73">
        <w:rPr>
          <w:rFonts w:eastAsiaTheme="minorHAnsi" w:cs="Arial"/>
          <w:color w:val="000000"/>
          <w:szCs w:val="20"/>
        </w:rPr>
        <w:t xml:space="preserve">Results are expressed in mg/L as the mean ± SD of three independent repetitions. </w:t>
      </w:r>
      <w:r w:rsidRPr="008F367F">
        <w:rPr>
          <w:rFonts w:eastAsiaTheme="minorHAnsi" w:cs="Arial"/>
          <w:color w:val="000000"/>
          <w:szCs w:val="20"/>
          <w:vertAlign w:val="superscript"/>
        </w:rPr>
        <w:t>a,</w:t>
      </w:r>
      <w:r w:rsidR="006C71FE">
        <w:rPr>
          <w:rFonts w:eastAsiaTheme="minorHAnsi" w:cs="Arial"/>
          <w:color w:val="000000"/>
          <w:szCs w:val="20"/>
          <w:vertAlign w:val="superscript"/>
        </w:rPr>
        <w:t xml:space="preserve"> </w:t>
      </w:r>
      <w:r w:rsidRPr="008F367F">
        <w:rPr>
          <w:rFonts w:eastAsiaTheme="minorHAnsi" w:cs="Arial"/>
          <w:color w:val="000000"/>
          <w:szCs w:val="20"/>
          <w:vertAlign w:val="superscript"/>
        </w:rPr>
        <w:t>b,</w:t>
      </w:r>
      <w:r w:rsidR="006C71FE">
        <w:rPr>
          <w:rFonts w:eastAsiaTheme="minorHAnsi" w:cs="Arial"/>
          <w:color w:val="000000"/>
          <w:szCs w:val="20"/>
          <w:vertAlign w:val="superscript"/>
        </w:rPr>
        <w:t xml:space="preserve"> </w:t>
      </w:r>
      <w:r w:rsidRPr="008F367F">
        <w:rPr>
          <w:rFonts w:eastAsiaTheme="minorHAnsi" w:cs="Arial"/>
          <w:color w:val="000000"/>
          <w:szCs w:val="20"/>
          <w:vertAlign w:val="superscript"/>
        </w:rPr>
        <w:t>c</w:t>
      </w:r>
      <w:r w:rsidR="008F367F" w:rsidRPr="008F367F">
        <w:rPr>
          <w:rFonts w:eastAsiaTheme="minorHAnsi" w:cs="Arial"/>
          <w:color w:val="000000"/>
          <w:szCs w:val="20"/>
          <w:vertAlign w:val="superscript"/>
        </w:rPr>
        <w:t>, d, e</w:t>
      </w:r>
      <w:r w:rsidRPr="00322B73">
        <w:rPr>
          <w:rFonts w:eastAsiaTheme="minorHAnsi" w:cs="Arial"/>
          <w:color w:val="000000"/>
          <w:szCs w:val="20"/>
        </w:rPr>
        <w:t xml:space="preserve"> </w:t>
      </w:r>
      <w:proofErr w:type="gramStart"/>
      <w:r w:rsidRPr="00322B73">
        <w:rPr>
          <w:rFonts w:eastAsiaTheme="minorHAnsi" w:cs="Arial"/>
          <w:color w:val="000000"/>
          <w:szCs w:val="20"/>
        </w:rPr>
        <w:t>mean</w:t>
      </w:r>
      <w:proofErr w:type="gramEnd"/>
      <w:r w:rsidRPr="00322B73">
        <w:rPr>
          <w:rFonts w:eastAsiaTheme="minorHAnsi" w:cs="Arial"/>
          <w:color w:val="000000"/>
          <w:szCs w:val="20"/>
        </w:rPr>
        <w:t xml:space="preserve"> values of polyphenolic compound (columns) denoted by the same letter did not differ significantly (p=0.05). LOD—limit of detection, the lowest concentration of the polyphenolic compound that can be detected by the applied method. In our method, it is 0.01 mg/L.</w:t>
      </w:r>
    </w:p>
    <w:sectPr w:rsidR="0015174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BD8F" w14:textId="77777777" w:rsidR="00D81412" w:rsidRDefault="00D81412" w:rsidP="009A3CFB">
      <w:pPr>
        <w:spacing w:line="240" w:lineRule="auto"/>
      </w:pPr>
      <w:r>
        <w:separator/>
      </w:r>
    </w:p>
  </w:endnote>
  <w:endnote w:type="continuationSeparator" w:id="0">
    <w:p w14:paraId="3F0ED938" w14:textId="77777777" w:rsidR="00D81412" w:rsidRDefault="00D81412" w:rsidP="009A3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51E7" w14:textId="4115CCC6" w:rsidR="009A3CFB" w:rsidRDefault="009A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5DA297" wp14:editId="67225C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55840415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C9E8D" w14:textId="1F2B4E7B" w:rsidR="009A3CFB" w:rsidRPr="009A3CFB" w:rsidRDefault="009A3CFB" w:rsidP="009A3C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C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DA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00C9E8D" w14:textId="1F2B4E7B" w:rsidR="009A3CFB" w:rsidRPr="009A3CFB" w:rsidRDefault="009A3CFB" w:rsidP="009A3C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C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27FF" w14:textId="36CC917F" w:rsidR="009A3CFB" w:rsidRDefault="009A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F68D7A" wp14:editId="7C0CB654">
              <wp:simplePos x="904875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5193451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91281" w14:textId="44D7AB5D" w:rsidR="009A3CFB" w:rsidRPr="009A3CFB" w:rsidRDefault="009A3CFB" w:rsidP="009A3C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C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68D7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8C91281" w14:textId="44D7AB5D" w:rsidR="009A3CFB" w:rsidRPr="009A3CFB" w:rsidRDefault="009A3CFB" w:rsidP="009A3C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C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388B" w14:textId="019CD88E" w:rsidR="009A3CFB" w:rsidRDefault="009A3C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2C8138" wp14:editId="70A8F6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03392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4BD30" w14:textId="034ACC8F" w:rsidR="009A3CFB" w:rsidRPr="009A3CFB" w:rsidRDefault="009A3CFB" w:rsidP="009A3CF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3CF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C81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534BD30" w14:textId="034ACC8F" w:rsidR="009A3CFB" w:rsidRPr="009A3CFB" w:rsidRDefault="009A3CFB" w:rsidP="009A3CF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3CF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B86A" w14:textId="77777777" w:rsidR="00D81412" w:rsidRDefault="00D81412" w:rsidP="009A3CFB">
      <w:pPr>
        <w:spacing w:line="240" w:lineRule="auto"/>
      </w:pPr>
      <w:r>
        <w:separator/>
      </w:r>
    </w:p>
  </w:footnote>
  <w:footnote w:type="continuationSeparator" w:id="0">
    <w:p w14:paraId="2EF21DB9" w14:textId="77777777" w:rsidR="00D81412" w:rsidRDefault="00D81412" w:rsidP="009A3C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E9"/>
    <w:rsid w:val="00151741"/>
    <w:rsid w:val="00322B73"/>
    <w:rsid w:val="006C71FE"/>
    <w:rsid w:val="008F367F"/>
    <w:rsid w:val="009A3CFB"/>
    <w:rsid w:val="009A5DE9"/>
    <w:rsid w:val="00A436DC"/>
    <w:rsid w:val="00D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6469"/>
  <w15:chartTrackingRefBased/>
  <w15:docId w15:val="{06AF3973-5B29-4AB2-B57F-A91E082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DE9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9A5D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5DE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5DE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DPI21heading1">
    <w:name w:val="MDPI_2.1_heading1"/>
    <w:qFormat/>
    <w:rsid w:val="009A5DE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table" w:styleId="TableGrid">
    <w:name w:val="Table Grid"/>
    <w:basedOn w:val="TableNormal"/>
    <w:uiPriority w:val="39"/>
    <w:rsid w:val="009A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A5DE9"/>
    <w:pPr>
      <w:spacing w:line="240" w:lineRule="auto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9A5DE9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D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E9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67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67F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3CF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CFB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grudam</dc:creator>
  <cp:keywords/>
  <dc:description/>
  <cp:lastModifiedBy>Murphy, Alexandra</cp:lastModifiedBy>
  <cp:revision>5</cp:revision>
  <dcterms:created xsi:type="dcterms:W3CDTF">2025-01-30T09:54:00Z</dcterms:created>
  <dcterms:modified xsi:type="dcterms:W3CDTF">2025-02-06T21:18:00Z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85d6854,5ce35c3a,1ef49410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2025-02-06T21:18:58Z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4f705281-8917-4084-b341-f537628fc42e</vt:lpwstr>
  </property>
  <property fmtid="{D5CDD505-2E9C-101B-9397-08002B2CF9AE}" pid="11" name="MSIP_Label_2bbab825-a111-45e4-86a1-18cee0005896_ContentBits">
    <vt:lpwstr>2</vt:lpwstr>
  </property>
</Properties>
</file>