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B8565F">
      <w:pPr>
        <w:spacing w:line="360" w:lineRule="auto"/>
        <w:jc w:val="center"/>
        <w:rPr>
          <w:rFonts w:ascii="Arial" w:hAnsi="Arial" w:eastAsia="宋体" w:cs="Arial"/>
          <w:b/>
          <w:bCs/>
          <w:sz w:val="32"/>
          <w:szCs w:val="40"/>
        </w:rPr>
      </w:pPr>
      <w:bookmarkStart w:id="3" w:name="_GoBack"/>
      <w:bookmarkEnd w:id="3"/>
      <w:bookmarkStart w:id="0" w:name="_Toc19890"/>
      <w:r>
        <w:rPr>
          <w:rFonts w:ascii="Arial" w:hAnsi="Arial" w:eastAsia="宋体" w:cs="Arial"/>
          <w:b/>
          <w:bCs/>
          <w:sz w:val="32"/>
          <w:szCs w:val="40"/>
        </w:rPr>
        <w:t>Supplementary Information</w:t>
      </w:r>
      <w:bookmarkEnd w:id="0"/>
    </w:p>
    <w:p w14:paraId="7AD66368">
      <w:pPr>
        <w:spacing w:line="360" w:lineRule="auto"/>
        <w:rPr>
          <w:rFonts w:ascii="Arial" w:hAnsi="Arial" w:cs="Arial"/>
          <w:sz w:val="22"/>
          <w:szCs w:val="22"/>
        </w:rPr>
      </w:pPr>
      <w:r>
        <w:rPr>
          <w:rFonts w:ascii="Arial" w:hAnsi="Arial" w:cs="Arial"/>
          <w:b/>
          <w:bCs/>
          <w:sz w:val="22"/>
          <w:szCs w:val="22"/>
        </w:rPr>
        <w:t xml:space="preserve">Title: </w:t>
      </w:r>
      <w:r>
        <w:rPr>
          <w:rFonts w:ascii="Arial" w:hAnsi="Arial" w:cs="Arial"/>
          <w:sz w:val="22"/>
          <w:szCs w:val="22"/>
        </w:rPr>
        <w:t>Core-Shell Magnetic Nanocarriers: Fe</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bscript"/>
        </w:rPr>
        <w:t>4</w:t>
      </w:r>
      <w:r>
        <w:rPr>
          <w:rFonts w:ascii="Arial" w:hAnsi="Arial" w:cs="Arial"/>
          <w:sz w:val="22"/>
          <w:szCs w:val="22"/>
        </w:rPr>
        <w:t>-Hydroxyapatite/Polysuccinimide Hybrids for Enhanced Oral Bioavailability of Fluorouracil</w:t>
      </w:r>
    </w:p>
    <w:p w14:paraId="0DB09860">
      <w:pPr>
        <w:spacing w:line="360" w:lineRule="auto"/>
        <w:rPr>
          <w:rFonts w:ascii="Arial" w:hAnsi="Arial" w:cs="Arial"/>
          <w:sz w:val="22"/>
          <w:szCs w:val="22"/>
        </w:rPr>
      </w:pPr>
      <w:r>
        <w:rPr>
          <w:rFonts w:ascii="Arial" w:hAnsi="Arial" w:cs="Arial"/>
          <w:b/>
          <w:bCs/>
          <w:sz w:val="22"/>
          <w:szCs w:val="22"/>
        </w:rPr>
        <w:t>Author:</w:t>
      </w:r>
      <w:r>
        <w:rPr>
          <w:rFonts w:ascii="Arial" w:hAnsi="Arial" w:cs="Arial"/>
          <w:sz w:val="22"/>
          <w:szCs w:val="22"/>
        </w:rPr>
        <w:t xml:space="preserve"> Wenhui Zhang </w:t>
      </w:r>
      <w:r>
        <w:rPr>
          <w:rFonts w:ascii="Arial" w:hAnsi="Arial" w:cs="Arial"/>
          <w:sz w:val="22"/>
          <w:szCs w:val="22"/>
          <w:vertAlign w:val="superscript"/>
        </w:rPr>
        <w:t>1</w:t>
      </w:r>
      <w:r>
        <w:rPr>
          <w:rFonts w:ascii="Arial" w:hAnsi="Arial" w:cs="Arial"/>
          <w:sz w:val="22"/>
          <w:szCs w:val="22"/>
        </w:rPr>
        <w:t xml:space="preserve">, Qiang Wang </w:t>
      </w:r>
      <w:r>
        <w:rPr>
          <w:rFonts w:ascii="Arial" w:hAnsi="Arial" w:cs="Arial"/>
          <w:sz w:val="22"/>
          <w:szCs w:val="22"/>
          <w:vertAlign w:val="superscript"/>
        </w:rPr>
        <w:t>2</w:t>
      </w:r>
      <w:r>
        <w:rPr>
          <w:rFonts w:ascii="Arial" w:hAnsi="Arial" w:cs="Arial"/>
          <w:sz w:val="22"/>
          <w:szCs w:val="22"/>
        </w:rPr>
        <w:t xml:space="preserve">, Fengguo Zhai </w:t>
      </w:r>
      <w:r>
        <w:rPr>
          <w:rFonts w:ascii="Arial" w:hAnsi="Arial" w:cs="Arial"/>
          <w:sz w:val="22"/>
          <w:szCs w:val="22"/>
          <w:vertAlign w:val="superscript"/>
        </w:rPr>
        <w:t>1</w:t>
      </w:r>
      <w:r>
        <w:rPr>
          <w:rFonts w:ascii="Arial" w:hAnsi="Arial" w:cs="Arial"/>
          <w:sz w:val="22"/>
          <w:szCs w:val="22"/>
        </w:rPr>
        <w:t xml:space="preserve">, Xingjun Fan </w:t>
      </w:r>
      <w:r>
        <w:rPr>
          <w:rFonts w:ascii="Arial" w:hAnsi="Arial" w:cs="Arial"/>
          <w:sz w:val="22"/>
          <w:szCs w:val="22"/>
          <w:vertAlign w:val="superscript"/>
        </w:rPr>
        <w:t>3</w:t>
      </w:r>
      <w:r>
        <w:rPr>
          <w:rFonts w:ascii="Arial" w:hAnsi="Arial" w:cs="Arial"/>
          <w:sz w:val="22"/>
          <w:szCs w:val="22"/>
        </w:rPr>
        <w:t xml:space="preserve">, Fanqin Meng </w:t>
      </w:r>
      <w:r>
        <w:rPr>
          <w:rFonts w:ascii="Arial" w:hAnsi="Arial" w:cs="Arial"/>
          <w:sz w:val="22"/>
          <w:szCs w:val="22"/>
          <w:vertAlign w:val="superscript"/>
        </w:rPr>
        <w:t>1</w:t>
      </w:r>
      <w:r>
        <w:rPr>
          <w:rFonts w:ascii="Arial" w:hAnsi="Arial" w:cs="Arial"/>
          <w:sz w:val="22"/>
          <w:szCs w:val="22"/>
        </w:rPr>
        <w:t xml:space="preserve">, Guangzhi Shen </w:t>
      </w:r>
      <w:r>
        <w:rPr>
          <w:rFonts w:ascii="Arial" w:hAnsi="Arial" w:cs="Arial"/>
          <w:sz w:val="22"/>
          <w:szCs w:val="22"/>
          <w:vertAlign w:val="superscript"/>
        </w:rPr>
        <w:t>1</w:t>
      </w:r>
      <w:r>
        <w:rPr>
          <w:rFonts w:ascii="Arial" w:hAnsi="Arial" w:cs="Arial"/>
          <w:sz w:val="22"/>
          <w:szCs w:val="22"/>
        </w:rPr>
        <w:t xml:space="preserve">, Ying Zhu </w:t>
      </w:r>
      <w:r>
        <w:rPr>
          <w:rFonts w:ascii="Arial" w:hAnsi="Arial" w:cs="Arial"/>
          <w:sz w:val="22"/>
          <w:szCs w:val="22"/>
          <w:vertAlign w:val="superscript"/>
        </w:rPr>
        <w:t>1</w:t>
      </w:r>
      <w:r>
        <w:rPr>
          <w:rFonts w:ascii="Arial" w:hAnsi="Arial" w:cs="Arial"/>
          <w:sz w:val="22"/>
          <w:szCs w:val="22"/>
        </w:rPr>
        <w:t xml:space="preserve">, Jingdan Cao </w:t>
      </w:r>
      <w:r>
        <w:rPr>
          <w:rFonts w:ascii="Arial" w:hAnsi="Arial" w:cs="Arial"/>
          <w:sz w:val="22"/>
          <w:szCs w:val="22"/>
          <w:vertAlign w:val="superscript"/>
        </w:rPr>
        <w:t>1</w:t>
      </w:r>
      <w:r>
        <w:rPr>
          <w:rFonts w:ascii="Arial" w:hAnsi="Arial" w:cs="Arial"/>
          <w:sz w:val="22"/>
          <w:szCs w:val="22"/>
        </w:rPr>
        <w:t>, Fengbo Yu</w:t>
      </w:r>
      <w:r>
        <w:rPr>
          <w:rFonts w:ascii="Arial" w:hAnsi="Arial" w:cs="Arial"/>
          <w:sz w:val="22"/>
          <w:szCs w:val="22"/>
          <w:vertAlign w:val="superscript"/>
        </w:rPr>
        <w:t xml:space="preserve"> 1*</w:t>
      </w:r>
    </w:p>
    <w:p w14:paraId="4AD25DA3">
      <w:pPr>
        <w:spacing w:line="360" w:lineRule="auto"/>
        <w:rPr>
          <w:rFonts w:ascii="Arial" w:hAnsi="Arial" w:cs="Arial"/>
          <w:sz w:val="22"/>
          <w:szCs w:val="22"/>
        </w:rPr>
      </w:pPr>
      <w:r>
        <w:rPr>
          <w:rFonts w:ascii="Arial" w:hAnsi="Arial" w:cs="Arial"/>
          <w:b/>
          <w:bCs/>
          <w:sz w:val="22"/>
          <w:szCs w:val="22"/>
        </w:rPr>
        <w:t xml:space="preserve">Author affiliations: </w:t>
      </w:r>
      <w:r>
        <w:rPr>
          <w:rFonts w:ascii="Arial" w:hAnsi="Arial" w:cs="Arial"/>
          <w:sz w:val="22"/>
          <w:szCs w:val="22"/>
          <w:vertAlign w:val="superscript"/>
        </w:rPr>
        <w:t>1</w:t>
      </w:r>
      <w:r>
        <w:rPr>
          <w:rFonts w:ascii="Arial" w:hAnsi="Arial" w:cs="Arial"/>
          <w:sz w:val="22"/>
          <w:szCs w:val="22"/>
        </w:rPr>
        <w:t xml:space="preserve"> School of Pharmacy, Mudanjiang Medical University, Mudanjiang 157011, People’s Republic of China; </w:t>
      </w:r>
      <w:r>
        <w:rPr>
          <w:rFonts w:ascii="Arial" w:hAnsi="Arial" w:cs="Arial"/>
          <w:sz w:val="22"/>
          <w:szCs w:val="22"/>
          <w:vertAlign w:val="superscript"/>
        </w:rPr>
        <w:t>2</w:t>
      </w:r>
      <w:r>
        <w:rPr>
          <w:rFonts w:ascii="Arial" w:hAnsi="Arial" w:cs="Arial"/>
          <w:sz w:val="22"/>
          <w:szCs w:val="22"/>
        </w:rPr>
        <w:t xml:space="preserve"> Hongqi People Hospital, Mudanjiang Medical University, Mudanjiang 157011, People’s Republic of China; </w:t>
      </w:r>
      <w:r>
        <w:rPr>
          <w:rFonts w:ascii="Arial" w:hAnsi="Arial" w:cs="Arial"/>
          <w:sz w:val="22"/>
          <w:szCs w:val="22"/>
          <w:vertAlign w:val="superscript"/>
        </w:rPr>
        <w:t>3</w:t>
      </w:r>
      <w:r>
        <w:rPr>
          <w:rFonts w:ascii="Arial" w:hAnsi="Arial" w:cs="Arial"/>
          <w:sz w:val="22"/>
          <w:szCs w:val="22"/>
        </w:rPr>
        <w:t xml:space="preserve"> School of Public Health, Mudanjiang Medical University, Mudanjiang 157011, People’s Republic of China </w:t>
      </w:r>
    </w:p>
    <w:p w14:paraId="035F09FD">
      <w:pPr>
        <w:spacing w:line="360" w:lineRule="auto"/>
        <w:rPr>
          <w:rFonts w:ascii="Arial" w:hAnsi="Arial" w:cs="Arial"/>
          <w:sz w:val="22"/>
          <w:szCs w:val="22"/>
        </w:rPr>
      </w:pPr>
      <w:r>
        <w:rPr>
          <w:rFonts w:ascii="Arial" w:hAnsi="Arial" w:cs="Arial"/>
          <w:b/>
          <w:bCs/>
          <w:sz w:val="22"/>
          <w:szCs w:val="22"/>
        </w:rPr>
        <w:t>Correspondence:</w:t>
      </w:r>
      <w:r>
        <w:rPr>
          <w:rFonts w:ascii="Arial" w:hAnsi="Arial" w:cs="Arial"/>
          <w:sz w:val="22"/>
          <w:szCs w:val="22"/>
        </w:rPr>
        <w:t xml:space="preserve"> Fengbo Yu </w:t>
      </w:r>
    </w:p>
    <w:p w14:paraId="700EE53B">
      <w:pPr>
        <w:spacing w:line="360" w:lineRule="auto"/>
        <w:rPr>
          <w:rFonts w:ascii="Arial" w:hAnsi="Arial" w:cs="Arial"/>
          <w:sz w:val="22"/>
          <w:szCs w:val="22"/>
        </w:rPr>
      </w:pPr>
      <w:r>
        <w:rPr>
          <w:rFonts w:ascii="Arial" w:hAnsi="Arial" w:cs="Arial"/>
          <w:sz w:val="22"/>
          <w:szCs w:val="22"/>
        </w:rPr>
        <w:t xml:space="preserve">School of Pharmacy, Mudanjiang Medical University, Mudanjiang 157011, People’s Republic of China </w:t>
      </w:r>
    </w:p>
    <w:p w14:paraId="067CFCBA">
      <w:pPr>
        <w:spacing w:line="360" w:lineRule="auto"/>
        <w:rPr>
          <w:rFonts w:ascii="Arial" w:hAnsi="Arial" w:cs="Arial"/>
          <w:sz w:val="22"/>
          <w:szCs w:val="22"/>
        </w:rPr>
      </w:pPr>
      <w:r>
        <w:rPr>
          <w:rFonts w:ascii="Arial" w:hAnsi="Arial" w:cs="Arial"/>
          <w:sz w:val="22"/>
          <w:szCs w:val="22"/>
        </w:rPr>
        <w:t>Email: yfb526@126.com</w:t>
      </w:r>
    </w:p>
    <w:p w14:paraId="03F81B74">
      <w:pPr>
        <w:spacing w:line="360" w:lineRule="auto"/>
        <w:rPr>
          <w:rFonts w:ascii="Times New Roman" w:hAnsi="Times New Roman" w:cs="Times New Roman"/>
          <w:sz w:val="22"/>
          <w:szCs w:val="22"/>
        </w:rPr>
      </w:pPr>
      <w:r>
        <w:rPr>
          <w:rFonts w:ascii="Times New Roman" w:hAnsi="Times New Roman" w:cs="Times New Roman"/>
          <w:sz w:val="22"/>
          <w:szCs w:val="22"/>
        </w:rPr>
        <w:t xml:space="preserve"> </w:t>
      </w:r>
    </w:p>
    <w:p w14:paraId="6041E73D">
      <w:pPr>
        <w:spacing w:line="360" w:lineRule="auto"/>
        <w:rPr>
          <w:rFonts w:ascii="Times New Roman" w:hAnsi="Times New Roman" w:cs="Times New Roman"/>
          <w:sz w:val="22"/>
          <w:szCs w:val="22"/>
        </w:rPr>
      </w:pPr>
      <w:r>
        <w:rPr>
          <w:rFonts w:ascii="Times New Roman" w:hAnsi="Times New Roman" w:cs="Times New Roman"/>
          <w:sz w:val="22"/>
          <w:szCs w:val="22"/>
        </w:rPr>
        <w:br w:type="page"/>
      </w:r>
    </w:p>
    <w:p w14:paraId="5B50EE8B">
      <w:pPr>
        <w:pStyle w:val="16"/>
        <w:tabs>
          <w:tab w:val="right" w:leader="dot" w:pos="9208"/>
        </w:tabs>
        <w:spacing w:line="360" w:lineRule="auto"/>
        <w:outlineLvl w:val="0"/>
        <w:rPr>
          <w:rFonts w:ascii="Arial" w:hAnsi="Arial" w:eastAsia="黑体" w:cs="Arial"/>
          <w:b/>
          <w:sz w:val="24"/>
          <w:szCs w:val="24"/>
          <w:lang w:val="en-US" w:eastAsia="zh-CN"/>
        </w:rPr>
      </w:pPr>
      <w:r>
        <w:rPr>
          <w:rFonts w:ascii="Arial" w:hAnsi="Arial" w:eastAsia="黑体" w:cs="Arial"/>
          <w:b/>
          <w:sz w:val="24"/>
          <w:szCs w:val="24"/>
          <w:lang w:val="en-US" w:eastAsia="zh-CN"/>
        </w:rPr>
        <w:t>File List:</w:t>
      </w:r>
    </w:p>
    <w:p w14:paraId="4ADC2D1A">
      <w:pPr>
        <w:numPr>
          <w:ilvl w:val="0"/>
          <w:numId w:val="1"/>
        </w:numPr>
        <w:spacing w:line="360" w:lineRule="auto"/>
        <w:rPr>
          <w:rFonts w:ascii="Arial" w:hAnsi="Arial" w:eastAsia="黑体" w:cs="Arial"/>
          <w:bCs/>
          <w:sz w:val="22"/>
          <w:szCs w:val="22"/>
        </w:rPr>
      </w:pPr>
      <w:r>
        <w:rPr>
          <w:rFonts w:ascii="Arial" w:hAnsi="Arial" w:eastAsia="黑体" w:cs="Arial"/>
          <w:bCs/>
          <w:sz w:val="22"/>
          <w:szCs w:val="22"/>
        </w:rPr>
        <w:t xml:space="preserve">Ultraviolet scanning spectra of Fluorouracil (5-FU)  </w:t>
      </w:r>
      <w:r>
        <w:rPr>
          <w:rFonts w:ascii="Arial" w:hAnsi="Arial" w:eastAsia="黑体" w:cs="Arial"/>
          <w:bCs/>
          <w:sz w:val="22"/>
          <w:szCs w:val="22"/>
        </w:rPr>
        <w:tab/>
      </w:r>
    </w:p>
    <w:p w14:paraId="7BBB19C8">
      <w:pPr>
        <w:numPr>
          <w:ilvl w:val="0"/>
          <w:numId w:val="1"/>
        </w:numPr>
        <w:spacing w:line="360" w:lineRule="auto"/>
        <w:rPr>
          <w:rFonts w:ascii="Arial" w:hAnsi="Arial" w:eastAsia="黑体" w:cs="Arial"/>
          <w:bCs/>
          <w:sz w:val="22"/>
          <w:szCs w:val="22"/>
        </w:rPr>
      </w:pPr>
      <w:r>
        <w:rPr>
          <w:rFonts w:ascii="Arial" w:hAnsi="Arial" w:eastAsia="黑体" w:cs="Arial"/>
          <w:bCs/>
          <w:sz w:val="22"/>
          <w:szCs w:val="22"/>
        </w:rPr>
        <w:t xml:space="preserve">Standard curve of Fluorouracil (5-FU) </w:t>
      </w:r>
    </w:p>
    <w:p w14:paraId="53D8F79B">
      <w:pPr>
        <w:numPr>
          <w:ilvl w:val="0"/>
          <w:numId w:val="1"/>
        </w:numPr>
        <w:spacing w:line="360" w:lineRule="auto"/>
        <w:rPr>
          <w:rFonts w:ascii="Arial" w:hAnsi="Arial" w:eastAsia="黑体" w:cs="Arial"/>
          <w:bCs/>
          <w:sz w:val="22"/>
          <w:szCs w:val="22"/>
        </w:rPr>
      </w:pPr>
      <w:bookmarkStart w:id="1" w:name="_Toc7886"/>
      <w:r>
        <w:rPr>
          <w:rFonts w:ascii="Arial" w:hAnsi="Arial" w:eastAsia="黑体" w:cs="Arial"/>
          <w:bCs/>
          <w:sz w:val="22"/>
          <w:szCs w:val="22"/>
        </w:rPr>
        <w:drawing>
          <wp:inline distT="0" distB="0" distL="114300" distR="114300">
            <wp:extent cx="635" cy="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eastAsia="黑体" w:cs="Arial"/>
          <w:bCs/>
          <w:sz w:val="22"/>
          <w:szCs w:val="22"/>
        </w:rPr>
        <w:drawing>
          <wp:inline distT="0" distB="0" distL="114300" distR="114300">
            <wp:extent cx="635" cy="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eastAsia="黑体" w:cs="Arial"/>
          <w:bCs/>
          <w:sz w:val="22"/>
          <w:szCs w:val="22"/>
        </w:rPr>
        <w:drawing>
          <wp:inline distT="0" distB="0" distL="114300" distR="114300">
            <wp:extent cx="635" cy="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eastAsia="黑体" w:cs="Arial"/>
          <w:bCs/>
          <w:sz w:val="22"/>
          <w:szCs w:val="22"/>
        </w:rPr>
        <w:drawing>
          <wp:inline distT="0" distB="0" distL="114300" distR="114300">
            <wp:extent cx="635" cy="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eastAsia="黑体" w:cs="Arial"/>
          <w:bCs/>
          <w:sz w:val="22"/>
          <w:szCs w:val="22"/>
        </w:rPr>
        <w:drawing>
          <wp:inline distT="0" distB="0" distL="114300" distR="114300">
            <wp:extent cx="635" cy="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eastAsia="黑体" w:cs="Arial"/>
          <w:bCs/>
          <w:sz w:val="22"/>
          <w:szCs w:val="22"/>
        </w:rPr>
        <w:drawing>
          <wp:inline distT="0" distB="0" distL="114300" distR="114300">
            <wp:extent cx="635" cy="0"/>
            <wp:effectExtent l="0" t="0" r="0"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eastAsia="黑体" w:cs="Arial"/>
          <w:bCs/>
          <w:sz w:val="22"/>
          <w:szCs w:val="22"/>
        </w:rPr>
        <w:drawing>
          <wp:inline distT="0" distB="0" distL="114300" distR="114300">
            <wp:extent cx="635" cy="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eastAsia="黑体" w:cs="Arial"/>
          <w:bCs/>
          <w:sz w:val="22"/>
          <w:szCs w:val="22"/>
        </w:rPr>
        <w:t>FT-IR spectra of different 5-FU@DC and</w:t>
      </w:r>
      <w:r>
        <w:rPr>
          <w:rFonts w:hint="eastAsia" w:ascii="Arial" w:hAnsi="Arial" w:eastAsia="黑体" w:cs="Arial"/>
          <w:bCs/>
          <w:sz w:val="22"/>
          <w:szCs w:val="22"/>
        </w:rPr>
        <w:t xml:space="preserve"> </w:t>
      </w:r>
      <w:r>
        <w:rPr>
          <w:rFonts w:ascii="Arial" w:hAnsi="Arial" w:eastAsia="黑体" w:cs="Arial"/>
          <w:bCs/>
          <w:sz w:val="22"/>
          <w:szCs w:val="22"/>
        </w:rPr>
        <w:t>5-FU@FeDC</w:t>
      </w:r>
    </w:p>
    <w:bookmarkEnd w:id="1"/>
    <w:p w14:paraId="459FC927">
      <w:pPr>
        <w:numPr>
          <w:ilvl w:val="0"/>
          <w:numId w:val="1"/>
        </w:numPr>
        <w:spacing w:line="360" w:lineRule="auto"/>
        <w:rPr>
          <w:rFonts w:ascii="Arial" w:hAnsi="Arial" w:eastAsia="黑体" w:cs="Arial"/>
          <w:bCs/>
          <w:sz w:val="22"/>
          <w:szCs w:val="22"/>
        </w:rPr>
      </w:pPr>
      <w:r>
        <w:rPr>
          <w:rFonts w:ascii="Arial" w:hAnsi="Arial" w:eastAsia="黑体" w:cs="Arial"/>
          <w:bCs/>
          <w:sz w:val="22"/>
          <w:szCs w:val="22"/>
        </w:rPr>
        <w:t>Hemolytic test results of different 5-@DC and 5-FU@FeDC</w:t>
      </w:r>
    </w:p>
    <w:p w14:paraId="1DF4C0D3">
      <w:pPr>
        <w:numPr>
          <w:ilvl w:val="0"/>
          <w:numId w:val="1"/>
        </w:numPr>
        <w:spacing w:line="360" w:lineRule="auto"/>
        <w:rPr>
          <w:rFonts w:ascii="Arial" w:hAnsi="Arial" w:eastAsia="黑体" w:cs="Arial"/>
          <w:bCs/>
          <w:sz w:val="22"/>
          <w:szCs w:val="22"/>
        </w:rPr>
      </w:pPr>
      <w:r>
        <w:rPr>
          <w:rFonts w:ascii="Arial" w:hAnsi="Arial" w:eastAsia="黑体" w:cs="Arial"/>
          <w:bCs/>
          <w:sz w:val="22"/>
          <w:szCs w:val="22"/>
        </w:rPr>
        <w:t>BET and pore size analysis</w:t>
      </w:r>
    </w:p>
    <w:p w14:paraId="51962875">
      <w:pPr>
        <w:spacing w:line="360" w:lineRule="auto"/>
        <w:rPr>
          <w:rFonts w:ascii="Arial" w:hAnsi="Arial" w:cs="Arial"/>
          <w:sz w:val="22"/>
          <w:szCs w:val="22"/>
        </w:rPr>
      </w:pPr>
    </w:p>
    <w:p w14:paraId="089AE720">
      <w:pPr>
        <w:rPr>
          <w:rFonts w:ascii="Times New Roman" w:hAnsi="Times New Roman" w:cs="Times New Roman"/>
          <w:sz w:val="24"/>
        </w:rPr>
      </w:pPr>
      <w:r>
        <w:rPr>
          <w:rFonts w:ascii="Times New Roman" w:hAnsi="Times New Roman" w:cs="Times New Roman"/>
          <w:sz w:val="24"/>
        </w:rPr>
        <w:br w:type="page"/>
      </w:r>
    </w:p>
    <w:p w14:paraId="39A16934">
      <w:pPr>
        <w:numPr>
          <w:ilvl w:val="0"/>
          <w:numId w:val="2"/>
        </w:numPr>
        <w:spacing w:line="360" w:lineRule="auto"/>
        <w:rPr>
          <w:rFonts w:ascii="Arial" w:hAnsi="Arial" w:eastAsia="宋体" w:cs="Arial"/>
          <w:b/>
          <w:sz w:val="22"/>
          <w:szCs w:val="22"/>
        </w:rPr>
      </w:pPr>
      <w:r>
        <w:rPr>
          <w:rFonts w:ascii="Arial" w:hAnsi="Arial" w:eastAsia="黑体" w:cs="Arial"/>
          <w:b/>
          <w:sz w:val="22"/>
          <w:szCs w:val="22"/>
        </w:rPr>
        <w:t>Ultraviolet scanning spectra of Fluorouracil (5-FU)</w:t>
      </w:r>
      <w:r>
        <w:rPr>
          <w:rFonts w:ascii="Arial" w:hAnsi="Arial" w:cs="Arial"/>
          <w:b/>
          <w:sz w:val="22"/>
          <w:szCs w:val="22"/>
        </w:rPr>
        <w:t xml:space="preserve"> </w:t>
      </w:r>
    </w:p>
    <w:p w14:paraId="004DBAAC">
      <w:pPr>
        <w:spacing w:line="360" w:lineRule="auto"/>
        <w:rPr>
          <w:rFonts w:ascii="Arial" w:hAnsi="Arial" w:cs="Arial"/>
          <w:sz w:val="20"/>
          <w:szCs w:val="20"/>
        </w:rPr>
      </w:pPr>
    </w:p>
    <w:p w14:paraId="40FF169A">
      <w:pPr>
        <w:spacing w:line="360" w:lineRule="auto"/>
        <w:jc w:val="center"/>
        <w:rPr>
          <w:rFonts w:ascii="Arial" w:hAnsi="Arial" w:cs="Arial"/>
        </w:rPr>
      </w:pPr>
      <w:r>
        <w:rPr>
          <w:rFonts w:ascii="Arial" w:hAnsi="Arial" w:cs="Arial"/>
        </w:rPr>
        <w:drawing>
          <wp:inline distT="0" distB="0" distL="114300" distR="114300">
            <wp:extent cx="3938270" cy="2700655"/>
            <wp:effectExtent l="0" t="0" r="8890" b="12065"/>
            <wp:docPr id="1" name="图片 1" descr="全波长扫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波长扫描"/>
                    <pic:cNvPicPr>
                      <a:picLocks noChangeAspect="1"/>
                    </pic:cNvPicPr>
                  </pic:nvPicPr>
                  <pic:blipFill>
                    <a:blip r:embed="rId8"/>
                    <a:stretch>
                      <a:fillRect/>
                    </a:stretch>
                  </pic:blipFill>
                  <pic:spPr>
                    <a:xfrm>
                      <a:off x="0" y="0"/>
                      <a:ext cx="3938270" cy="2700655"/>
                    </a:xfrm>
                    <a:prstGeom prst="rect">
                      <a:avLst/>
                    </a:prstGeom>
                  </pic:spPr>
                </pic:pic>
              </a:graphicData>
            </a:graphic>
          </wp:inline>
        </w:drawing>
      </w:r>
    </w:p>
    <w:p w14:paraId="1512DBAE">
      <w:pPr>
        <w:spacing w:line="360" w:lineRule="auto"/>
        <w:jc w:val="center"/>
        <w:rPr>
          <w:rFonts w:ascii="Arial" w:hAnsi="Arial" w:cs="Arial"/>
          <w:sz w:val="20"/>
          <w:szCs w:val="20"/>
        </w:rPr>
      </w:pPr>
      <w:r>
        <w:rPr>
          <w:rFonts w:hint="eastAsia" w:ascii="Arial" w:hAnsi="Arial" w:cs="Arial"/>
          <w:sz w:val="20"/>
          <w:szCs w:val="20"/>
        </w:rPr>
        <w:t xml:space="preserve">Fig. S1. </w:t>
      </w:r>
      <w:r>
        <w:rPr>
          <w:rFonts w:ascii="Arial" w:hAnsi="Arial" w:eastAsia="黑体" w:cs="Arial"/>
          <w:bCs/>
          <w:sz w:val="20"/>
          <w:szCs w:val="20"/>
        </w:rPr>
        <w:t xml:space="preserve">Ultraviolet scanning spectra of Fluorouracil (5-FU) </w:t>
      </w:r>
    </w:p>
    <w:p w14:paraId="0F8259E3">
      <w:pPr>
        <w:spacing w:line="360" w:lineRule="auto"/>
        <w:ind w:firstLine="400" w:firstLineChars="200"/>
        <w:rPr>
          <w:rFonts w:ascii="Arial" w:hAnsi="Arial" w:cs="Arial"/>
          <w:sz w:val="20"/>
          <w:szCs w:val="20"/>
        </w:rPr>
      </w:pPr>
      <w:r>
        <w:rPr>
          <w:rFonts w:ascii="Arial" w:hAnsi="Arial" w:cs="Arial"/>
          <w:sz w:val="20"/>
          <w:szCs w:val="20"/>
        </w:rPr>
        <w:t xml:space="preserve">As </w:t>
      </w:r>
      <w:r>
        <w:rPr>
          <w:rFonts w:hint="eastAsia" w:ascii="Arial" w:hAnsi="Arial" w:cs="Arial"/>
          <w:sz w:val="20"/>
          <w:szCs w:val="20"/>
        </w:rPr>
        <w:t>Fig. S1</w:t>
      </w:r>
      <w:r>
        <w:rPr>
          <w:rFonts w:ascii="Arial" w:hAnsi="Arial" w:cs="Arial"/>
          <w:sz w:val="20"/>
          <w:szCs w:val="20"/>
        </w:rPr>
        <w:t xml:space="preserve"> shown, 265 nm was selected as the detection wavelength of 5-FU.</w:t>
      </w:r>
    </w:p>
    <w:p w14:paraId="16BF0B5F">
      <w:pPr>
        <w:numPr>
          <w:ilvl w:val="0"/>
          <w:numId w:val="2"/>
        </w:numPr>
        <w:spacing w:line="360" w:lineRule="auto"/>
        <w:outlineLvl w:val="0"/>
        <w:rPr>
          <w:rFonts w:ascii="Arial" w:hAnsi="Arial" w:eastAsia="宋体" w:cs="Arial"/>
          <w:b/>
          <w:bCs/>
          <w:strike/>
          <w:sz w:val="22"/>
          <w:szCs w:val="22"/>
        </w:rPr>
      </w:pPr>
      <w:bookmarkStart w:id="2" w:name="_Toc21873"/>
      <w:r>
        <w:rPr>
          <w:rFonts w:ascii="Arial" w:hAnsi="Arial" w:cs="Arial"/>
          <w:b/>
          <w:bCs/>
          <w:sz w:val="22"/>
          <w:szCs w:val="22"/>
        </w:rPr>
        <w:t>Standard curve of 5-FU</w:t>
      </w:r>
      <w:bookmarkEnd w:id="2"/>
    </w:p>
    <w:p w14:paraId="3A23EDF0">
      <w:pPr>
        <w:spacing w:line="360" w:lineRule="auto"/>
        <w:ind w:firstLine="420" w:firstLineChars="200"/>
        <w:jc w:val="center"/>
        <w:rPr>
          <w:rFonts w:ascii="Arial" w:hAnsi="Arial" w:cs="Arial"/>
          <w:szCs w:val="21"/>
        </w:rPr>
      </w:pPr>
      <w:r>
        <w:rPr>
          <w:rFonts w:ascii="Arial" w:hAnsi="Arial" w:cs="Arial"/>
          <w:szCs w:val="21"/>
        </w:rPr>
        <w:drawing>
          <wp:inline distT="0" distB="0" distL="114300" distR="114300">
            <wp:extent cx="3776345" cy="2706370"/>
            <wp:effectExtent l="0" t="0" r="3175" b="6350"/>
            <wp:docPr id="3" name="图片 3" descr="标准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标准曲线"/>
                    <pic:cNvPicPr>
                      <a:picLocks noChangeAspect="1"/>
                    </pic:cNvPicPr>
                  </pic:nvPicPr>
                  <pic:blipFill>
                    <a:blip r:embed="rId9"/>
                    <a:stretch>
                      <a:fillRect/>
                    </a:stretch>
                  </pic:blipFill>
                  <pic:spPr>
                    <a:xfrm>
                      <a:off x="0" y="0"/>
                      <a:ext cx="3776345" cy="2706370"/>
                    </a:xfrm>
                    <a:prstGeom prst="rect">
                      <a:avLst/>
                    </a:prstGeom>
                  </pic:spPr>
                </pic:pic>
              </a:graphicData>
            </a:graphic>
          </wp:inline>
        </w:drawing>
      </w:r>
    </w:p>
    <w:p w14:paraId="0F6BF365">
      <w:pPr>
        <w:spacing w:line="360" w:lineRule="auto"/>
        <w:ind w:firstLine="400" w:firstLineChars="200"/>
        <w:jc w:val="center"/>
        <w:rPr>
          <w:rFonts w:ascii="Arial" w:hAnsi="Arial" w:cs="Arial"/>
          <w:sz w:val="20"/>
          <w:szCs w:val="20"/>
        </w:rPr>
      </w:pPr>
      <w:r>
        <w:rPr>
          <w:rFonts w:hint="eastAsia" w:ascii="Arial" w:hAnsi="Arial" w:cs="Arial"/>
          <w:sz w:val="20"/>
          <w:szCs w:val="20"/>
        </w:rPr>
        <w:t xml:space="preserve">Fig. S2. </w:t>
      </w:r>
      <w:r>
        <w:rPr>
          <w:rFonts w:ascii="Arial" w:hAnsi="Arial" w:cs="Arial"/>
          <w:sz w:val="20"/>
          <w:szCs w:val="20"/>
        </w:rPr>
        <w:t xml:space="preserve">Standard curve of Fluorouracil (5-FU) </w:t>
      </w:r>
    </w:p>
    <w:p w14:paraId="3B65300D">
      <w:pPr>
        <w:spacing w:line="360" w:lineRule="auto"/>
        <w:ind w:firstLine="400" w:firstLineChars="200"/>
        <w:rPr>
          <w:rFonts w:ascii="Arial" w:hAnsi="Arial" w:cs="Arial"/>
          <w:sz w:val="20"/>
          <w:szCs w:val="20"/>
        </w:rPr>
      </w:pPr>
      <w:r>
        <w:rPr>
          <w:rFonts w:ascii="Arial" w:hAnsi="Arial" w:cs="Arial"/>
          <w:sz w:val="20"/>
          <w:szCs w:val="20"/>
        </w:rPr>
        <w:t xml:space="preserve">As  </w:t>
      </w:r>
      <w:r>
        <w:rPr>
          <w:rFonts w:hint="eastAsia" w:ascii="Arial" w:hAnsi="Arial" w:cs="Arial"/>
          <w:sz w:val="20"/>
          <w:szCs w:val="20"/>
        </w:rPr>
        <w:t>Fig. S2</w:t>
      </w:r>
      <w:r>
        <w:rPr>
          <w:rFonts w:ascii="Arial" w:hAnsi="Arial" w:cs="Arial"/>
          <w:sz w:val="20"/>
          <w:szCs w:val="20"/>
        </w:rPr>
        <w:t xml:space="preserve"> shown, standard curve of 5-FU was A=57.75 C- 0.002362, R</w:t>
      </w:r>
      <w:r>
        <w:rPr>
          <w:rFonts w:ascii="Arial" w:hAnsi="Arial" w:cs="Arial"/>
          <w:sz w:val="20"/>
          <w:szCs w:val="20"/>
          <w:vertAlign w:val="superscript"/>
        </w:rPr>
        <w:t>2</w:t>
      </w:r>
      <w:r>
        <w:rPr>
          <w:rFonts w:ascii="Arial" w:hAnsi="Arial" w:cs="Arial"/>
          <w:sz w:val="20"/>
          <w:szCs w:val="20"/>
        </w:rPr>
        <w:t>=0.9998, the linearity was good in the concentration range of 0.004</w:t>
      </w:r>
      <w:r>
        <w:rPr>
          <w:rFonts w:hint="eastAsia" w:ascii="Arial" w:hAnsi="Arial" w:cs="Arial"/>
          <w:sz w:val="20"/>
          <w:szCs w:val="20"/>
        </w:rPr>
        <w:t xml:space="preserve"> </w:t>
      </w:r>
      <w:r>
        <w:rPr>
          <w:rFonts w:ascii="Arial" w:hAnsi="Arial" w:cs="Arial"/>
          <w:sz w:val="20"/>
          <w:szCs w:val="20"/>
        </w:rPr>
        <w:t>mg/mL~0.02</w:t>
      </w:r>
      <w:r>
        <w:rPr>
          <w:rFonts w:hint="eastAsia" w:ascii="Arial" w:hAnsi="Arial" w:cs="Arial"/>
          <w:sz w:val="20"/>
          <w:szCs w:val="20"/>
        </w:rPr>
        <w:t xml:space="preserve"> </w:t>
      </w:r>
      <w:r>
        <w:rPr>
          <w:rFonts w:ascii="Arial" w:hAnsi="Arial" w:cs="Arial"/>
          <w:sz w:val="20"/>
          <w:szCs w:val="20"/>
        </w:rPr>
        <w:t>mg/mL.</w:t>
      </w:r>
    </w:p>
    <w:p w14:paraId="33F12BB4">
      <w:pPr>
        <w:widowControl/>
        <w:numPr>
          <w:ilvl w:val="0"/>
          <w:numId w:val="2"/>
        </w:numPr>
        <w:spacing w:line="360" w:lineRule="auto"/>
        <w:jc w:val="left"/>
        <w:rPr>
          <w:rFonts w:ascii="Arial" w:hAnsi="Arial" w:cs="Arial"/>
          <w:b/>
          <w:bCs/>
          <w:sz w:val="22"/>
          <w:szCs w:val="22"/>
        </w:rPr>
      </w:pPr>
      <w:r>
        <w:rPr>
          <w:rFonts w:ascii="Arial" w:hAnsi="Arial" w:cs="Arial"/>
          <w:b/>
          <w:bCs/>
          <w:sz w:val="22"/>
          <w:szCs w:val="22"/>
        </w:rPr>
        <w:drawing>
          <wp:inline distT="0" distB="0" distL="114300" distR="114300">
            <wp:extent cx="635" cy="0"/>
            <wp:effectExtent l="0" t="0" r="0"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cs="Arial"/>
          <w:b/>
          <w:bCs/>
          <w:sz w:val="22"/>
          <w:szCs w:val="22"/>
        </w:rPr>
        <w:drawing>
          <wp:inline distT="0" distB="0" distL="114300" distR="114300">
            <wp:extent cx="635" cy="0"/>
            <wp:effectExtent l="0" t="0" r="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cs="Arial"/>
          <w:b/>
          <w:bCs/>
          <w:sz w:val="22"/>
          <w:szCs w:val="22"/>
        </w:rPr>
        <w:drawing>
          <wp:inline distT="0" distB="0" distL="114300" distR="114300">
            <wp:extent cx="635" cy="0"/>
            <wp:effectExtent l="0" t="0" r="0" b="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cs="Arial"/>
          <w:b/>
          <w:bCs/>
          <w:sz w:val="22"/>
          <w:szCs w:val="22"/>
        </w:rPr>
        <w:drawing>
          <wp:inline distT="0" distB="0" distL="114300" distR="114300">
            <wp:extent cx="635" cy="0"/>
            <wp:effectExtent l="0" t="0" r="0" b="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cs="Arial"/>
          <w:b/>
          <w:bCs/>
          <w:sz w:val="22"/>
          <w:szCs w:val="22"/>
        </w:rPr>
        <w:drawing>
          <wp:inline distT="0" distB="0" distL="114300" distR="114300">
            <wp:extent cx="635" cy="0"/>
            <wp:effectExtent l="0" t="0" r="0" b="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cs="Arial"/>
          <w:b/>
          <w:bCs/>
          <w:sz w:val="22"/>
          <w:szCs w:val="22"/>
        </w:rPr>
        <w:drawing>
          <wp:inline distT="0" distB="0" distL="114300" distR="114300">
            <wp:extent cx="635" cy="0"/>
            <wp:effectExtent l="0" t="0" r="0" b="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cs="Arial"/>
          <w:b/>
          <w:bCs/>
          <w:sz w:val="22"/>
          <w:szCs w:val="22"/>
        </w:rPr>
        <w:drawing>
          <wp:inline distT="0" distB="0" distL="114300" distR="114300">
            <wp:extent cx="635" cy="0"/>
            <wp:effectExtent l="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7"/>
                    <a:stretch>
                      <a:fillRect/>
                    </a:stretch>
                  </pic:blipFill>
                  <pic:spPr>
                    <a:xfrm>
                      <a:off x="0" y="0"/>
                      <a:ext cx="635" cy="0"/>
                    </a:xfrm>
                    <a:prstGeom prst="rect">
                      <a:avLst/>
                    </a:prstGeom>
                    <a:noFill/>
                    <a:ln>
                      <a:noFill/>
                    </a:ln>
                  </pic:spPr>
                </pic:pic>
              </a:graphicData>
            </a:graphic>
          </wp:inline>
        </w:drawing>
      </w:r>
      <w:r>
        <w:rPr>
          <w:rFonts w:ascii="Arial" w:hAnsi="Arial" w:cs="Arial"/>
          <w:b/>
          <w:bCs/>
          <w:sz w:val="22"/>
          <w:szCs w:val="22"/>
        </w:rPr>
        <w:t>FT-IR spectra of different 5-FU@DC and5-FU@FeDC</w:t>
      </w:r>
    </w:p>
    <w:p w14:paraId="46266F15">
      <w:pPr>
        <w:spacing w:line="360" w:lineRule="auto"/>
        <w:rPr>
          <w:rFonts w:ascii="Arial" w:hAnsi="Arial" w:cs="Arial"/>
          <w:b/>
          <w:bCs/>
          <w:sz w:val="22"/>
          <w:szCs w:val="22"/>
        </w:rPr>
      </w:pPr>
    </w:p>
    <w:p w14:paraId="4B805889">
      <w:pPr>
        <w:spacing w:line="360" w:lineRule="auto"/>
        <w:rPr>
          <w:rFonts w:ascii="Arial" w:hAnsi="Arial" w:cs="Arial"/>
          <w:b/>
          <w:bCs/>
          <w:sz w:val="22"/>
          <w:szCs w:val="22"/>
        </w:rPr>
      </w:pPr>
    </w:p>
    <w:p w14:paraId="15D16CCB">
      <w:pPr>
        <w:spacing w:line="360" w:lineRule="auto"/>
        <w:rPr>
          <w:rFonts w:ascii="Arial" w:hAnsi="Arial" w:cs="Arial"/>
          <w:b/>
          <w:bCs/>
          <w:sz w:val="22"/>
          <w:szCs w:val="22"/>
        </w:rPr>
      </w:pPr>
    </w:p>
    <w:p w14:paraId="1E47663D">
      <w:pPr>
        <w:spacing w:line="360" w:lineRule="auto"/>
        <w:rPr>
          <w:rFonts w:ascii="Arial" w:hAnsi="Arial" w:cs="Arial"/>
          <w:b/>
          <w:bCs/>
          <w:sz w:val="22"/>
          <w:szCs w:val="22"/>
        </w:rPr>
      </w:pPr>
    </w:p>
    <w:p w14:paraId="3429F85E">
      <w:pPr>
        <w:spacing w:line="360" w:lineRule="auto"/>
        <w:rPr>
          <w:rFonts w:ascii="Arial" w:hAnsi="Arial" w:cs="Arial"/>
          <w:b/>
          <w:bCs/>
          <w:sz w:val="22"/>
          <w:szCs w:val="22"/>
        </w:rPr>
      </w:pPr>
    </w:p>
    <w:p w14:paraId="492A0F8E">
      <w:pPr>
        <w:spacing w:line="360" w:lineRule="auto"/>
        <w:rPr>
          <w:rFonts w:ascii="Arial" w:hAnsi="Arial" w:cs="Arial"/>
          <w:b/>
          <w:bCs/>
          <w:sz w:val="22"/>
          <w:szCs w:val="22"/>
        </w:rPr>
      </w:pPr>
      <w:r>
        <w:rPr>
          <w:rFonts w:ascii="Arial" w:hAnsi="Arial" w:cs="Arial"/>
          <w:b/>
          <w:bCs/>
          <w:sz w:val="22"/>
          <w:szCs w:val="22"/>
        </w:rPr>
        <w:drawing>
          <wp:inline distT="0" distB="0" distL="114300" distR="114300">
            <wp:extent cx="5266690" cy="2419350"/>
            <wp:effectExtent l="0" t="0" r="6350" b="3810"/>
            <wp:docPr id="13" name="图片 13" descr="终制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终制剂"/>
                    <pic:cNvPicPr>
                      <a:picLocks noChangeAspect="1"/>
                    </pic:cNvPicPr>
                  </pic:nvPicPr>
                  <pic:blipFill>
                    <a:blip r:embed="rId10"/>
                    <a:stretch>
                      <a:fillRect/>
                    </a:stretch>
                  </pic:blipFill>
                  <pic:spPr>
                    <a:xfrm>
                      <a:off x="0" y="0"/>
                      <a:ext cx="5266690" cy="2419350"/>
                    </a:xfrm>
                    <a:prstGeom prst="rect">
                      <a:avLst/>
                    </a:prstGeom>
                  </pic:spPr>
                </pic:pic>
              </a:graphicData>
            </a:graphic>
          </wp:inline>
        </w:drawing>
      </w:r>
    </w:p>
    <w:p w14:paraId="6DA39985">
      <w:pPr>
        <w:spacing w:line="360" w:lineRule="auto"/>
        <w:jc w:val="center"/>
        <w:rPr>
          <w:rFonts w:ascii="Arial" w:hAnsi="Arial" w:cs="Arial"/>
          <w:sz w:val="20"/>
          <w:szCs w:val="20"/>
        </w:rPr>
      </w:pPr>
      <w:r>
        <w:rPr>
          <w:rFonts w:hint="eastAsia" w:ascii="Arial" w:hAnsi="Arial" w:cs="Arial"/>
          <w:sz w:val="20"/>
          <w:szCs w:val="20"/>
        </w:rPr>
        <w:t>Fig. S3. FT-IR spectra of different 5-FU@DC and 5-FU@FeDC</w:t>
      </w:r>
    </w:p>
    <w:p w14:paraId="3845627A">
      <w:pPr>
        <w:spacing w:line="360" w:lineRule="auto"/>
        <w:ind w:firstLine="400" w:firstLineChars="200"/>
        <w:rPr>
          <w:rFonts w:ascii="Arial" w:hAnsi="Arial" w:cs="Arial"/>
          <w:sz w:val="20"/>
          <w:szCs w:val="20"/>
        </w:rPr>
      </w:pPr>
      <w:r>
        <w:rPr>
          <w:rFonts w:ascii="Arial" w:hAnsi="Arial" w:cs="Arial"/>
          <w:sz w:val="20"/>
          <w:szCs w:val="20"/>
        </w:rPr>
        <w:t xml:space="preserve">As illustrated in the </w:t>
      </w:r>
      <w:r>
        <w:rPr>
          <w:rFonts w:hint="eastAsia" w:ascii="Arial" w:hAnsi="Arial" w:cs="Arial"/>
          <w:sz w:val="20"/>
          <w:szCs w:val="20"/>
        </w:rPr>
        <w:t>Fig. S3</w:t>
      </w:r>
      <w:r>
        <w:rPr>
          <w:rFonts w:ascii="Arial" w:hAnsi="Arial" w:cs="Arial"/>
          <w:sz w:val="20"/>
          <w:szCs w:val="20"/>
        </w:rPr>
        <w:t>, the infrared characteristic peaks of all formulations closely resemble those of PSI, indicating that the chemical structure of PSI dominates the surface properties of the composite materials. This alignment suggests that PSI forms a uniform coating on the surface of the nanoparticles, effectively masking the characteristic peaks of the underlying HAP and Fe/HAP components. The strong presence of PSI-related peaks further confirms the successful integration of PSI into the composite structure, which is consistent with the observed improvements in dispersibility and stability.</w:t>
      </w:r>
    </w:p>
    <w:p w14:paraId="58DFB02B">
      <w:pPr>
        <w:numPr>
          <w:ilvl w:val="0"/>
          <w:numId w:val="2"/>
        </w:numPr>
        <w:spacing w:line="360" w:lineRule="auto"/>
        <w:rPr>
          <w:rFonts w:ascii="Arial" w:hAnsi="Arial" w:eastAsia="宋体" w:cs="Arial"/>
          <w:b/>
          <w:bCs/>
          <w:kern w:val="0"/>
          <w:sz w:val="20"/>
          <w:szCs w:val="20"/>
        </w:rPr>
      </w:pPr>
      <w:r>
        <w:rPr>
          <w:rFonts w:ascii="Arial" w:hAnsi="Arial" w:cs="Arial"/>
          <w:b/>
          <w:bCs/>
          <w:sz w:val="22"/>
          <w:szCs w:val="22"/>
        </w:rPr>
        <w:t>Hemolytic test results of different 5-FU@DC and</w:t>
      </w:r>
      <w:r>
        <w:rPr>
          <w:rFonts w:hint="eastAsia" w:ascii="Arial" w:hAnsi="Arial" w:cs="Arial"/>
          <w:b/>
          <w:bCs/>
          <w:sz w:val="22"/>
          <w:szCs w:val="22"/>
        </w:rPr>
        <w:t xml:space="preserve"> </w:t>
      </w:r>
      <w:r>
        <w:rPr>
          <w:rFonts w:ascii="Arial" w:hAnsi="Arial" w:cs="Arial"/>
          <w:b/>
          <w:bCs/>
          <w:sz w:val="22"/>
          <w:szCs w:val="22"/>
        </w:rPr>
        <w:t>5-FU@FeDC</w:t>
      </w:r>
    </w:p>
    <w:p w14:paraId="18765743">
      <w:pPr>
        <w:numPr>
          <w:ilvl w:val="255"/>
          <w:numId w:val="0"/>
        </w:numPr>
        <w:spacing w:line="360" w:lineRule="auto"/>
        <w:rPr>
          <w:rFonts w:ascii="Arial" w:hAnsi="Arial" w:eastAsia="宋体" w:cs="Arial"/>
          <w:b/>
          <w:bCs/>
          <w:kern w:val="0"/>
          <w:sz w:val="20"/>
          <w:szCs w:val="20"/>
        </w:rPr>
      </w:pPr>
    </w:p>
    <w:p w14:paraId="0EFE5F90">
      <w:pPr>
        <w:widowControl/>
        <w:spacing w:line="360" w:lineRule="auto"/>
        <w:ind w:firstLine="504" w:firstLineChars="210"/>
        <w:jc w:val="center"/>
        <w:rPr>
          <w:rFonts w:ascii="Arial" w:hAnsi="Arial" w:eastAsia="宋体" w:cs="Arial"/>
          <w:sz w:val="24"/>
        </w:rPr>
      </w:pPr>
      <w:r>
        <w:rPr>
          <w:rFonts w:ascii="Arial" w:hAnsi="Arial" w:eastAsia="宋体" w:cs="Arial"/>
          <w:sz w:val="24"/>
        </w:rPr>
        <w:drawing>
          <wp:inline distT="0" distB="0" distL="114300" distR="114300">
            <wp:extent cx="4218305" cy="2726055"/>
            <wp:effectExtent l="0" t="0" r="3175" b="1905"/>
            <wp:docPr id="15" name="图片 15" descr="溶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溶血"/>
                    <pic:cNvPicPr>
                      <a:picLocks noChangeAspect="1"/>
                    </pic:cNvPicPr>
                  </pic:nvPicPr>
                  <pic:blipFill>
                    <a:blip r:embed="rId11"/>
                    <a:stretch>
                      <a:fillRect/>
                    </a:stretch>
                  </pic:blipFill>
                  <pic:spPr>
                    <a:xfrm>
                      <a:off x="0" y="0"/>
                      <a:ext cx="4218305" cy="2726055"/>
                    </a:xfrm>
                    <a:prstGeom prst="rect">
                      <a:avLst/>
                    </a:prstGeom>
                  </pic:spPr>
                </pic:pic>
              </a:graphicData>
            </a:graphic>
          </wp:inline>
        </w:drawing>
      </w:r>
    </w:p>
    <w:p w14:paraId="4FA4CFF5">
      <w:pPr>
        <w:widowControl/>
        <w:spacing w:line="360" w:lineRule="auto"/>
        <w:ind w:firstLine="420" w:firstLineChars="210"/>
        <w:jc w:val="center"/>
        <w:rPr>
          <w:rFonts w:ascii="Arial" w:hAnsi="Arial" w:eastAsia="宋体" w:cs="Arial"/>
          <w:sz w:val="20"/>
          <w:szCs w:val="20"/>
        </w:rPr>
      </w:pPr>
      <w:r>
        <w:rPr>
          <w:rFonts w:hint="eastAsia" w:ascii="Arial" w:hAnsi="Arial" w:cs="Arial"/>
          <w:sz w:val="20"/>
          <w:szCs w:val="20"/>
        </w:rPr>
        <w:t xml:space="preserve">Fig. </w:t>
      </w:r>
      <w:r>
        <w:rPr>
          <w:rFonts w:hint="eastAsia" w:ascii="Arial" w:hAnsi="Arial" w:eastAsia="宋体" w:cs="Arial"/>
          <w:sz w:val="20"/>
          <w:szCs w:val="20"/>
        </w:rPr>
        <w:t xml:space="preserve">S4. Results of Hemolytic </w:t>
      </w:r>
      <w:r>
        <w:rPr>
          <w:rFonts w:ascii="Arial" w:hAnsi="Arial" w:eastAsia="宋体" w:cs="Arial"/>
          <w:sz w:val="20"/>
          <w:szCs w:val="20"/>
        </w:rPr>
        <w:t>A: 5-FU@DC; B: 5-FU@FeDC20; C: 5-FU@FeDC30; D: 5-FU@FeDC40</w:t>
      </w:r>
    </w:p>
    <w:p w14:paraId="00CAD023">
      <w:pPr>
        <w:widowControl/>
        <w:spacing w:line="360" w:lineRule="auto"/>
        <w:ind w:firstLine="420" w:firstLineChars="210"/>
        <w:rPr>
          <w:rFonts w:ascii="Arial" w:hAnsi="Arial" w:eastAsia="宋体" w:cs="Arial"/>
          <w:kern w:val="0"/>
          <w:sz w:val="20"/>
          <w:szCs w:val="20"/>
        </w:rPr>
      </w:pPr>
      <w:r>
        <w:rPr>
          <w:rFonts w:ascii="Arial" w:hAnsi="Arial" w:eastAsia="宋体" w:cs="Arial"/>
          <w:kern w:val="0"/>
          <w:sz w:val="20"/>
          <w:szCs w:val="20"/>
        </w:rPr>
        <w:t xml:space="preserve">The test sample was injected if there was no aggregation or hemolysis within 3 hours after hemolysis occurred in the positive control tube but not in the negative control group. However, if hemolysis or aggregation occurred in the solution of the sample to be tested within 3 h, the sample was not injected. No hemolysis was in any preparation group, as shown in </w:t>
      </w:r>
      <w:r>
        <w:rPr>
          <w:rFonts w:hint="eastAsia" w:ascii="Arial" w:hAnsi="Arial" w:cs="Arial"/>
          <w:sz w:val="20"/>
          <w:szCs w:val="20"/>
        </w:rPr>
        <w:t>Fig. S4</w:t>
      </w:r>
      <w:r>
        <w:rPr>
          <w:rFonts w:ascii="Arial" w:hAnsi="Arial" w:eastAsia="宋体" w:cs="Arial"/>
          <w:kern w:val="0"/>
          <w:sz w:val="20"/>
          <w:szCs w:val="20"/>
        </w:rPr>
        <w:t>.</w:t>
      </w:r>
    </w:p>
    <w:p w14:paraId="7F9F71ED">
      <w:pPr>
        <w:spacing w:line="360" w:lineRule="auto"/>
        <w:jc w:val="center"/>
        <w:rPr>
          <w:rFonts w:ascii="Arial" w:hAnsi="Arial" w:eastAsia="宋体" w:cs="Arial"/>
          <w:sz w:val="20"/>
          <w:szCs w:val="20"/>
        </w:rPr>
      </w:pPr>
      <w:r>
        <w:rPr>
          <w:rFonts w:ascii="Arial" w:hAnsi="Arial" w:eastAsia="黑体" w:cs="Arial"/>
          <w:sz w:val="20"/>
          <w:szCs w:val="20"/>
        </w:rPr>
        <w:t xml:space="preserve">Table </w:t>
      </w:r>
      <w:r>
        <w:rPr>
          <w:rFonts w:hint="eastAsia" w:ascii="Arial" w:hAnsi="Arial" w:eastAsia="黑体" w:cs="Arial"/>
          <w:sz w:val="20"/>
          <w:szCs w:val="20"/>
          <w:lang w:val="en-US" w:eastAsia="zh-CN"/>
        </w:rPr>
        <w:t>S</w:t>
      </w:r>
      <w:r>
        <w:rPr>
          <w:rFonts w:hint="eastAsia" w:ascii="Arial" w:hAnsi="Arial" w:eastAsia="黑体" w:cs="Arial"/>
          <w:sz w:val="20"/>
          <w:szCs w:val="20"/>
        </w:rPr>
        <w:t>1</w:t>
      </w:r>
      <w:r>
        <w:rPr>
          <w:rFonts w:ascii="Arial" w:hAnsi="Arial" w:eastAsia="黑体" w:cs="Arial"/>
          <w:sz w:val="20"/>
          <w:szCs w:val="20"/>
        </w:rPr>
        <w:t xml:space="preserve"> Hemolysis rate results of 5-FU@DC</w:t>
      </w:r>
      <w:r>
        <w:rPr>
          <w:rFonts w:hint="eastAsia" w:ascii="Arial" w:hAnsi="Arial" w:eastAsia="黑体" w:cs="Arial"/>
          <w:sz w:val="20"/>
          <w:szCs w:val="20"/>
        </w:rPr>
        <w:t xml:space="preserve"> and Fe@FeDC</w:t>
      </w:r>
    </w:p>
    <w:tbl>
      <w:tblPr>
        <w:tblStyle w:val="10"/>
        <w:tblW w:w="0" w:type="auto"/>
        <w:jc w:val="center"/>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1852"/>
        <w:gridCol w:w="785"/>
        <w:gridCol w:w="982"/>
        <w:gridCol w:w="753"/>
        <w:gridCol w:w="970"/>
        <w:gridCol w:w="764"/>
        <w:gridCol w:w="1004"/>
        <w:gridCol w:w="754"/>
        <w:gridCol w:w="971"/>
      </w:tblGrid>
      <w:tr w14:paraId="76FBE77C">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46" w:hRule="atLeast"/>
          <w:jc w:val="center"/>
        </w:trPr>
        <w:tc>
          <w:tcPr>
            <w:tcW w:w="1852" w:type="dxa"/>
            <w:vMerge w:val="restart"/>
            <w:tcBorders>
              <w:top w:val="single" w:color="auto" w:sz="8" w:space="0"/>
              <w:bottom w:val="nil"/>
            </w:tcBorders>
            <w:vAlign w:val="center"/>
          </w:tcPr>
          <w:p w14:paraId="22E29F8A">
            <w:pPr>
              <w:jc w:val="center"/>
              <w:rPr>
                <w:rFonts w:ascii="Arial" w:hAnsi="Arial" w:eastAsia="宋体" w:cs="Arial"/>
                <w:sz w:val="16"/>
                <w:szCs w:val="16"/>
              </w:rPr>
            </w:pPr>
            <w:r>
              <w:rPr>
                <w:rFonts w:ascii="Arial" w:hAnsi="Arial" w:eastAsia="宋体" w:cs="Arial"/>
                <w:sz w:val="16"/>
                <w:szCs w:val="16"/>
              </w:rPr>
              <w:t>Tested drug</w:t>
            </w:r>
          </w:p>
        </w:tc>
        <w:tc>
          <w:tcPr>
            <w:tcW w:w="1767" w:type="dxa"/>
            <w:gridSpan w:val="2"/>
            <w:tcBorders>
              <w:top w:val="single" w:color="auto" w:sz="8" w:space="0"/>
              <w:bottom w:val="single" w:color="auto" w:sz="4" w:space="0"/>
            </w:tcBorders>
            <w:vAlign w:val="center"/>
          </w:tcPr>
          <w:p w14:paraId="6B0F3BAF">
            <w:pPr>
              <w:jc w:val="center"/>
              <w:rPr>
                <w:rFonts w:ascii="Arial" w:hAnsi="Arial" w:eastAsia="宋体" w:cs="Arial"/>
                <w:sz w:val="16"/>
                <w:szCs w:val="16"/>
              </w:rPr>
            </w:pPr>
            <w:r>
              <w:rPr>
                <w:rFonts w:hint="eastAsia" w:ascii="Arial" w:hAnsi="Arial" w:eastAsia="宋体" w:cs="Arial"/>
                <w:sz w:val="16"/>
                <w:szCs w:val="16"/>
              </w:rPr>
              <w:t>5-FU@DC</w:t>
            </w:r>
          </w:p>
        </w:tc>
        <w:tc>
          <w:tcPr>
            <w:tcW w:w="1723" w:type="dxa"/>
            <w:gridSpan w:val="2"/>
            <w:tcBorders>
              <w:top w:val="single" w:color="auto" w:sz="8" w:space="0"/>
              <w:bottom w:val="single" w:color="auto" w:sz="4" w:space="0"/>
            </w:tcBorders>
            <w:vAlign w:val="center"/>
          </w:tcPr>
          <w:p w14:paraId="42719E83">
            <w:pPr>
              <w:jc w:val="center"/>
              <w:rPr>
                <w:rFonts w:ascii="Arial" w:hAnsi="Arial" w:eastAsia="宋体" w:cs="Arial"/>
                <w:sz w:val="16"/>
                <w:szCs w:val="16"/>
              </w:rPr>
            </w:pPr>
            <w:r>
              <w:rPr>
                <w:rFonts w:hint="eastAsia" w:ascii="Arial" w:hAnsi="Arial" w:eastAsia="宋体" w:cs="Arial"/>
                <w:sz w:val="16"/>
                <w:szCs w:val="16"/>
              </w:rPr>
              <w:t>5-FU@FeDC20</w:t>
            </w:r>
          </w:p>
        </w:tc>
        <w:tc>
          <w:tcPr>
            <w:tcW w:w="1768" w:type="dxa"/>
            <w:gridSpan w:val="2"/>
            <w:tcBorders>
              <w:top w:val="single" w:color="auto" w:sz="8" w:space="0"/>
              <w:bottom w:val="single" w:color="auto" w:sz="4" w:space="0"/>
            </w:tcBorders>
            <w:vAlign w:val="center"/>
          </w:tcPr>
          <w:p w14:paraId="1BDADDD6">
            <w:pPr>
              <w:jc w:val="center"/>
              <w:rPr>
                <w:rFonts w:ascii="Arial" w:hAnsi="Arial" w:eastAsia="宋体" w:cs="Arial"/>
                <w:sz w:val="16"/>
                <w:szCs w:val="16"/>
              </w:rPr>
            </w:pPr>
            <w:r>
              <w:rPr>
                <w:rFonts w:hint="eastAsia" w:ascii="Arial" w:hAnsi="Arial" w:eastAsia="宋体" w:cs="Arial"/>
                <w:sz w:val="16"/>
                <w:szCs w:val="16"/>
              </w:rPr>
              <w:t>5-FU@FeDC30</w:t>
            </w:r>
          </w:p>
        </w:tc>
        <w:tc>
          <w:tcPr>
            <w:tcW w:w="1725" w:type="dxa"/>
            <w:gridSpan w:val="2"/>
            <w:tcBorders>
              <w:top w:val="single" w:color="auto" w:sz="8" w:space="0"/>
              <w:bottom w:val="single" w:color="auto" w:sz="4" w:space="0"/>
            </w:tcBorders>
            <w:vAlign w:val="center"/>
          </w:tcPr>
          <w:p w14:paraId="367D10D7">
            <w:pPr>
              <w:jc w:val="center"/>
              <w:rPr>
                <w:rFonts w:ascii="Arial" w:hAnsi="Arial" w:eastAsia="宋体" w:cs="Arial"/>
                <w:sz w:val="16"/>
                <w:szCs w:val="16"/>
              </w:rPr>
            </w:pPr>
            <w:r>
              <w:rPr>
                <w:rFonts w:hint="eastAsia" w:ascii="Arial" w:hAnsi="Arial" w:eastAsia="宋体" w:cs="Arial"/>
                <w:sz w:val="16"/>
                <w:szCs w:val="16"/>
              </w:rPr>
              <w:t>5-FU@FeDC40</w:t>
            </w:r>
          </w:p>
        </w:tc>
      </w:tr>
      <w:tr w14:paraId="0E46D20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46" w:hRule="atLeast"/>
          <w:jc w:val="center"/>
        </w:trPr>
        <w:tc>
          <w:tcPr>
            <w:tcW w:w="1852" w:type="dxa"/>
            <w:vMerge w:val="continue"/>
            <w:tcBorders>
              <w:top w:val="nil"/>
              <w:bottom w:val="single" w:color="000000" w:sz="4" w:space="0"/>
            </w:tcBorders>
            <w:vAlign w:val="center"/>
          </w:tcPr>
          <w:p w14:paraId="38EC8904">
            <w:pPr>
              <w:jc w:val="center"/>
              <w:rPr>
                <w:rFonts w:ascii="Arial" w:hAnsi="Arial" w:eastAsia="宋体" w:cs="Arial"/>
                <w:sz w:val="16"/>
                <w:szCs w:val="16"/>
              </w:rPr>
            </w:pPr>
          </w:p>
        </w:tc>
        <w:tc>
          <w:tcPr>
            <w:tcW w:w="785" w:type="dxa"/>
            <w:tcBorders>
              <w:top w:val="single" w:color="auto" w:sz="4" w:space="0"/>
              <w:bottom w:val="single" w:color="000000" w:sz="4" w:space="0"/>
            </w:tcBorders>
            <w:vAlign w:val="center"/>
          </w:tcPr>
          <w:p w14:paraId="655139CA">
            <w:pPr>
              <w:jc w:val="center"/>
              <w:rPr>
                <w:rFonts w:ascii="Arial" w:hAnsi="Arial" w:eastAsia="宋体" w:cs="Arial"/>
                <w:sz w:val="16"/>
                <w:szCs w:val="16"/>
              </w:rPr>
            </w:pPr>
            <w:r>
              <w:rPr>
                <w:rFonts w:ascii="Arial" w:hAnsi="Arial" w:eastAsia="宋体" w:cs="Arial"/>
                <w:sz w:val="16"/>
                <w:szCs w:val="16"/>
              </w:rPr>
              <w:t>A</w:t>
            </w:r>
          </w:p>
        </w:tc>
        <w:tc>
          <w:tcPr>
            <w:tcW w:w="982" w:type="dxa"/>
            <w:tcBorders>
              <w:top w:val="single" w:color="auto" w:sz="4" w:space="0"/>
              <w:bottom w:val="single" w:color="000000" w:sz="4" w:space="0"/>
            </w:tcBorders>
            <w:vAlign w:val="center"/>
          </w:tcPr>
          <w:p w14:paraId="7822E454">
            <w:pPr>
              <w:jc w:val="center"/>
              <w:rPr>
                <w:rFonts w:ascii="Arial" w:hAnsi="Arial" w:eastAsia="宋体" w:cs="Arial"/>
                <w:sz w:val="16"/>
                <w:szCs w:val="16"/>
              </w:rPr>
            </w:pPr>
            <w:r>
              <w:rPr>
                <w:rFonts w:ascii="Arial" w:hAnsi="Arial" w:eastAsia="宋体" w:cs="Arial"/>
                <w:sz w:val="16"/>
                <w:szCs w:val="16"/>
              </w:rPr>
              <w:t>Hemolysis rate/%</w:t>
            </w:r>
          </w:p>
        </w:tc>
        <w:tc>
          <w:tcPr>
            <w:tcW w:w="753" w:type="dxa"/>
            <w:tcBorders>
              <w:top w:val="single" w:color="auto" w:sz="4" w:space="0"/>
              <w:bottom w:val="single" w:color="000000" w:sz="4" w:space="0"/>
            </w:tcBorders>
            <w:vAlign w:val="center"/>
          </w:tcPr>
          <w:p w14:paraId="6D9E6492">
            <w:pPr>
              <w:jc w:val="center"/>
              <w:rPr>
                <w:rFonts w:ascii="Arial" w:hAnsi="Arial" w:eastAsia="宋体" w:cs="Arial"/>
                <w:sz w:val="16"/>
                <w:szCs w:val="16"/>
              </w:rPr>
            </w:pPr>
            <w:r>
              <w:rPr>
                <w:rFonts w:ascii="Arial" w:hAnsi="Arial" w:eastAsia="宋体" w:cs="Arial"/>
                <w:sz w:val="16"/>
                <w:szCs w:val="16"/>
              </w:rPr>
              <w:t>A</w:t>
            </w:r>
          </w:p>
        </w:tc>
        <w:tc>
          <w:tcPr>
            <w:tcW w:w="970" w:type="dxa"/>
            <w:tcBorders>
              <w:top w:val="single" w:color="auto" w:sz="4" w:space="0"/>
              <w:bottom w:val="single" w:color="000000" w:sz="4" w:space="0"/>
            </w:tcBorders>
            <w:vAlign w:val="center"/>
          </w:tcPr>
          <w:p w14:paraId="70853131">
            <w:pPr>
              <w:jc w:val="center"/>
              <w:rPr>
                <w:rFonts w:ascii="Arial" w:hAnsi="Arial" w:eastAsia="宋体" w:cs="Arial"/>
                <w:sz w:val="16"/>
                <w:szCs w:val="16"/>
              </w:rPr>
            </w:pPr>
            <w:r>
              <w:rPr>
                <w:rFonts w:ascii="Arial" w:hAnsi="Arial" w:eastAsia="宋体" w:cs="Arial"/>
                <w:sz w:val="16"/>
                <w:szCs w:val="16"/>
              </w:rPr>
              <w:t>Hemolysis rate/%</w:t>
            </w:r>
          </w:p>
        </w:tc>
        <w:tc>
          <w:tcPr>
            <w:tcW w:w="764" w:type="dxa"/>
            <w:tcBorders>
              <w:top w:val="single" w:color="auto" w:sz="4" w:space="0"/>
              <w:bottom w:val="single" w:color="000000" w:sz="4" w:space="0"/>
            </w:tcBorders>
            <w:shd w:val="clear" w:color="auto" w:fill="auto"/>
            <w:vAlign w:val="center"/>
          </w:tcPr>
          <w:p w14:paraId="40BD2441">
            <w:pPr>
              <w:jc w:val="center"/>
              <w:rPr>
                <w:rFonts w:ascii="Arial" w:hAnsi="Arial" w:eastAsia="宋体" w:cs="Arial"/>
                <w:sz w:val="16"/>
                <w:szCs w:val="16"/>
              </w:rPr>
            </w:pPr>
            <w:r>
              <w:rPr>
                <w:rFonts w:ascii="Arial" w:hAnsi="Arial" w:eastAsia="宋体" w:cs="Arial"/>
                <w:sz w:val="16"/>
                <w:szCs w:val="16"/>
              </w:rPr>
              <w:t>A</w:t>
            </w:r>
          </w:p>
        </w:tc>
        <w:tc>
          <w:tcPr>
            <w:tcW w:w="1004" w:type="dxa"/>
            <w:tcBorders>
              <w:top w:val="single" w:color="auto" w:sz="4" w:space="0"/>
              <w:bottom w:val="single" w:color="000000" w:sz="4" w:space="0"/>
            </w:tcBorders>
            <w:shd w:val="clear" w:color="auto" w:fill="auto"/>
            <w:vAlign w:val="center"/>
          </w:tcPr>
          <w:p w14:paraId="3324AA68">
            <w:pPr>
              <w:jc w:val="center"/>
              <w:rPr>
                <w:rFonts w:ascii="Arial" w:hAnsi="Arial" w:eastAsia="宋体" w:cs="Arial"/>
                <w:sz w:val="16"/>
                <w:szCs w:val="16"/>
              </w:rPr>
            </w:pPr>
            <w:r>
              <w:rPr>
                <w:rFonts w:ascii="Arial" w:hAnsi="Arial" w:eastAsia="宋体" w:cs="Arial"/>
                <w:sz w:val="16"/>
                <w:szCs w:val="16"/>
              </w:rPr>
              <w:t>Hemolysis rate/%</w:t>
            </w:r>
          </w:p>
        </w:tc>
        <w:tc>
          <w:tcPr>
            <w:tcW w:w="754" w:type="dxa"/>
            <w:tcBorders>
              <w:top w:val="single" w:color="auto" w:sz="4" w:space="0"/>
              <w:bottom w:val="single" w:color="000000" w:sz="4" w:space="0"/>
            </w:tcBorders>
            <w:shd w:val="clear" w:color="auto" w:fill="auto"/>
            <w:vAlign w:val="center"/>
          </w:tcPr>
          <w:p w14:paraId="20AA14A0">
            <w:pPr>
              <w:jc w:val="center"/>
              <w:rPr>
                <w:rFonts w:ascii="Arial" w:hAnsi="Arial" w:eastAsia="宋体" w:cs="Arial"/>
                <w:sz w:val="16"/>
                <w:szCs w:val="16"/>
              </w:rPr>
            </w:pPr>
            <w:r>
              <w:rPr>
                <w:rFonts w:ascii="Arial" w:hAnsi="Arial" w:eastAsia="宋体" w:cs="Arial"/>
                <w:sz w:val="16"/>
                <w:szCs w:val="16"/>
              </w:rPr>
              <w:t>A</w:t>
            </w:r>
          </w:p>
        </w:tc>
        <w:tc>
          <w:tcPr>
            <w:tcW w:w="971" w:type="dxa"/>
            <w:tcBorders>
              <w:top w:val="single" w:color="auto" w:sz="4" w:space="0"/>
              <w:bottom w:val="single" w:color="000000" w:sz="4" w:space="0"/>
            </w:tcBorders>
            <w:shd w:val="clear" w:color="auto" w:fill="auto"/>
            <w:vAlign w:val="center"/>
          </w:tcPr>
          <w:p w14:paraId="37E6047C">
            <w:pPr>
              <w:jc w:val="center"/>
              <w:rPr>
                <w:rFonts w:ascii="Arial" w:hAnsi="Arial" w:eastAsia="宋体" w:cs="Arial"/>
                <w:sz w:val="16"/>
                <w:szCs w:val="16"/>
              </w:rPr>
            </w:pPr>
            <w:r>
              <w:rPr>
                <w:rFonts w:ascii="Arial" w:hAnsi="Arial" w:eastAsia="宋体" w:cs="Arial"/>
                <w:sz w:val="16"/>
                <w:szCs w:val="16"/>
              </w:rPr>
              <w:t>Hemolysis rate/%</w:t>
            </w:r>
          </w:p>
        </w:tc>
      </w:tr>
      <w:tr w14:paraId="08BA989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46" w:hRule="atLeast"/>
          <w:jc w:val="center"/>
        </w:trPr>
        <w:tc>
          <w:tcPr>
            <w:tcW w:w="1852" w:type="dxa"/>
            <w:tcBorders>
              <w:top w:val="single" w:color="000000" w:sz="4" w:space="0"/>
              <w:tl2br w:val="nil"/>
              <w:tr2bl w:val="nil"/>
            </w:tcBorders>
            <w:vAlign w:val="center"/>
          </w:tcPr>
          <w:p w14:paraId="4DF42D3C">
            <w:pPr>
              <w:jc w:val="center"/>
              <w:rPr>
                <w:rFonts w:ascii="Arial" w:hAnsi="Arial" w:eastAsia="宋体" w:cs="Arial"/>
                <w:sz w:val="16"/>
                <w:szCs w:val="16"/>
              </w:rPr>
            </w:pPr>
            <w:r>
              <w:rPr>
                <w:rFonts w:hint="eastAsia" w:ascii="Arial" w:hAnsi="Arial" w:eastAsia="宋体" w:cs="Arial"/>
                <w:sz w:val="16"/>
                <w:szCs w:val="16"/>
              </w:rPr>
              <w:t>D</w:t>
            </w:r>
            <w:r>
              <w:rPr>
                <w:rFonts w:ascii="Arial" w:hAnsi="Arial" w:eastAsia="宋体" w:cs="Arial"/>
                <w:sz w:val="16"/>
                <w:szCs w:val="16"/>
              </w:rPr>
              <w:t>eionized water</w:t>
            </w:r>
          </w:p>
        </w:tc>
        <w:tc>
          <w:tcPr>
            <w:tcW w:w="785" w:type="dxa"/>
            <w:tcBorders>
              <w:top w:val="single" w:color="000000" w:sz="4" w:space="0"/>
              <w:tl2br w:val="nil"/>
              <w:tr2bl w:val="nil"/>
            </w:tcBorders>
            <w:vAlign w:val="center"/>
          </w:tcPr>
          <w:p w14:paraId="2B7836B5">
            <w:pPr>
              <w:jc w:val="center"/>
              <w:rPr>
                <w:rFonts w:ascii="Arial" w:hAnsi="Arial" w:eastAsia="宋体" w:cs="Arial"/>
                <w:sz w:val="16"/>
                <w:szCs w:val="16"/>
              </w:rPr>
            </w:pPr>
            <w:r>
              <w:rPr>
                <w:rFonts w:ascii="Arial" w:hAnsi="Arial" w:eastAsia="宋体" w:cs="Arial"/>
                <w:sz w:val="16"/>
                <w:szCs w:val="16"/>
              </w:rPr>
              <w:t>2.210</w:t>
            </w:r>
          </w:p>
        </w:tc>
        <w:tc>
          <w:tcPr>
            <w:tcW w:w="982" w:type="dxa"/>
            <w:tcBorders>
              <w:top w:val="single" w:color="000000" w:sz="4" w:space="0"/>
              <w:tl2br w:val="nil"/>
              <w:tr2bl w:val="nil"/>
            </w:tcBorders>
            <w:vAlign w:val="center"/>
          </w:tcPr>
          <w:p w14:paraId="3DD78469">
            <w:pPr>
              <w:jc w:val="center"/>
              <w:rPr>
                <w:rFonts w:ascii="Arial" w:hAnsi="Arial" w:eastAsia="宋体" w:cs="Arial"/>
                <w:sz w:val="16"/>
                <w:szCs w:val="16"/>
              </w:rPr>
            </w:pPr>
            <w:r>
              <w:rPr>
                <w:rFonts w:ascii="Arial" w:hAnsi="Arial" w:eastAsia="宋体" w:cs="Arial"/>
                <w:sz w:val="16"/>
                <w:szCs w:val="16"/>
              </w:rPr>
              <w:t>100</w:t>
            </w:r>
          </w:p>
        </w:tc>
        <w:tc>
          <w:tcPr>
            <w:tcW w:w="753" w:type="dxa"/>
            <w:tcBorders>
              <w:top w:val="single" w:color="000000" w:sz="4" w:space="0"/>
              <w:tl2br w:val="nil"/>
              <w:tr2bl w:val="nil"/>
            </w:tcBorders>
            <w:vAlign w:val="center"/>
          </w:tcPr>
          <w:p w14:paraId="0FFF9500">
            <w:pPr>
              <w:jc w:val="center"/>
              <w:rPr>
                <w:rFonts w:ascii="Arial" w:hAnsi="Arial" w:eastAsia="宋体" w:cs="Arial"/>
                <w:sz w:val="16"/>
                <w:szCs w:val="16"/>
              </w:rPr>
            </w:pPr>
            <w:r>
              <w:rPr>
                <w:rFonts w:ascii="Arial" w:hAnsi="Arial" w:eastAsia="宋体" w:cs="Arial"/>
                <w:sz w:val="16"/>
                <w:szCs w:val="16"/>
              </w:rPr>
              <w:t>2.210</w:t>
            </w:r>
          </w:p>
        </w:tc>
        <w:tc>
          <w:tcPr>
            <w:tcW w:w="970" w:type="dxa"/>
            <w:tcBorders>
              <w:top w:val="single" w:color="000000" w:sz="4" w:space="0"/>
              <w:tl2br w:val="nil"/>
              <w:tr2bl w:val="nil"/>
            </w:tcBorders>
            <w:vAlign w:val="center"/>
          </w:tcPr>
          <w:p w14:paraId="5B03E735">
            <w:pPr>
              <w:jc w:val="center"/>
              <w:rPr>
                <w:rFonts w:ascii="Arial" w:hAnsi="Arial" w:eastAsia="宋体" w:cs="Arial"/>
                <w:sz w:val="16"/>
                <w:szCs w:val="16"/>
              </w:rPr>
            </w:pPr>
            <w:r>
              <w:rPr>
                <w:rFonts w:ascii="Arial" w:hAnsi="Arial" w:eastAsia="宋体" w:cs="Arial"/>
                <w:sz w:val="16"/>
                <w:szCs w:val="16"/>
              </w:rPr>
              <w:t>100</w:t>
            </w:r>
          </w:p>
        </w:tc>
        <w:tc>
          <w:tcPr>
            <w:tcW w:w="764" w:type="dxa"/>
            <w:tcBorders>
              <w:top w:val="single" w:color="000000" w:sz="4" w:space="0"/>
              <w:tl2br w:val="nil"/>
              <w:tr2bl w:val="nil"/>
            </w:tcBorders>
            <w:shd w:val="clear" w:color="auto" w:fill="auto"/>
            <w:vAlign w:val="center"/>
          </w:tcPr>
          <w:p w14:paraId="3FC9BDA9">
            <w:pPr>
              <w:jc w:val="center"/>
              <w:rPr>
                <w:rFonts w:ascii="Arial" w:hAnsi="Arial" w:eastAsia="宋体" w:cs="Arial"/>
                <w:sz w:val="16"/>
                <w:szCs w:val="16"/>
              </w:rPr>
            </w:pPr>
            <w:r>
              <w:rPr>
                <w:rFonts w:ascii="Arial" w:hAnsi="Arial" w:eastAsia="宋体" w:cs="Arial"/>
                <w:sz w:val="16"/>
                <w:szCs w:val="16"/>
              </w:rPr>
              <w:t>2.210</w:t>
            </w:r>
          </w:p>
        </w:tc>
        <w:tc>
          <w:tcPr>
            <w:tcW w:w="1004" w:type="dxa"/>
            <w:tcBorders>
              <w:top w:val="single" w:color="000000" w:sz="4" w:space="0"/>
              <w:tl2br w:val="nil"/>
              <w:tr2bl w:val="nil"/>
            </w:tcBorders>
            <w:shd w:val="clear" w:color="auto" w:fill="auto"/>
            <w:vAlign w:val="center"/>
          </w:tcPr>
          <w:p w14:paraId="397DDB54">
            <w:pPr>
              <w:jc w:val="center"/>
              <w:rPr>
                <w:rFonts w:ascii="Arial" w:hAnsi="Arial" w:eastAsia="宋体" w:cs="Arial"/>
                <w:sz w:val="16"/>
                <w:szCs w:val="16"/>
              </w:rPr>
            </w:pPr>
            <w:r>
              <w:rPr>
                <w:rFonts w:ascii="Arial" w:hAnsi="Arial" w:eastAsia="宋体" w:cs="Arial"/>
                <w:sz w:val="16"/>
                <w:szCs w:val="16"/>
              </w:rPr>
              <w:t>100</w:t>
            </w:r>
          </w:p>
        </w:tc>
        <w:tc>
          <w:tcPr>
            <w:tcW w:w="754" w:type="dxa"/>
            <w:tcBorders>
              <w:top w:val="single" w:color="000000" w:sz="4" w:space="0"/>
              <w:tl2br w:val="nil"/>
              <w:tr2bl w:val="nil"/>
            </w:tcBorders>
            <w:shd w:val="clear" w:color="auto" w:fill="auto"/>
            <w:vAlign w:val="center"/>
          </w:tcPr>
          <w:p w14:paraId="2C5404AD">
            <w:pPr>
              <w:jc w:val="center"/>
              <w:rPr>
                <w:rFonts w:ascii="Arial" w:hAnsi="Arial" w:eastAsia="宋体" w:cs="Arial"/>
                <w:sz w:val="16"/>
                <w:szCs w:val="16"/>
              </w:rPr>
            </w:pPr>
            <w:r>
              <w:rPr>
                <w:rFonts w:ascii="Arial" w:hAnsi="Arial" w:eastAsia="宋体" w:cs="Arial"/>
                <w:sz w:val="16"/>
                <w:szCs w:val="16"/>
              </w:rPr>
              <w:t>2.210</w:t>
            </w:r>
          </w:p>
        </w:tc>
        <w:tc>
          <w:tcPr>
            <w:tcW w:w="971" w:type="dxa"/>
            <w:tcBorders>
              <w:top w:val="single" w:color="000000" w:sz="4" w:space="0"/>
              <w:tl2br w:val="nil"/>
              <w:tr2bl w:val="nil"/>
            </w:tcBorders>
            <w:shd w:val="clear" w:color="auto" w:fill="auto"/>
            <w:vAlign w:val="center"/>
          </w:tcPr>
          <w:p w14:paraId="2E442E8D">
            <w:pPr>
              <w:jc w:val="center"/>
              <w:rPr>
                <w:rFonts w:ascii="Arial" w:hAnsi="Arial" w:eastAsia="宋体" w:cs="Arial"/>
                <w:sz w:val="16"/>
                <w:szCs w:val="16"/>
              </w:rPr>
            </w:pPr>
            <w:r>
              <w:rPr>
                <w:rFonts w:ascii="Arial" w:hAnsi="Arial" w:eastAsia="宋体" w:cs="Arial"/>
                <w:sz w:val="16"/>
                <w:szCs w:val="16"/>
              </w:rPr>
              <w:t>100</w:t>
            </w:r>
          </w:p>
        </w:tc>
      </w:tr>
      <w:tr w14:paraId="3C5682FB">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36" w:hRule="atLeast"/>
          <w:jc w:val="center"/>
        </w:trPr>
        <w:tc>
          <w:tcPr>
            <w:tcW w:w="1852" w:type="dxa"/>
            <w:tcBorders>
              <w:tl2br w:val="nil"/>
              <w:tr2bl w:val="nil"/>
            </w:tcBorders>
            <w:vAlign w:val="center"/>
          </w:tcPr>
          <w:p w14:paraId="797B8EC5">
            <w:pPr>
              <w:jc w:val="center"/>
              <w:rPr>
                <w:rFonts w:ascii="Arial" w:hAnsi="Arial" w:eastAsia="宋体" w:cs="Arial"/>
                <w:sz w:val="16"/>
                <w:szCs w:val="16"/>
              </w:rPr>
            </w:pPr>
            <w:r>
              <w:rPr>
                <w:rFonts w:ascii="Arial" w:hAnsi="Arial" w:eastAsia="宋体" w:cs="Arial"/>
                <w:sz w:val="16"/>
                <w:szCs w:val="16"/>
              </w:rPr>
              <w:t>0.9% Sodium Chloride</w:t>
            </w:r>
          </w:p>
        </w:tc>
        <w:tc>
          <w:tcPr>
            <w:tcW w:w="785" w:type="dxa"/>
            <w:tcBorders>
              <w:tl2br w:val="nil"/>
              <w:tr2bl w:val="nil"/>
            </w:tcBorders>
            <w:vAlign w:val="center"/>
          </w:tcPr>
          <w:p w14:paraId="14212031">
            <w:pPr>
              <w:jc w:val="center"/>
              <w:rPr>
                <w:rFonts w:ascii="Arial" w:hAnsi="Arial" w:eastAsia="宋体" w:cs="Arial"/>
                <w:sz w:val="16"/>
                <w:szCs w:val="16"/>
              </w:rPr>
            </w:pPr>
            <w:r>
              <w:rPr>
                <w:rFonts w:ascii="Arial" w:hAnsi="Arial" w:eastAsia="宋体" w:cs="Arial"/>
                <w:sz w:val="16"/>
                <w:szCs w:val="16"/>
              </w:rPr>
              <w:t>0.138</w:t>
            </w:r>
          </w:p>
        </w:tc>
        <w:tc>
          <w:tcPr>
            <w:tcW w:w="982" w:type="dxa"/>
            <w:tcBorders>
              <w:tl2br w:val="nil"/>
              <w:tr2bl w:val="nil"/>
            </w:tcBorders>
            <w:vAlign w:val="center"/>
          </w:tcPr>
          <w:p w14:paraId="55DCBEC2">
            <w:pPr>
              <w:jc w:val="center"/>
              <w:rPr>
                <w:rFonts w:ascii="Arial" w:hAnsi="Arial" w:eastAsia="宋体" w:cs="Arial"/>
                <w:sz w:val="16"/>
                <w:szCs w:val="16"/>
              </w:rPr>
            </w:pPr>
            <w:r>
              <w:rPr>
                <w:rFonts w:ascii="Arial" w:hAnsi="Arial" w:eastAsia="宋体" w:cs="Arial"/>
                <w:sz w:val="16"/>
                <w:szCs w:val="16"/>
              </w:rPr>
              <w:t>0.05</w:t>
            </w:r>
          </w:p>
        </w:tc>
        <w:tc>
          <w:tcPr>
            <w:tcW w:w="753" w:type="dxa"/>
            <w:tcBorders>
              <w:tl2br w:val="nil"/>
              <w:tr2bl w:val="nil"/>
            </w:tcBorders>
            <w:vAlign w:val="center"/>
          </w:tcPr>
          <w:p w14:paraId="108EF2D8">
            <w:pPr>
              <w:jc w:val="center"/>
              <w:rPr>
                <w:rFonts w:ascii="Arial" w:hAnsi="Arial" w:eastAsia="宋体" w:cs="Arial"/>
                <w:sz w:val="16"/>
                <w:szCs w:val="16"/>
              </w:rPr>
            </w:pPr>
            <w:r>
              <w:rPr>
                <w:rFonts w:ascii="Arial" w:hAnsi="Arial" w:eastAsia="宋体" w:cs="Arial"/>
                <w:sz w:val="16"/>
                <w:szCs w:val="16"/>
              </w:rPr>
              <w:t>0.138</w:t>
            </w:r>
          </w:p>
        </w:tc>
        <w:tc>
          <w:tcPr>
            <w:tcW w:w="970" w:type="dxa"/>
            <w:tcBorders>
              <w:tl2br w:val="nil"/>
              <w:tr2bl w:val="nil"/>
            </w:tcBorders>
            <w:vAlign w:val="center"/>
          </w:tcPr>
          <w:p w14:paraId="5706FE31">
            <w:pPr>
              <w:jc w:val="center"/>
              <w:rPr>
                <w:rFonts w:ascii="Arial" w:hAnsi="Arial" w:eastAsia="宋体" w:cs="Arial"/>
                <w:sz w:val="16"/>
                <w:szCs w:val="16"/>
              </w:rPr>
            </w:pPr>
            <w:r>
              <w:rPr>
                <w:rFonts w:ascii="Arial" w:hAnsi="Arial" w:eastAsia="宋体" w:cs="Arial"/>
                <w:sz w:val="16"/>
                <w:szCs w:val="16"/>
              </w:rPr>
              <w:t>0.05</w:t>
            </w:r>
          </w:p>
        </w:tc>
        <w:tc>
          <w:tcPr>
            <w:tcW w:w="764" w:type="dxa"/>
            <w:tcBorders>
              <w:tl2br w:val="nil"/>
              <w:tr2bl w:val="nil"/>
            </w:tcBorders>
            <w:shd w:val="clear" w:color="auto" w:fill="auto"/>
            <w:vAlign w:val="center"/>
          </w:tcPr>
          <w:p w14:paraId="425280B5">
            <w:pPr>
              <w:jc w:val="center"/>
              <w:rPr>
                <w:rFonts w:ascii="Arial" w:hAnsi="Arial" w:eastAsia="宋体" w:cs="Arial"/>
                <w:sz w:val="16"/>
                <w:szCs w:val="16"/>
              </w:rPr>
            </w:pPr>
            <w:r>
              <w:rPr>
                <w:rFonts w:ascii="Arial" w:hAnsi="Arial" w:eastAsia="宋体" w:cs="Arial"/>
                <w:sz w:val="16"/>
                <w:szCs w:val="16"/>
              </w:rPr>
              <w:t>0.138</w:t>
            </w:r>
          </w:p>
        </w:tc>
        <w:tc>
          <w:tcPr>
            <w:tcW w:w="1004" w:type="dxa"/>
            <w:tcBorders>
              <w:tl2br w:val="nil"/>
              <w:tr2bl w:val="nil"/>
            </w:tcBorders>
            <w:shd w:val="clear" w:color="auto" w:fill="auto"/>
            <w:vAlign w:val="center"/>
          </w:tcPr>
          <w:p w14:paraId="72207099">
            <w:pPr>
              <w:jc w:val="center"/>
              <w:rPr>
                <w:rFonts w:ascii="Arial" w:hAnsi="Arial" w:eastAsia="宋体" w:cs="Arial"/>
                <w:sz w:val="16"/>
                <w:szCs w:val="16"/>
              </w:rPr>
            </w:pPr>
            <w:r>
              <w:rPr>
                <w:rFonts w:ascii="Arial" w:hAnsi="Arial" w:eastAsia="宋体" w:cs="Arial"/>
                <w:sz w:val="16"/>
                <w:szCs w:val="16"/>
              </w:rPr>
              <w:t>0.05</w:t>
            </w:r>
          </w:p>
        </w:tc>
        <w:tc>
          <w:tcPr>
            <w:tcW w:w="754" w:type="dxa"/>
            <w:tcBorders>
              <w:tl2br w:val="nil"/>
              <w:tr2bl w:val="nil"/>
            </w:tcBorders>
            <w:shd w:val="clear" w:color="auto" w:fill="auto"/>
            <w:vAlign w:val="center"/>
          </w:tcPr>
          <w:p w14:paraId="618C9D68">
            <w:pPr>
              <w:jc w:val="center"/>
              <w:rPr>
                <w:rFonts w:ascii="Arial" w:hAnsi="Arial" w:eastAsia="宋体" w:cs="Arial"/>
                <w:sz w:val="16"/>
                <w:szCs w:val="16"/>
              </w:rPr>
            </w:pPr>
            <w:r>
              <w:rPr>
                <w:rFonts w:ascii="Arial" w:hAnsi="Arial" w:eastAsia="宋体" w:cs="Arial"/>
                <w:sz w:val="16"/>
                <w:szCs w:val="16"/>
              </w:rPr>
              <w:t>0.138</w:t>
            </w:r>
          </w:p>
        </w:tc>
        <w:tc>
          <w:tcPr>
            <w:tcW w:w="971" w:type="dxa"/>
            <w:tcBorders>
              <w:tl2br w:val="nil"/>
              <w:tr2bl w:val="nil"/>
            </w:tcBorders>
            <w:shd w:val="clear" w:color="auto" w:fill="auto"/>
            <w:vAlign w:val="center"/>
          </w:tcPr>
          <w:p w14:paraId="6A7F9A7C">
            <w:pPr>
              <w:jc w:val="center"/>
              <w:rPr>
                <w:rFonts w:ascii="Arial" w:hAnsi="Arial" w:eastAsia="宋体" w:cs="Arial"/>
                <w:sz w:val="16"/>
                <w:szCs w:val="16"/>
              </w:rPr>
            </w:pPr>
            <w:r>
              <w:rPr>
                <w:rFonts w:ascii="Arial" w:hAnsi="Arial" w:eastAsia="宋体" w:cs="Arial"/>
                <w:sz w:val="16"/>
                <w:szCs w:val="16"/>
              </w:rPr>
              <w:t>0.05</w:t>
            </w:r>
          </w:p>
        </w:tc>
      </w:tr>
      <w:tr w14:paraId="1213B2B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95" w:hRule="atLeast"/>
          <w:jc w:val="center"/>
        </w:trPr>
        <w:tc>
          <w:tcPr>
            <w:tcW w:w="1852" w:type="dxa"/>
            <w:tcBorders>
              <w:tl2br w:val="nil"/>
              <w:tr2bl w:val="nil"/>
            </w:tcBorders>
            <w:vAlign w:val="center"/>
          </w:tcPr>
          <w:p w14:paraId="5DEB9B4B">
            <w:pPr>
              <w:jc w:val="center"/>
              <w:rPr>
                <w:rFonts w:ascii="Arial" w:hAnsi="Arial" w:eastAsia="宋体" w:cs="Arial"/>
                <w:sz w:val="16"/>
                <w:szCs w:val="16"/>
              </w:rPr>
            </w:pPr>
            <w:r>
              <w:rPr>
                <w:rFonts w:ascii="Arial" w:hAnsi="Arial" w:eastAsia="宋体" w:cs="Arial"/>
                <w:sz w:val="16"/>
                <w:szCs w:val="16"/>
              </w:rPr>
              <w:t>1</w:t>
            </w:r>
          </w:p>
        </w:tc>
        <w:tc>
          <w:tcPr>
            <w:tcW w:w="785" w:type="dxa"/>
            <w:tcBorders>
              <w:tl2br w:val="nil"/>
              <w:tr2bl w:val="nil"/>
            </w:tcBorders>
            <w:vAlign w:val="center"/>
          </w:tcPr>
          <w:p w14:paraId="32B16A5B">
            <w:pPr>
              <w:jc w:val="center"/>
              <w:rPr>
                <w:rFonts w:ascii="Arial" w:hAnsi="Arial" w:eastAsia="宋体" w:cs="Arial"/>
                <w:sz w:val="16"/>
                <w:szCs w:val="16"/>
              </w:rPr>
            </w:pPr>
            <w:r>
              <w:rPr>
                <w:rFonts w:ascii="Arial" w:hAnsi="Arial" w:eastAsia="宋体" w:cs="Arial"/>
                <w:sz w:val="16"/>
                <w:szCs w:val="16"/>
              </w:rPr>
              <w:t>0.142</w:t>
            </w:r>
          </w:p>
        </w:tc>
        <w:tc>
          <w:tcPr>
            <w:tcW w:w="982" w:type="dxa"/>
            <w:tcBorders>
              <w:tl2br w:val="nil"/>
              <w:tr2bl w:val="nil"/>
            </w:tcBorders>
            <w:vAlign w:val="center"/>
          </w:tcPr>
          <w:p w14:paraId="5B4A044B">
            <w:pPr>
              <w:jc w:val="center"/>
              <w:rPr>
                <w:rFonts w:ascii="Arial" w:hAnsi="Arial" w:eastAsia="宋体" w:cs="Arial"/>
                <w:sz w:val="16"/>
                <w:szCs w:val="16"/>
              </w:rPr>
            </w:pPr>
            <w:r>
              <w:rPr>
                <w:rFonts w:ascii="Arial" w:hAnsi="Arial" w:eastAsia="宋体" w:cs="Arial"/>
                <w:sz w:val="16"/>
                <w:szCs w:val="16"/>
              </w:rPr>
              <w:t>0.19</w:t>
            </w:r>
          </w:p>
        </w:tc>
        <w:tc>
          <w:tcPr>
            <w:tcW w:w="753" w:type="dxa"/>
            <w:tcBorders>
              <w:tl2br w:val="nil"/>
              <w:tr2bl w:val="nil"/>
            </w:tcBorders>
            <w:vAlign w:val="center"/>
          </w:tcPr>
          <w:p w14:paraId="419385EA">
            <w:pPr>
              <w:jc w:val="center"/>
              <w:rPr>
                <w:rFonts w:ascii="Arial" w:hAnsi="Arial" w:eastAsia="宋体" w:cs="Arial"/>
                <w:sz w:val="16"/>
                <w:szCs w:val="16"/>
              </w:rPr>
            </w:pPr>
            <w:r>
              <w:rPr>
                <w:rFonts w:ascii="Arial" w:hAnsi="Arial" w:eastAsia="宋体" w:cs="Arial"/>
                <w:sz w:val="16"/>
                <w:szCs w:val="16"/>
              </w:rPr>
              <w:t>0.150</w:t>
            </w:r>
          </w:p>
        </w:tc>
        <w:tc>
          <w:tcPr>
            <w:tcW w:w="970" w:type="dxa"/>
            <w:tcBorders>
              <w:tl2br w:val="nil"/>
              <w:tr2bl w:val="nil"/>
            </w:tcBorders>
            <w:vAlign w:val="center"/>
          </w:tcPr>
          <w:p w14:paraId="53854596">
            <w:pPr>
              <w:jc w:val="center"/>
              <w:rPr>
                <w:rFonts w:ascii="Arial" w:hAnsi="Arial" w:eastAsia="宋体" w:cs="Arial"/>
                <w:sz w:val="16"/>
                <w:szCs w:val="16"/>
              </w:rPr>
            </w:pPr>
            <w:r>
              <w:rPr>
                <w:rFonts w:ascii="Arial" w:hAnsi="Arial" w:eastAsia="宋体" w:cs="Arial"/>
                <w:sz w:val="16"/>
                <w:szCs w:val="16"/>
              </w:rPr>
              <w:t>0.58</w:t>
            </w:r>
          </w:p>
        </w:tc>
        <w:tc>
          <w:tcPr>
            <w:tcW w:w="764" w:type="dxa"/>
            <w:tcBorders>
              <w:tl2br w:val="nil"/>
              <w:tr2bl w:val="nil"/>
            </w:tcBorders>
            <w:shd w:val="clear" w:color="auto" w:fill="auto"/>
            <w:vAlign w:val="center"/>
          </w:tcPr>
          <w:p w14:paraId="3ACB74B1">
            <w:pPr>
              <w:jc w:val="center"/>
              <w:rPr>
                <w:rFonts w:ascii="Arial" w:hAnsi="Arial" w:eastAsia="宋体" w:cs="Arial"/>
                <w:sz w:val="16"/>
                <w:szCs w:val="16"/>
              </w:rPr>
            </w:pPr>
            <w:r>
              <w:rPr>
                <w:rFonts w:ascii="Arial" w:hAnsi="Arial" w:eastAsia="宋体" w:cs="Arial"/>
                <w:sz w:val="16"/>
                <w:szCs w:val="16"/>
              </w:rPr>
              <w:t>0.147</w:t>
            </w:r>
          </w:p>
        </w:tc>
        <w:tc>
          <w:tcPr>
            <w:tcW w:w="1004" w:type="dxa"/>
            <w:tcBorders>
              <w:tl2br w:val="nil"/>
              <w:tr2bl w:val="nil"/>
            </w:tcBorders>
            <w:shd w:val="clear" w:color="auto" w:fill="auto"/>
            <w:vAlign w:val="center"/>
          </w:tcPr>
          <w:p w14:paraId="2A48850A">
            <w:pPr>
              <w:jc w:val="center"/>
              <w:rPr>
                <w:rFonts w:ascii="Arial" w:hAnsi="Arial" w:eastAsia="宋体" w:cs="Arial"/>
                <w:sz w:val="16"/>
                <w:szCs w:val="16"/>
              </w:rPr>
            </w:pPr>
            <w:r>
              <w:rPr>
                <w:rFonts w:ascii="Arial" w:hAnsi="Arial" w:eastAsia="宋体" w:cs="Arial"/>
                <w:sz w:val="16"/>
                <w:szCs w:val="16"/>
              </w:rPr>
              <w:t>0.43</w:t>
            </w:r>
          </w:p>
        </w:tc>
        <w:tc>
          <w:tcPr>
            <w:tcW w:w="754" w:type="dxa"/>
            <w:tcBorders>
              <w:tl2br w:val="nil"/>
              <w:tr2bl w:val="nil"/>
            </w:tcBorders>
            <w:shd w:val="clear" w:color="auto" w:fill="auto"/>
            <w:vAlign w:val="center"/>
          </w:tcPr>
          <w:p w14:paraId="3B24A933">
            <w:pPr>
              <w:jc w:val="center"/>
              <w:rPr>
                <w:rFonts w:ascii="Arial" w:hAnsi="Arial" w:eastAsia="宋体" w:cs="Arial"/>
                <w:sz w:val="16"/>
                <w:szCs w:val="16"/>
              </w:rPr>
            </w:pPr>
            <w:r>
              <w:rPr>
                <w:rFonts w:ascii="Arial" w:hAnsi="Arial" w:eastAsia="宋体" w:cs="Arial"/>
                <w:sz w:val="16"/>
                <w:szCs w:val="16"/>
              </w:rPr>
              <w:t>0.162</w:t>
            </w:r>
          </w:p>
        </w:tc>
        <w:tc>
          <w:tcPr>
            <w:tcW w:w="971" w:type="dxa"/>
            <w:tcBorders>
              <w:tl2br w:val="nil"/>
              <w:tr2bl w:val="nil"/>
            </w:tcBorders>
            <w:shd w:val="clear" w:color="auto" w:fill="auto"/>
            <w:vAlign w:val="center"/>
          </w:tcPr>
          <w:p w14:paraId="087BD7D5">
            <w:pPr>
              <w:jc w:val="center"/>
              <w:rPr>
                <w:rFonts w:ascii="Arial" w:hAnsi="Arial" w:eastAsia="宋体" w:cs="Arial"/>
                <w:sz w:val="16"/>
                <w:szCs w:val="16"/>
              </w:rPr>
            </w:pPr>
            <w:r>
              <w:rPr>
                <w:rFonts w:ascii="Arial" w:hAnsi="Arial" w:eastAsia="宋体" w:cs="Arial"/>
                <w:sz w:val="16"/>
                <w:szCs w:val="16"/>
              </w:rPr>
              <w:t>1.16</w:t>
            </w:r>
          </w:p>
        </w:tc>
      </w:tr>
      <w:tr w14:paraId="5B1F5F1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95" w:hRule="atLeast"/>
          <w:jc w:val="center"/>
        </w:trPr>
        <w:tc>
          <w:tcPr>
            <w:tcW w:w="1852" w:type="dxa"/>
            <w:tcBorders>
              <w:tl2br w:val="nil"/>
              <w:tr2bl w:val="nil"/>
            </w:tcBorders>
            <w:vAlign w:val="center"/>
          </w:tcPr>
          <w:p w14:paraId="18BCC485">
            <w:pPr>
              <w:jc w:val="center"/>
              <w:rPr>
                <w:rFonts w:ascii="Arial" w:hAnsi="Arial" w:eastAsia="宋体" w:cs="Arial"/>
                <w:sz w:val="16"/>
                <w:szCs w:val="16"/>
              </w:rPr>
            </w:pPr>
            <w:r>
              <w:rPr>
                <w:rFonts w:ascii="Arial" w:hAnsi="Arial" w:eastAsia="宋体" w:cs="Arial"/>
                <w:sz w:val="16"/>
                <w:szCs w:val="16"/>
              </w:rPr>
              <w:t>2</w:t>
            </w:r>
          </w:p>
        </w:tc>
        <w:tc>
          <w:tcPr>
            <w:tcW w:w="785" w:type="dxa"/>
            <w:tcBorders>
              <w:tl2br w:val="nil"/>
              <w:tr2bl w:val="nil"/>
            </w:tcBorders>
            <w:vAlign w:val="center"/>
          </w:tcPr>
          <w:p w14:paraId="1CCBDD36">
            <w:pPr>
              <w:jc w:val="center"/>
              <w:rPr>
                <w:rFonts w:ascii="Arial" w:hAnsi="Arial" w:eastAsia="宋体" w:cs="Arial"/>
                <w:sz w:val="16"/>
                <w:szCs w:val="16"/>
              </w:rPr>
            </w:pPr>
            <w:r>
              <w:rPr>
                <w:rFonts w:ascii="Arial" w:hAnsi="Arial" w:eastAsia="宋体" w:cs="Arial"/>
                <w:sz w:val="16"/>
                <w:szCs w:val="16"/>
              </w:rPr>
              <w:t>0.144</w:t>
            </w:r>
          </w:p>
        </w:tc>
        <w:tc>
          <w:tcPr>
            <w:tcW w:w="982" w:type="dxa"/>
            <w:tcBorders>
              <w:tl2br w:val="nil"/>
              <w:tr2bl w:val="nil"/>
            </w:tcBorders>
            <w:vAlign w:val="center"/>
          </w:tcPr>
          <w:p w14:paraId="53F2319D">
            <w:pPr>
              <w:jc w:val="center"/>
              <w:rPr>
                <w:rFonts w:ascii="Arial" w:hAnsi="Arial" w:eastAsia="宋体" w:cs="Arial"/>
                <w:sz w:val="16"/>
                <w:szCs w:val="16"/>
              </w:rPr>
            </w:pPr>
            <w:r>
              <w:rPr>
                <w:rFonts w:ascii="Arial" w:hAnsi="Arial" w:eastAsia="宋体" w:cs="Arial"/>
                <w:sz w:val="16"/>
                <w:szCs w:val="16"/>
              </w:rPr>
              <w:t>0.29</w:t>
            </w:r>
          </w:p>
        </w:tc>
        <w:tc>
          <w:tcPr>
            <w:tcW w:w="753" w:type="dxa"/>
            <w:tcBorders>
              <w:tl2br w:val="nil"/>
              <w:tr2bl w:val="nil"/>
            </w:tcBorders>
            <w:vAlign w:val="center"/>
          </w:tcPr>
          <w:p w14:paraId="0D663B71">
            <w:pPr>
              <w:jc w:val="center"/>
              <w:rPr>
                <w:rFonts w:ascii="Arial" w:hAnsi="Arial" w:eastAsia="宋体" w:cs="Arial"/>
                <w:sz w:val="16"/>
                <w:szCs w:val="16"/>
              </w:rPr>
            </w:pPr>
            <w:r>
              <w:rPr>
                <w:rFonts w:ascii="Arial" w:hAnsi="Arial" w:eastAsia="宋体" w:cs="Arial"/>
                <w:sz w:val="16"/>
                <w:szCs w:val="16"/>
              </w:rPr>
              <w:t>0.153</w:t>
            </w:r>
          </w:p>
        </w:tc>
        <w:tc>
          <w:tcPr>
            <w:tcW w:w="970" w:type="dxa"/>
            <w:tcBorders>
              <w:tl2br w:val="nil"/>
              <w:tr2bl w:val="nil"/>
            </w:tcBorders>
            <w:vAlign w:val="center"/>
          </w:tcPr>
          <w:p w14:paraId="260304A4">
            <w:pPr>
              <w:jc w:val="center"/>
              <w:rPr>
                <w:rFonts w:ascii="Arial" w:hAnsi="Arial" w:eastAsia="宋体" w:cs="Arial"/>
                <w:sz w:val="16"/>
                <w:szCs w:val="16"/>
              </w:rPr>
            </w:pPr>
            <w:r>
              <w:rPr>
                <w:rFonts w:ascii="Arial" w:hAnsi="Arial" w:eastAsia="宋体" w:cs="Arial"/>
                <w:sz w:val="16"/>
                <w:szCs w:val="16"/>
              </w:rPr>
              <w:t>0.72</w:t>
            </w:r>
          </w:p>
        </w:tc>
        <w:tc>
          <w:tcPr>
            <w:tcW w:w="764" w:type="dxa"/>
            <w:tcBorders>
              <w:tl2br w:val="nil"/>
              <w:tr2bl w:val="nil"/>
            </w:tcBorders>
            <w:shd w:val="clear" w:color="auto" w:fill="auto"/>
            <w:vAlign w:val="center"/>
          </w:tcPr>
          <w:p w14:paraId="5CD5CFF5">
            <w:pPr>
              <w:jc w:val="center"/>
              <w:rPr>
                <w:rFonts w:ascii="Arial" w:hAnsi="Arial" w:eastAsia="宋体" w:cs="Arial"/>
                <w:sz w:val="16"/>
                <w:szCs w:val="16"/>
              </w:rPr>
            </w:pPr>
            <w:r>
              <w:rPr>
                <w:rFonts w:ascii="Arial" w:hAnsi="Arial" w:eastAsia="宋体" w:cs="Arial"/>
                <w:sz w:val="16"/>
                <w:szCs w:val="16"/>
              </w:rPr>
              <w:t>0.156</w:t>
            </w:r>
          </w:p>
        </w:tc>
        <w:tc>
          <w:tcPr>
            <w:tcW w:w="1004" w:type="dxa"/>
            <w:tcBorders>
              <w:tl2br w:val="nil"/>
              <w:tr2bl w:val="nil"/>
            </w:tcBorders>
            <w:shd w:val="clear" w:color="auto" w:fill="auto"/>
            <w:vAlign w:val="center"/>
          </w:tcPr>
          <w:p w14:paraId="1197D5AE">
            <w:pPr>
              <w:jc w:val="center"/>
              <w:rPr>
                <w:rFonts w:ascii="Arial" w:hAnsi="Arial" w:eastAsia="宋体" w:cs="Arial"/>
                <w:sz w:val="16"/>
                <w:szCs w:val="16"/>
              </w:rPr>
            </w:pPr>
            <w:r>
              <w:rPr>
                <w:rFonts w:ascii="Arial" w:hAnsi="Arial" w:eastAsia="宋体" w:cs="Arial"/>
                <w:sz w:val="16"/>
                <w:szCs w:val="16"/>
              </w:rPr>
              <w:t>0.87</w:t>
            </w:r>
          </w:p>
        </w:tc>
        <w:tc>
          <w:tcPr>
            <w:tcW w:w="754" w:type="dxa"/>
            <w:tcBorders>
              <w:tl2br w:val="nil"/>
              <w:tr2bl w:val="nil"/>
            </w:tcBorders>
            <w:shd w:val="clear" w:color="auto" w:fill="auto"/>
            <w:vAlign w:val="center"/>
          </w:tcPr>
          <w:p w14:paraId="08ED285D">
            <w:pPr>
              <w:jc w:val="center"/>
              <w:rPr>
                <w:rFonts w:ascii="Arial" w:hAnsi="Arial" w:eastAsia="宋体" w:cs="Arial"/>
                <w:sz w:val="16"/>
                <w:szCs w:val="16"/>
              </w:rPr>
            </w:pPr>
            <w:r>
              <w:rPr>
                <w:rFonts w:ascii="Arial" w:hAnsi="Arial" w:eastAsia="宋体" w:cs="Arial"/>
                <w:sz w:val="16"/>
                <w:szCs w:val="16"/>
              </w:rPr>
              <w:t>0.170</w:t>
            </w:r>
          </w:p>
        </w:tc>
        <w:tc>
          <w:tcPr>
            <w:tcW w:w="971" w:type="dxa"/>
            <w:tcBorders>
              <w:tl2br w:val="nil"/>
              <w:tr2bl w:val="nil"/>
            </w:tcBorders>
            <w:shd w:val="clear" w:color="auto" w:fill="auto"/>
            <w:vAlign w:val="center"/>
          </w:tcPr>
          <w:p w14:paraId="0D323B73">
            <w:pPr>
              <w:jc w:val="center"/>
              <w:rPr>
                <w:rFonts w:ascii="Arial" w:hAnsi="Arial" w:eastAsia="宋体" w:cs="Arial"/>
                <w:sz w:val="16"/>
                <w:szCs w:val="16"/>
              </w:rPr>
            </w:pPr>
            <w:r>
              <w:rPr>
                <w:rFonts w:ascii="Arial" w:hAnsi="Arial" w:eastAsia="宋体" w:cs="Arial"/>
                <w:sz w:val="16"/>
                <w:szCs w:val="16"/>
              </w:rPr>
              <w:t>1.54</w:t>
            </w:r>
          </w:p>
        </w:tc>
      </w:tr>
      <w:tr w14:paraId="3A7F26F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95" w:hRule="atLeast"/>
          <w:jc w:val="center"/>
        </w:trPr>
        <w:tc>
          <w:tcPr>
            <w:tcW w:w="1852" w:type="dxa"/>
            <w:tcBorders>
              <w:tl2br w:val="nil"/>
              <w:tr2bl w:val="nil"/>
            </w:tcBorders>
            <w:vAlign w:val="center"/>
          </w:tcPr>
          <w:p w14:paraId="5D8F53DC">
            <w:pPr>
              <w:jc w:val="center"/>
              <w:rPr>
                <w:rFonts w:ascii="Arial" w:hAnsi="Arial" w:eastAsia="宋体" w:cs="Arial"/>
                <w:sz w:val="16"/>
                <w:szCs w:val="16"/>
              </w:rPr>
            </w:pPr>
            <w:r>
              <w:rPr>
                <w:rFonts w:ascii="Arial" w:hAnsi="Arial" w:eastAsia="宋体" w:cs="Arial"/>
                <w:sz w:val="16"/>
                <w:szCs w:val="16"/>
              </w:rPr>
              <w:t>3</w:t>
            </w:r>
          </w:p>
        </w:tc>
        <w:tc>
          <w:tcPr>
            <w:tcW w:w="785" w:type="dxa"/>
            <w:tcBorders>
              <w:tl2br w:val="nil"/>
              <w:tr2bl w:val="nil"/>
            </w:tcBorders>
            <w:vAlign w:val="center"/>
          </w:tcPr>
          <w:p w14:paraId="5E9117B4">
            <w:pPr>
              <w:jc w:val="center"/>
              <w:rPr>
                <w:rFonts w:ascii="Arial" w:hAnsi="Arial" w:eastAsia="宋体" w:cs="Arial"/>
                <w:sz w:val="16"/>
                <w:szCs w:val="16"/>
              </w:rPr>
            </w:pPr>
            <w:r>
              <w:rPr>
                <w:rFonts w:ascii="Arial" w:hAnsi="Arial" w:eastAsia="宋体" w:cs="Arial"/>
                <w:sz w:val="16"/>
                <w:szCs w:val="16"/>
              </w:rPr>
              <w:t>0.145</w:t>
            </w:r>
          </w:p>
        </w:tc>
        <w:tc>
          <w:tcPr>
            <w:tcW w:w="982" w:type="dxa"/>
            <w:tcBorders>
              <w:tl2br w:val="nil"/>
              <w:tr2bl w:val="nil"/>
            </w:tcBorders>
            <w:vAlign w:val="center"/>
          </w:tcPr>
          <w:p w14:paraId="7F474D19">
            <w:pPr>
              <w:jc w:val="center"/>
              <w:rPr>
                <w:rFonts w:ascii="Arial" w:hAnsi="Arial" w:eastAsia="宋体" w:cs="Arial"/>
                <w:sz w:val="16"/>
                <w:szCs w:val="16"/>
              </w:rPr>
            </w:pPr>
            <w:r>
              <w:rPr>
                <w:rFonts w:ascii="Arial" w:hAnsi="Arial" w:eastAsia="宋体" w:cs="Arial"/>
                <w:sz w:val="16"/>
                <w:szCs w:val="16"/>
              </w:rPr>
              <w:t>0.34</w:t>
            </w:r>
          </w:p>
        </w:tc>
        <w:tc>
          <w:tcPr>
            <w:tcW w:w="753" w:type="dxa"/>
            <w:tcBorders>
              <w:tl2br w:val="nil"/>
              <w:tr2bl w:val="nil"/>
            </w:tcBorders>
            <w:vAlign w:val="center"/>
          </w:tcPr>
          <w:p w14:paraId="6D65A9D2">
            <w:pPr>
              <w:jc w:val="center"/>
              <w:rPr>
                <w:rFonts w:ascii="Arial" w:hAnsi="Arial" w:eastAsia="宋体" w:cs="Arial"/>
                <w:sz w:val="16"/>
                <w:szCs w:val="16"/>
              </w:rPr>
            </w:pPr>
            <w:r>
              <w:rPr>
                <w:rFonts w:ascii="Arial" w:hAnsi="Arial" w:eastAsia="宋体" w:cs="Arial"/>
                <w:sz w:val="16"/>
                <w:szCs w:val="16"/>
              </w:rPr>
              <w:t>0.163</w:t>
            </w:r>
          </w:p>
        </w:tc>
        <w:tc>
          <w:tcPr>
            <w:tcW w:w="970" w:type="dxa"/>
            <w:tcBorders>
              <w:tl2br w:val="nil"/>
              <w:tr2bl w:val="nil"/>
            </w:tcBorders>
            <w:vAlign w:val="center"/>
          </w:tcPr>
          <w:p w14:paraId="7030D34C">
            <w:pPr>
              <w:jc w:val="center"/>
              <w:rPr>
                <w:rFonts w:ascii="Arial" w:hAnsi="Arial" w:eastAsia="宋体" w:cs="Arial"/>
                <w:sz w:val="16"/>
                <w:szCs w:val="16"/>
              </w:rPr>
            </w:pPr>
            <w:r>
              <w:rPr>
                <w:rFonts w:ascii="Arial" w:hAnsi="Arial" w:eastAsia="宋体" w:cs="Arial"/>
                <w:sz w:val="16"/>
                <w:szCs w:val="16"/>
              </w:rPr>
              <w:t>1.30</w:t>
            </w:r>
          </w:p>
        </w:tc>
        <w:tc>
          <w:tcPr>
            <w:tcW w:w="764" w:type="dxa"/>
            <w:tcBorders>
              <w:tl2br w:val="nil"/>
              <w:tr2bl w:val="nil"/>
            </w:tcBorders>
            <w:shd w:val="clear" w:color="auto" w:fill="auto"/>
            <w:vAlign w:val="center"/>
          </w:tcPr>
          <w:p w14:paraId="1C270E1C">
            <w:pPr>
              <w:jc w:val="center"/>
              <w:rPr>
                <w:rFonts w:ascii="Arial" w:hAnsi="Arial" w:eastAsia="宋体" w:cs="Arial"/>
                <w:sz w:val="16"/>
                <w:szCs w:val="16"/>
              </w:rPr>
            </w:pPr>
            <w:r>
              <w:rPr>
                <w:rFonts w:ascii="Arial" w:hAnsi="Arial" w:eastAsia="宋体" w:cs="Arial"/>
                <w:sz w:val="16"/>
                <w:szCs w:val="16"/>
              </w:rPr>
              <w:t>0.155</w:t>
            </w:r>
          </w:p>
        </w:tc>
        <w:tc>
          <w:tcPr>
            <w:tcW w:w="1004" w:type="dxa"/>
            <w:tcBorders>
              <w:tl2br w:val="nil"/>
              <w:tr2bl w:val="nil"/>
            </w:tcBorders>
            <w:shd w:val="clear" w:color="auto" w:fill="auto"/>
            <w:vAlign w:val="center"/>
          </w:tcPr>
          <w:p w14:paraId="2155199F">
            <w:pPr>
              <w:jc w:val="center"/>
              <w:rPr>
                <w:rFonts w:ascii="Arial" w:hAnsi="Arial" w:eastAsia="宋体" w:cs="Arial"/>
                <w:sz w:val="16"/>
                <w:szCs w:val="16"/>
              </w:rPr>
            </w:pPr>
            <w:r>
              <w:rPr>
                <w:rFonts w:ascii="Arial" w:hAnsi="Arial" w:eastAsia="宋体" w:cs="Arial"/>
                <w:sz w:val="16"/>
                <w:szCs w:val="16"/>
              </w:rPr>
              <w:t>0.82</w:t>
            </w:r>
          </w:p>
        </w:tc>
        <w:tc>
          <w:tcPr>
            <w:tcW w:w="754" w:type="dxa"/>
            <w:tcBorders>
              <w:tl2br w:val="nil"/>
              <w:tr2bl w:val="nil"/>
            </w:tcBorders>
            <w:shd w:val="clear" w:color="auto" w:fill="auto"/>
            <w:vAlign w:val="center"/>
          </w:tcPr>
          <w:p w14:paraId="58C4AD3F">
            <w:pPr>
              <w:jc w:val="center"/>
              <w:rPr>
                <w:rFonts w:ascii="Arial" w:hAnsi="Arial" w:eastAsia="宋体" w:cs="Arial"/>
                <w:sz w:val="16"/>
                <w:szCs w:val="16"/>
              </w:rPr>
            </w:pPr>
            <w:r>
              <w:rPr>
                <w:rFonts w:ascii="Arial" w:hAnsi="Arial" w:eastAsia="宋体" w:cs="Arial"/>
                <w:sz w:val="16"/>
                <w:szCs w:val="16"/>
              </w:rPr>
              <w:t>0.164</w:t>
            </w:r>
          </w:p>
        </w:tc>
        <w:tc>
          <w:tcPr>
            <w:tcW w:w="971" w:type="dxa"/>
            <w:tcBorders>
              <w:tl2br w:val="nil"/>
              <w:tr2bl w:val="nil"/>
            </w:tcBorders>
            <w:shd w:val="clear" w:color="auto" w:fill="auto"/>
            <w:vAlign w:val="center"/>
          </w:tcPr>
          <w:p w14:paraId="0C37247A">
            <w:pPr>
              <w:jc w:val="center"/>
              <w:rPr>
                <w:rFonts w:ascii="Arial" w:hAnsi="Arial" w:eastAsia="宋体" w:cs="Arial"/>
                <w:sz w:val="16"/>
                <w:szCs w:val="16"/>
              </w:rPr>
            </w:pPr>
            <w:r>
              <w:rPr>
                <w:rFonts w:ascii="Arial" w:hAnsi="Arial" w:eastAsia="宋体" w:cs="Arial"/>
                <w:sz w:val="16"/>
                <w:szCs w:val="16"/>
              </w:rPr>
              <w:t>1.25</w:t>
            </w:r>
          </w:p>
        </w:tc>
      </w:tr>
      <w:tr w14:paraId="708A879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95" w:hRule="atLeast"/>
          <w:jc w:val="center"/>
        </w:trPr>
        <w:tc>
          <w:tcPr>
            <w:tcW w:w="1852" w:type="dxa"/>
            <w:tcBorders>
              <w:tl2br w:val="nil"/>
              <w:tr2bl w:val="nil"/>
            </w:tcBorders>
            <w:vAlign w:val="center"/>
          </w:tcPr>
          <w:p w14:paraId="3B060ED2">
            <w:pPr>
              <w:jc w:val="center"/>
              <w:rPr>
                <w:rFonts w:ascii="Arial" w:hAnsi="Arial" w:eastAsia="宋体" w:cs="Arial"/>
                <w:sz w:val="16"/>
                <w:szCs w:val="16"/>
              </w:rPr>
            </w:pPr>
            <w:r>
              <w:rPr>
                <w:rFonts w:ascii="Arial" w:hAnsi="Arial" w:eastAsia="宋体" w:cs="Arial"/>
                <w:sz w:val="16"/>
                <w:szCs w:val="16"/>
              </w:rPr>
              <w:t>4</w:t>
            </w:r>
          </w:p>
        </w:tc>
        <w:tc>
          <w:tcPr>
            <w:tcW w:w="785" w:type="dxa"/>
            <w:tcBorders>
              <w:tl2br w:val="nil"/>
              <w:tr2bl w:val="nil"/>
            </w:tcBorders>
            <w:vAlign w:val="center"/>
          </w:tcPr>
          <w:p w14:paraId="72736042">
            <w:pPr>
              <w:jc w:val="center"/>
              <w:rPr>
                <w:rFonts w:ascii="Arial" w:hAnsi="Arial" w:eastAsia="宋体" w:cs="Arial"/>
                <w:sz w:val="16"/>
                <w:szCs w:val="16"/>
              </w:rPr>
            </w:pPr>
            <w:r>
              <w:rPr>
                <w:rFonts w:ascii="Arial" w:hAnsi="Arial" w:eastAsia="宋体" w:cs="Arial"/>
                <w:sz w:val="16"/>
                <w:szCs w:val="16"/>
              </w:rPr>
              <w:t>0.148</w:t>
            </w:r>
          </w:p>
        </w:tc>
        <w:tc>
          <w:tcPr>
            <w:tcW w:w="982" w:type="dxa"/>
            <w:tcBorders>
              <w:tl2br w:val="nil"/>
              <w:tr2bl w:val="nil"/>
            </w:tcBorders>
            <w:vAlign w:val="center"/>
          </w:tcPr>
          <w:p w14:paraId="4F40B93D">
            <w:pPr>
              <w:jc w:val="center"/>
              <w:rPr>
                <w:rFonts w:ascii="Arial" w:hAnsi="Arial" w:eastAsia="宋体" w:cs="Arial"/>
                <w:sz w:val="16"/>
                <w:szCs w:val="16"/>
              </w:rPr>
            </w:pPr>
            <w:r>
              <w:rPr>
                <w:rFonts w:ascii="Arial" w:hAnsi="Arial" w:eastAsia="宋体" w:cs="Arial"/>
                <w:sz w:val="16"/>
                <w:szCs w:val="16"/>
              </w:rPr>
              <w:t>0.48</w:t>
            </w:r>
          </w:p>
        </w:tc>
        <w:tc>
          <w:tcPr>
            <w:tcW w:w="753" w:type="dxa"/>
            <w:tcBorders>
              <w:tl2br w:val="nil"/>
              <w:tr2bl w:val="nil"/>
            </w:tcBorders>
            <w:vAlign w:val="center"/>
          </w:tcPr>
          <w:p w14:paraId="010F3D58">
            <w:pPr>
              <w:jc w:val="center"/>
              <w:rPr>
                <w:rFonts w:ascii="Arial" w:hAnsi="Arial" w:eastAsia="宋体" w:cs="Arial"/>
                <w:sz w:val="16"/>
                <w:szCs w:val="16"/>
              </w:rPr>
            </w:pPr>
            <w:r>
              <w:rPr>
                <w:rFonts w:ascii="Arial" w:hAnsi="Arial" w:eastAsia="宋体" w:cs="Arial"/>
                <w:sz w:val="16"/>
                <w:szCs w:val="16"/>
              </w:rPr>
              <w:t>0.167</w:t>
            </w:r>
          </w:p>
        </w:tc>
        <w:tc>
          <w:tcPr>
            <w:tcW w:w="970" w:type="dxa"/>
            <w:tcBorders>
              <w:tl2br w:val="nil"/>
              <w:tr2bl w:val="nil"/>
            </w:tcBorders>
            <w:vAlign w:val="center"/>
          </w:tcPr>
          <w:p w14:paraId="40B106D3">
            <w:pPr>
              <w:jc w:val="center"/>
              <w:rPr>
                <w:rFonts w:ascii="Arial" w:hAnsi="Arial" w:eastAsia="宋体" w:cs="Arial"/>
                <w:sz w:val="16"/>
                <w:szCs w:val="16"/>
              </w:rPr>
            </w:pPr>
            <w:r>
              <w:rPr>
                <w:rFonts w:ascii="Arial" w:hAnsi="Arial" w:eastAsia="宋体" w:cs="Arial"/>
                <w:sz w:val="16"/>
                <w:szCs w:val="16"/>
              </w:rPr>
              <w:t>1.40</w:t>
            </w:r>
          </w:p>
        </w:tc>
        <w:tc>
          <w:tcPr>
            <w:tcW w:w="764" w:type="dxa"/>
            <w:tcBorders>
              <w:tl2br w:val="nil"/>
              <w:tr2bl w:val="nil"/>
            </w:tcBorders>
            <w:shd w:val="clear" w:color="auto" w:fill="auto"/>
            <w:vAlign w:val="center"/>
          </w:tcPr>
          <w:p w14:paraId="625FACC9">
            <w:pPr>
              <w:jc w:val="center"/>
              <w:rPr>
                <w:rFonts w:ascii="Arial" w:hAnsi="Arial" w:eastAsia="宋体" w:cs="Arial"/>
                <w:sz w:val="16"/>
                <w:szCs w:val="16"/>
              </w:rPr>
            </w:pPr>
            <w:r>
              <w:rPr>
                <w:rFonts w:ascii="Arial" w:hAnsi="Arial" w:eastAsia="宋体" w:cs="Arial"/>
                <w:sz w:val="16"/>
                <w:szCs w:val="16"/>
              </w:rPr>
              <w:t>0.154</w:t>
            </w:r>
          </w:p>
        </w:tc>
        <w:tc>
          <w:tcPr>
            <w:tcW w:w="1004" w:type="dxa"/>
            <w:tcBorders>
              <w:tl2br w:val="nil"/>
              <w:tr2bl w:val="nil"/>
            </w:tcBorders>
            <w:shd w:val="clear" w:color="auto" w:fill="auto"/>
            <w:vAlign w:val="center"/>
          </w:tcPr>
          <w:p w14:paraId="0B74820D">
            <w:pPr>
              <w:jc w:val="center"/>
              <w:rPr>
                <w:rFonts w:ascii="Arial" w:hAnsi="Arial" w:eastAsia="宋体" w:cs="Arial"/>
                <w:sz w:val="16"/>
                <w:szCs w:val="16"/>
              </w:rPr>
            </w:pPr>
            <w:r>
              <w:rPr>
                <w:rFonts w:ascii="Arial" w:hAnsi="Arial" w:eastAsia="宋体" w:cs="Arial"/>
                <w:sz w:val="16"/>
                <w:szCs w:val="16"/>
              </w:rPr>
              <w:t>0.87</w:t>
            </w:r>
          </w:p>
        </w:tc>
        <w:tc>
          <w:tcPr>
            <w:tcW w:w="754" w:type="dxa"/>
            <w:tcBorders>
              <w:tl2br w:val="nil"/>
              <w:tr2bl w:val="nil"/>
            </w:tcBorders>
            <w:shd w:val="clear" w:color="auto" w:fill="auto"/>
            <w:vAlign w:val="center"/>
          </w:tcPr>
          <w:p w14:paraId="0FADD6D6">
            <w:pPr>
              <w:jc w:val="center"/>
              <w:rPr>
                <w:rFonts w:ascii="Arial" w:hAnsi="Arial" w:eastAsia="宋体" w:cs="Arial"/>
                <w:sz w:val="16"/>
                <w:szCs w:val="16"/>
              </w:rPr>
            </w:pPr>
            <w:r>
              <w:rPr>
                <w:rFonts w:ascii="Arial" w:hAnsi="Arial" w:eastAsia="宋体" w:cs="Arial"/>
                <w:sz w:val="16"/>
                <w:szCs w:val="16"/>
              </w:rPr>
              <w:t>0.153</w:t>
            </w:r>
          </w:p>
        </w:tc>
        <w:tc>
          <w:tcPr>
            <w:tcW w:w="971" w:type="dxa"/>
            <w:tcBorders>
              <w:tl2br w:val="nil"/>
              <w:tr2bl w:val="nil"/>
            </w:tcBorders>
            <w:shd w:val="clear" w:color="auto" w:fill="auto"/>
            <w:vAlign w:val="center"/>
          </w:tcPr>
          <w:p w14:paraId="1B17865E">
            <w:pPr>
              <w:jc w:val="center"/>
              <w:rPr>
                <w:rFonts w:ascii="Arial" w:hAnsi="Arial" w:eastAsia="宋体" w:cs="Arial"/>
                <w:sz w:val="16"/>
                <w:szCs w:val="16"/>
              </w:rPr>
            </w:pPr>
            <w:r>
              <w:rPr>
                <w:rFonts w:ascii="Arial" w:hAnsi="Arial" w:eastAsia="宋体" w:cs="Arial"/>
                <w:sz w:val="16"/>
                <w:szCs w:val="16"/>
              </w:rPr>
              <w:t>0.72</w:t>
            </w:r>
          </w:p>
        </w:tc>
      </w:tr>
      <w:tr w14:paraId="15633F8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08" w:hRule="atLeast"/>
          <w:jc w:val="center"/>
        </w:trPr>
        <w:tc>
          <w:tcPr>
            <w:tcW w:w="1852" w:type="dxa"/>
            <w:tcBorders>
              <w:bottom w:val="single" w:color="auto" w:sz="8" w:space="0"/>
            </w:tcBorders>
            <w:vAlign w:val="center"/>
          </w:tcPr>
          <w:p w14:paraId="0D804B41">
            <w:pPr>
              <w:jc w:val="center"/>
              <w:rPr>
                <w:rFonts w:ascii="Arial" w:hAnsi="Arial" w:eastAsia="宋体" w:cs="Arial"/>
                <w:sz w:val="16"/>
                <w:szCs w:val="16"/>
              </w:rPr>
            </w:pPr>
            <w:r>
              <w:rPr>
                <w:rFonts w:ascii="Arial" w:hAnsi="Arial" w:eastAsia="宋体" w:cs="Arial"/>
                <w:sz w:val="16"/>
                <w:szCs w:val="16"/>
              </w:rPr>
              <w:t>5</w:t>
            </w:r>
          </w:p>
        </w:tc>
        <w:tc>
          <w:tcPr>
            <w:tcW w:w="785" w:type="dxa"/>
            <w:tcBorders>
              <w:bottom w:val="single" w:color="auto" w:sz="8" w:space="0"/>
            </w:tcBorders>
            <w:vAlign w:val="center"/>
          </w:tcPr>
          <w:p w14:paraId="0DD3B44A">
            <w:pPr>
              <w:jc w:val="center"/>
              <w:rPr>
                <w:rFonts w:ascii="Arial" w:hAnsi="Arial" w:eastAsia="宋体" w:cs="Arial"/>
                <w:sz w:val="16"/>
                <w:szCs w:val="16"/>
              </w:rPr>
            </w:pPr>
            <w:r>
              <w:rPr>
                <w:rFonts w:ascii="Arial" w:hAnsi="Arial" w:eastAsia="宋体" w:cs="Arial"/>
                <w:sz w:val="16"/>
                <w:szCs w:val="16"/>
              </w:rPr>
              <w:t>0.152</w:t>
            </w:r>
          </w:p>
        </w:tc>
        <w:tc>
          <w:tcPr>
            <w:tcW w:w="982" w:type="dxa"/>
            <w:tcBorders>
              <w:bottom w:val="single" w:color="auto" w:sz="8" w:space="0"/>
            </w:tcBorders>
            <w:vAlign w:val="center"/>
          </w:tcPr>
          <w:p w14:paraId="0DB82CCA">
            <w:pPr>
              <w:jc w:val="center"/>
              <w:rPr>
                <w:rFonts w:ascii="Arial" w:hAnsi="Arial" w:eastAsia="宋体" w:cs="Arial"/>
                <w:sz w:val="16"/>
                <w:szCs w:val="16"/>
              </w:rPr>
            </w:pPr>
            <w:r>
              <w:rPr>
                <w:rFonts w:ascii="Arial" w:hAnsi="Arial" w:eastAsia="宋体" w:cs="Arial"/>
                <w:sz w:val="16"/>
                <w:szCs w:val="16"/>
              </w:rPr>
              <w:t>0.68</w:t>
            </w:r>
          </w:p>
        </w:tc>
        <w:tc>
          <w:tcPr>
            <w:tcW w:w="753" w:type="dxa"/>
            <w:tcBorders>
              <w:bottom w:val="single" w:color="auto" w:sz="8" w:space="0"/>
            </w:tcBorders>
            <w:vAlign w:val="center"/>
          </w:tcPr>
          <w:p w14:paraId="6D9AF3CF">
            <w:pPr>
              <w:jc w:val="center"/>
              <w:rPr>
                <w:rFonts w:ascii="Arial" w:hAnsi="Arial" w:eastAsia="宋体" w:cs="Arial"/>
                <w:sz w:val="16"/>
                <w:szCs w:val="16"/>
              </w:rPr>
            </w:pPr>
            <w:r>
              <w:rPr>
                <w:rFonts w:ascii="Arial" w:hAnsi="Arial" w:eastAsia="宋体" w:cs="Arial"/>
                <w:sz w:val="16"/>
                <w:szCs w:val="16"/>
              </w:rPr>
              <w:t>0.174</w:t>
            </w:r>
          </w:p>
        </w:tc>
        <w:tc>
          <w:tcPr>
            <w:tcW w:w="970" w:type="dxa"/>
            <w:tcBorders>
              <w:bottom w:val="single" w:color="auto" w:sz="8" w:space="0"/>
            </w:tcBorders>
            <w:vAlign w:val="center"/>
          </w:tcPr>
          <w:p w14:paraId="6C882F67">
            <w:pPr>
              <w:jc w:val="center"/>
              <w:rPr>
                <w:rFonts w:ascii="Arial" w:hAnsi="Arial" w:eastAsia="宋体" w:cs="Arial"/>
                <w:sz w:val="16"/>
                <w:szCs w:val="16"/>
              </w:rPr>
            </w:pPr>
            <w:r>
              <w:rPr>
                <w:rFonts w:ascii="Arial" w:hAnsi="Arial" w:eastAsia="宋体" w:cs="Arial"/>
                <w:sz w:val="16"/>
                <w:szCs w:val="16"/>
              </w:rPr>
              <w:t>1.74</w:t>
            </w:r>
          </w:p>
        </w:tc>
        <w:tc>
          <w:tcPr>
            <w:tcW w:w="764" w:type="dxa"/>
            <w:tcBorders>
              <w:bottom w:val="single" w:color="auto" w:sz="8" w:space="0"/>
            </w:tcBorders>
            <w:shd w:val="clear" w:color="auto" w:fill="auto"/>
            <w:vAlign w:val="center"/>
          </w:tcPr>
          <w:p w14:paraId="3F8F6F24">
            <w:pPr>
              <w:jc w:val="center"/>
              <w:rPr>
                <w:rFonts w:ascii="Arial" w:hAnsi="Arial" w:eastAsia="宋体" w:cs="Arial"/>
                <w:sz w:val="16"/>
                <w:szCs w:val="16"/>
              </w:rPr>
            </w:pPr>
            <w:r>
              <w:rPr>
                <w:rFonts w:ascii="Arial" w:hAnsi="Arial" w:eastAsia="宋体" w:cs="Arial"/>
                <w:sz w:val="16"/>
                <w:szCs w:val="16"/>
              </w:rPr>
              <w:t>0.157</w:t>
            </w:r>
          </w:p>
        </w:tc>
        <w:tc>
          <w:tcPr>
            <w:tcW w:w="1004" w:type="dxa"/>
            <w:tcBorders>
              <w:bottom w:val="single" w:color="auto" w:sz="8" w:space="0"/>
            </w:tcBorders>
            <w:shd w:val="clear" w:color="auto" w:fill="auto"/>
            <w:vAlign w:val="center"/>
          </w:tcPr>
          <w:p w14:paraId="7CA78121">
            <w:pPr>
              <w:jc w:val="center"/>
              <w:rPr>
                <w:rFonts w:ascii="Arial" w:hAnsi="Arial" w:eastAsia="宋体" w:cs="Arial"/>
                <w:sz w:val="16"/>
                <w:szCs w:val="16"/>
              </w:rPr>
            </w:pPr>
            <w:r>
              <w:rPr>
                <w:rFonts w:ascii="Arial" w:hAnsi="Arial" w:eastAsia="宋体" w:cs="Arial"/>
                <w:sz w:val="16"/>
                <w:szCs w:val="16"/>
              </w:rPr>
              <w:t>0.92</w:t>
            </w:r>
          </w:p>
        </w:tc>
        <w:tc>
          <w:tcPr>
            <w:tcW w:w="754" w:type="dxa"/>
            <w:tcBorders>
              <w:bottom w:val="single" w:color="auto" w:sz="8" w:space="0"/>
            </w:tcBorders>
            <w:shd w:val="clear" w:color="auto" w:fill="auto"/>
            <w:vAlign w:val="center"/>
          </w:tcPr>
          <w:p w14:paraId="4111D303">
            <w:pPr>
              <w:jc w:val="center"/>
              <w:rPr>
                <w:rFonts w:ascii="Arial" w:hAnsi="Arial" w:eastAsia="宋体" w:cs="Arial"/>
                <w:sz w:val="16"/>
                <w:szCs w:val="16"/>
              </w:rPr>
            </w:pPr>
            <w:r>
              <w:rPr>
                <w:rFonts w:ascii="Arial" w:hAnsi="Arial" w:eastAsia="宋体" w:cs="Arial"/>
                <w:sz w:val="16"/>
                <w:szCs w:val="16"/>
              </w:rPr>
              <w:t>0.170</w:t>
            </w:r>
          </w:p>
        </w:tc>
        <w:tc>
          <w:tcPr>
            <w:tcW w:w="971" w:type="dxa"/>
            <w:tcBorders>
              <w:bottom w:val="single" w:color="auto" w:sz="8" w:space="0"/>
            </w:tcBorders>
            <w:shd w:val="clear" w:color="auto" w:fill="auto"/>
            <w:vAlign w:val="center"/>
          </w:tcPr>
          <w:p w14:paraId="63D8F606">
            <w:pPr>
              <w:jc w:val="center"/>
              <w:rPr>
                <w:rFonts w:ascii="Arial" w:hAnsi="Arial" w:eastAsia="宋体" w:cs="Arial"/>
                <w:sz w:val="16"/>
                <w:szCs w:val="16"/>
              </w:rPr>
            </w:pPr>
            <w:r>
              <w:rPr>
                <w:rFonts w:ascii="Arial" w:hAnsi="Arial" w:eastAsia="宋体" w:cs="Arial"/>
                <w:sz w:val="16"/>
                <w:szCs w:val="16"/>
              </w:rPr>
              <w:t>1.54</w:t>
            </w:r>
          </w:p>
        </w:tc>
      </w:tr>
    </w:tbl>
    <w:p w14:paraId="1B885DAF">
      <w:pPr>
        <w:spacing w:line="360" w:lineRule="auto"/>
        <w:ind w:firstLine="400" w:firstLineChars="200"/>
      </w:pPr>
      <w:r>
        <w:rPr>
          <w:rFonts w:ascii="Arial" w:hAnsi="Arial" w:eastAsia="宋体" w:cs="Arial"/>
          <w:sz w:val="20"/>
          <w:szCs w:val="20"/>
        </w:rPr>
        <w:t xml:space="preserve">The low hemolysis rates observed across all tested concentrations of 5-FU-DC, 5-FU@FeDC20, 5-FU@FeDC30, and 5-FU@FeDC40 (Table </w:t>
      </w:r>
      <w:r>
        <w:rPr>
          <w:rFonts w:hint="eastAsia" w:ascii="Arial" w:hAnsi="Arial" w:eastAsia="宋体" w:cs="Arial"/>
          <w:sz w:val="20"/>
          <w:szCs w:val="20"/>
          <w:lang w:val="en-US" w:eastAsia="zh-CN"/>
        </w:rPr>
        <w:t>S</w:t>
      </w:r>
      <w:r>
        <w:rPr>
          <w:rFonts w:ascii="Arial" w:hAnsi="Arial" w:eastAsia="宋体" w:cs="Arial"/>
          <w:sz w:val="20"/>
          <w:szCs w:val="20"/>
        </w:rPr>
        <w:t>1) demonstrate the excellent biocompatibility of these formulations. This is a critical finding, as hemolysis is a key indicator of material toxicity and compatibility with biological systems. The hemolysis rate threshold for biomaterials is typically set at 5%, and the fact that all formulations remained well below this limit (≤2.0%) strongly supports their safety profile.</w:t>
      </w:r>
      <w:r>
        <w:rPr>
          <w:rFonts w:hint="eastAsia" w:ascii="Arial" w:hAnsi="Arial" w:eastAsia="宋体" w:cs="Arial"/>
          <w:sz w:val="20"/>
          <w:szCs w:val="20"/>
        </w:rPr>
        <w:t xml:space="preserve"> </w:t>
      </w:r>
      <w:r>
        <w:rPr>
          <w:rFonts w:ascii="Arial" w:hAnsi="Arial" w:eastAsia="宋体" w:cs="Arial"/>
          <w:sz w:val="20"/>
          <w:szCs w:val="20"/>
        </w:rPr>
        <w:t>These results suggest that the encapsulation of 5-FU within the FeDC carriers does not induce significant damage to red blood cell membranes, which is crucial for intravenous administration. The low hemolytic potential can be attributed to the stable and biocompatible nature of the FeDC carriers, which effectively shield the drug from direct interaction with blood components. This property is particularly important for reducing the risk of adverse effects such as anemia, thrombosis, or immune responses during</w:t>
      </w:r>
      <w:r>
        <w:rPr>
          <w:rFonts w:ascii="Arial" w:hAnsi="Arial" w:eastAsia="宋体" w:cs="Arial"/>
          <w:i/>
          <w:iCs/>
          <w:sz w:val="20"/>
          <w:szCs w:val="20"/>
        </w:rPr>
        <w:t xml:space="preserve"> in vivo</w:t>
      </w:r>
      <w:r>
        <w:rPr>
          <w:rFonts w:ascii="Arial" w:hAnsi="Arial" w:eastAsia="宋体" w:cs="Arial"/>
          <w:sz w:val="20"/>
          <w:szCs w:val="20"/>
        </w:rPr>
        <w:t xml:space="preserve"> applications.</w:t>
      </w:r>
      <w:r>
        <w:rPr>
          <w:rFonts w:hint="eastAsia" w:ascii="Arial" w:hAnsi="Arial" w:eastAsia="宋体" w:cs="Arial"/>
          <w:sz w:val="20"/>
          <w:szCs w:val="20"/>
        </w:rPr>
        <w:t xml:space="preserve"> </w:t>
      </w:r>
      <w:r>
        <w:rPr>
          <w:rFonts w:ascii="Arial" w:hAnsi="Arial" w:eastAsia="宋体" w:cs="Arial"/>
          <w:sz w:val="20"/>
          <w:szCs w:val="20"/>
        </w:rPr>
        <w:t>Furthermore, the consistency of the hemolysis rates across different concentrations (Table</w:t>
      </w:r>
      <w:r>
        <w:rPr>
          <w:rFonts w:hint="eastAsia" w:ascii="Arial" w:hAnsi="Arial" w:eastAsia="宋体" w:cs="Arial"/>
          <w:sz w:val="20"/>
          <w:szCs w:val="20"/>
        </w:rPr>
        <w:t xml:space="preserve"> </w:t>
      </w:r>
      <w:r>
        <w:rPr>
          <w:rFonts w:hint="eastAsia" w:ascii="Arial" w:hAnsi="Arial" w:eastAsia="宋体" w:cs="Arial"/>
          <w:sz w:val="20"/>
          <w:szCs w:val="20"/>
          <w:lang w:val="en-US" w:eastAsia="zh-CN"/>
        </w:rPr>
        <w:t>S</w:t>
      </w:r>
      <w:r>
        <w:rPr>
          <w:rFonts w:ascii="Arial" w:hAnsi="Arial" w:eastAsia="宋体" w:cs="Arial"/>
          <w:sz w:val="20"/>
          <w:szCs w:val="20"/>
        </w:rPr>
        <w:t>1) indicates that the formulations maintain their safety even at higher doses. This dose-independent safety profile is advantageous for therapeutic applications, as it allows for flexibility in dosing regimens without compromising biocompatibility.</w:t>
      </w:r>
      <w:r>
        <w:rPr>
          <w:rFonts w:hint="eastAsia" w:ascii="Arial" w:hAnsi="Arial" w:eastAsia="宋体" w:cs="Arial"/>
          <w:sz w:val="20"/>
          <w:szCs w:val="20"/>
        </w:rPr>
        <w:t xml:space="preserve"> </w:t>
      </w:r>
    </w:p>
    <w:p w14:paraId="597EB4ED">
      <w:pPr>
        <w:pStyle w:val="3"/>
        <w:rPr>
          <w:rFonts w:ascii="Arial" w:hAnsi="Arial"/>
        </w:rPr>
      </w:pPr>
      <w:r>
        <w:rPr>
          <w:rFonts w:hint="eastAsia" w:ascii="Arial" w:hAnsi="Arial"/>
          <w:sz w:val="22"/>
          <w:szCs w:val="22"/>
        </w:rPr>
        <w:t>5</w:t>
      </w:r>
      <w:r>
        <w:rPr>
          <w:rFonts w:ascii="Arial" w:hAnsi="Arial"/>
          <w:sz w:val="22"/>
          <w:szCs w:val="22"/>
        </w:rPr>
        <w:t xml:space="preserve"> Specific Surface Area and Pore Structure Determination (BET)</w:t>
      </w:r>
      <w:r>
        <w:rPr>
          <w:rFonts w:ascii="Arial" w:hAnsi="Arial"/>
        </w:rPr>
        <w:t xml:space="preserve"> </w:t>
      </w:r>
    </w:p>
    <w:p w14:paraId="6CEFC455">
      <w:pPr>
        <w:spacing w:line="360" w:lineRule="auto"/>
        <w:ind w:firstLine="400" w:firstLineChars="200"/>
        <w:rPr>
          <w:rFonts w:ascii="Arial" w:hAnsi="Arial" w:eastAsia="Segoe UI" w:cs="Arial"/>
          <w:sz w:val="20"/>
          <w:szCs w:val="20"/>
        </w:rPr>
      </w:pPr>
      <w:r>
        <w:rPr>
          <w:rFonts w:ascii="Arial" w:hAnsi="Arial" w:eastAsia="Segoe UI" w:cs="Arial"/>
          <w:sz w:val="20"/>
          <w:szCs w:val="20"/>
        </w:rPr>
        <w:t>The high drug-loading capacity of nano-carriers represents a critical parameter for optimizing drug delivery systems, as it allows therapeutic efficacy to be achieved at reduced dosages while enhancing delivery efficiency. To systematically investigate this property, we employed Quantachrome Instruments (version 2.01) to characterize the specific surface area and pore size distribution of four materials: HAP, Fe/HAP, DC, and FeDC30. These analyses were performed via nitrogen adsorption-desorption isotherms at 77 K using silica-based substrates, a standardized methodology to evaluate their structural characteristics and assess their potential for facilitating optimal drug adsorption kinetics and controlled release profiles. The derived porosity data provide essential insights into the relationship between nanomaterial architecture and pharmaceutical payload capacity.</w:t>
      </w:r>
    </w:p>
    <w:p w14:paraId="454BE1B9">
      <w:pPr>
        <w:spacing w:line="480" w:lineRule="auto"/>
        <w:rPr>
          <w:rFonts w:ascii="Arial" w:hAnsi="Arial" w:eastAsia="Arial" w:cs="Arial"/>
          <w:b/>
          <w:bCs/>
          <w:kern w:val="0"/>
          <w:sz w:val="20"/>
          <w:szCs w:val="20"/>
        </w:rPr>
      </w:pPr>
    </w:p>
    <w:p w14:paraId="0B1F3EF7">
      <w:pPr>
        <w:spacing w:line="480" w:lineRule="auto"/>
        <w:jc w:val="center"/>
        <w:rPr>
          <w:rFonts w:ascii="Arial" w:hAnsi="Arial" w:eastAsia="Arial" w:cs="Arial"/>
          <w:b/>
          <w:bCs/>
          <w:kern w:val="0"/>
          <w:sz w:val="20"/>
          <w:szCs w:val="20"/>
        </w:rPr>
      </w:pPr>
      <w:r>
        <w:rPr>
          <w:rFonts w:ascii="Arial" w:hAnsi="Arial" w:eastAsia="Arial" w:cs="Arial"/>
          <w:b/>
          <w:bCs/>
          <w:kern w:val="0"/>
          <w:sz w:val="20"/>
          <w:szCs w:val="20"/>
        </w:rPr>
        <w:drawing>
          <wp:inline distT="0" distB="0" distL="114300" distR="114300">
            <wp:extent cx="5271135" cy="1977390"/>
            <wp:effectExtent l="0" t="0" r="1905" b="3810"/>
            <wp:docPr id="14" name="图片 14" descr="吸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吸附1"/>
                    <pic:cNvPicPr>
                      <a:picLocks noChangeAspect="1"/>
                    </pic:cNvPicPr>
                  </pic:nvPicPr>
                  <pic:blipFill>
                    <a:blip r:embed="rId12"/>
                    <a:stretch>
                      <a:fillRect/>
                    </a:stretch>
                  </pic:blipFill>
                  <pic:spPr>
                    <a:xfrm>
                      <a:off x="0" y="0"/>
                      <a:ext cx="5271135" cy="1977390"/>
                    </a:xfrm>
                    <a:prstGeom prst="rect">
                      <a:avLst/>
                    </a:prstGeom>
                  </pic:spPr>
                </pic:pic>
              </a:graphicData>
            </a:graphic>
          </wp:inline>
        </w:drawing>
      </w:r>
    </w:p>
    <w:p w14:paraId="48BF4B84">
      <w:pPr>
        <w:widowControl/>
        <w:spacing w:line="480" w:lineRule="auto"/>
        <w:jc w:val="center"/>
        <w:rPr>
          <w:rFonts w:ascii="Arial" w:hAnsi="Arial" w:eastAsia="黑体" w:cs="Arial"/>
          <w:sz w:val="20"/>
          <w:szCs w:val="20"/>
          <w:vertAlign w:val="subscript"/>
        </w:rPr>
      </w:pPr>
      <w:r>
        <w:rPr>
          <w:rFonts w:hint="eastAsia" w:ascii="Arial" w:hAnsi="Arial" w:cs="Arial"/>
          <w:sz w:val="20"/>
          <w:szCs w:val="20"/>
        </w:rPr>
        <w:t xml:space="preserve">Fig. </w:t>
      </w:r>
      <w:r>
        <w:rPr>
          <w:rFonts w:hint="eastAsia" w:ascii="Arial" w:hAnsi="Arial" w:eastAsia="黑体" w:cs="Arial"/>
          <w:sz w:val="20"/>
          <w:szCs w:val="20"/>
        </w:rPr>
        <w:t xml:space="preserve">S5. </w:t>
      </w:r>
      <w:r>
        <w:rPr>
          <w:rFonts w:ascii="Arial" w:hAnsi="Arial" w:eastAsia="宋体" w:cs="Arial"/>
          <w:kern w:val="0"/>
          <w:sz w:val="20"/>
          <w:szCs w:val="20"/>
          <w:lang w:bidi="ar"/>
        </w:rPr>
        <w:t>BET (A) and aperture maps (B) of</w:t>
      </w:r>
      <w:r>
        <w:rPr>
          <w:rFonts w:ascii="Arial" w:hAnsi="Arial" w:eastAsia="宋体" w:cs="Arial"/>
          <w:sz w:val="20"/>
          <w:szCs w:val="20"/>
        </w:rPr>
        <w:t xml:space="preserve"> </w:t>
      </w:r>
      <w:r>
        <w:rPr>
          <w:rFonts w:ascii="Arial" w:hAnsi="Arial" w:eastAsia="黑体" w:cs="Arial"/>
          <w:sz w:val="20"/>
          <w:szCs w:val="20"/>
        </w:rPr>
        <w:t>HAP, Fe/HAP20, Fe/HAP30, Fe/HAP40, DC, FeDC30</w:t>
      </w:r>
    </w:p>
    <w:p w14:paraId="6DC0F339">
      <w:pPr>
        <w:snapToGrid w:val="0"/>
        <w:spacing w:line="480" w:lineRule="auto"/>
        <w:ind w:firstLine="400" w:firstLineChars="200"/>
        <w:rPr>
          <w:rFonts w:ascii="Arial" w:hAnsi="Arial" w:eastAsia="黑体" w:cs="Arial"/>
          <w:sz w:val="20"/>
          <w:szCs w:val="20"/>
        </w:rPr>
      </w:pPr>
      <w:r>
        <w:rPr>
          <w:rFonts w:ascii="Arial" w:hAnsi="Arial" w:eastAsia="黑体" w:cs="Arial"/>
          <w:sz w:val="20"/>
          <w:szCs w:val="20"/>
        </w:rPr>
        <w:t>According to the IUPAC classification of adsorption-desorption isotherms, the N</w:t>
      </w:r>
      <w:r>
        <w:rPr>
          <w:rFonts w:ascii="Arial" w:hAnsi="Arial" w:eastAsia="黑体" w:cs="Arial"/>
          <w:sz w:val="20"/>
          <w:szCs w:val="20"/>
          <w:vertAlign w:val="subscript"/>
        </w:rPr>
        <w:t>2</w:t>
      </w:r>
      <w:r>
        <w:rPr>
          <w:rFonts w:ascii="Arial" w:hAnsi="Arial" w:eastAsia="黑体" w:cs="Arial"/>
          <w:sz w:val="20"/>
          <w:szCs w:val="20"/>
        </w:rPr>
        <w:t xml:space="preserve"> adsorption-desorption isotherms of HAP, Fe/HAPs, DC, and FeDC30 correspond to type IV isotherms (</w:t>
      </w:r>
      <w:r>
        <w:rPr>
          <w:rFonts w:hint="eastAsia" w:ascii="Arial" w:hAnsi="Arial" w:eastAsia="黑体" w:cs="Arial"/>
          <w:sz w:val="20"/>
          <w:szCs w:val="20"/>
        </w:rPr>
        <w:t xml:space="preserve">S5. </w:t>
      </w:r>
      <w:r>
        <w:rPr>
          <w:rFonts w:ascii="Arial" w:hAnsi="Arial" w:eastAsia="黑体" w:cs="Arial"/>
          <w:sz w:val="20"/>
          <w:szCs w:val="20"/>
        </w:rPr>
        <w:t>A). In the low-pressure region, the adsorption increased gradually as N</w:t>
      </w:r>
      <w:r>
        <w:rPr>
          <w:rFonts w:ascii="Arial" w:hAnsi="Arial" w:eastAsia="黑体" w:cs="Arial"/>
          <w:sz w:val="20"/>
          <w:szCs w:val="20"/>
          <w:vertAlign w:val="subscript"/>
        </w:rPr>
        <w:t>2</w:t>
      </w:r>
      <w:r>
        <w:rPr>
          <w:rFonts w:ascii="Arial" w:hAnsi="Arial" w:eastAsia="黑体" w:cs="Arial"/>
          <w:sz w:val="20"/>
          <w:szCs w:val="20"/>
        </w:rPr>
        <w:t xml:space="preserve"> molecules adsorb in single to multiple layers on the mesopore surfaces. At p/p</w:t>
      </w:r>
      <w:r>
        <w:rPr>
          <w:rFonts w:ascii="Arial" w:hAnsi="Arial" w:eastAsia="黑体" w:cs="Arial"/>
          <w:sz w:val="20"/>
          <w:szCs w:val="20"/>
          <w:vertAlign w:val="subscript"/>
        </w:rPr>
        <w:t>0</w:t>
      </w:r>
      <w:r>
        <w:rPr>
          <w:rFonts w:ascii="Arial" w:hAnsi="Arial" w:eastAsia="黑体" w:cs="Arial"/>
          <w:sz w:val="20"/>
          <w:szCs w:val="20"/>
        </w:rPr>
        <w:t xml:space="preserve"> values around 0.5–0.8, a sudden increase in adsorption was observed, followed by a third increase at higher p/p</w:t>
      </w:r>
      <w:r>
        <w:rPr>
          <w:rFonts w:hint="eastAsia" w:eastAsia="黑体" w:cs="Arial"/>
          <w:sz w:val="20"/>
          <w:szCs w:val="20"/>
          <w:vertAlign w:val="subscript"/>
        </w:rPr>
        <w:t>0</w:t>
      </w:r>
      <w:r>
        <w:rPr>
          <w:rFonts w:hint="eastAsia" w:eastAsia="黑体" w:cs="Arial"/>
          <w:sz w:val="20"/>
          <w:szCs w:val="20"/>
        </w:rPr>
        <w:t xml:space="preserve"> </w:t>
      </w:r>
      <w:r>
        <w:rPr>
          <w:rFonts w:ascii="Arial" w:hAnsi="Arial" w:eastAsia="黑体" w:cs="Arial"/>
          <w:sz w:val="20"/>
          <w:szCs w:val="20"/>
        </w:rPr>
        <w:t>values. Here, the desorption isotherm did align with the adsorption isotherm, and the desorption isotherm was positioned above it, forming an H3-type hysteresis loop. This hysteresis loop suggests that the material has an accumulation of mesopores with an irregular pore structure. The pore size distribution peaks ranged from 2 to 20 nm (</w:t>
      </w:r>
      <w:r>
        <w:rPr>
          <w:rFonts w:hint="eastAsia" w:ascii="Arial" w:hAnsi="Arial" w:eastAsia="黑体" w:cs="Arial"/>
          <w:sz w:val="20"/>
          <w:szCs w:val="20"/>
        </w:rPr>
        <w:t xml:space="preserve">S5. </w:t>
      </w:r>
      <w:r>
        <w:rPr>
          <w:rFonts w:ascii="Arial" w:hAnsi="Arial" w:eastAsia="黑体" w:cs="Arial"/>
          <w:sz w:val="20"/>
          <w:szCs w:val="20"/>
        </w:rPr>
        <w:t>B).</w:t>
      </w:r>
    </w:p>
    <w:p w14:paraId="1E3FBD9B">
      <w:pPr>
        <w:snapToGrid w:val="0"/>
        <w:jc w:val="center"/>
        <w:rPr>
          <w:rFonts w:ascii="Arial" w:hAnsi="Arial" w:eastAsia="黑体" w:cs="Arial"/>
          <w:sz w:val="20"/>
          <w:szCs w:val="20"/>
        </w:rPr>
      </w:pPr>
      <w:r>
        <w:rPr>
          <w:rFonts w:ascii="Arial" w:hAnsi="Arial" w:eastAsia="黑体" w:cs="Arial"/>
          <w:sz w:val="20"/>
          <w:szCs w:val="20"/>
        </w:rPr>
        <w:t xml:space="preserve">Table </w:t>
      </w:r>
      <w:r>
        <w:rPr>
          <w:rFonts w:hint="eastAsia" w:ascii="Arial" w:hAnsi="Arial" w:eastAsia="黑体" w:cs="Arial"/>
          <w:sz w:val="20"/>
          <w:szCs w:val="20"/>
          <w:lang w:val="en-US" w:eastAsia="zh-CN"/>
        </w:rPr>
        <w:t>S</w:t>
      </w:r>
      <w:r>
        <w:rPr>
          <w:rFonts w:hint="eastAsia" w:ascii="Arial" w:hAnsi="Arial" w:eastAsia="黑体" w:cs="Arial"/>
          <w:sz w:val="20"/>
          <w:szCs w:val="20"/>
        </w:rPr>
        <w:t xml:space="preserve">2 </w:t>
      </w:r>
      <w:r>
        <w:rPr>
          <w:rFonts w:ascii="Arial" w:hAnsi="Arial" w:eastAsia="黑体" w:cs="Arial"/>
          <w:sz w:val="20"/>
          <w:szCs w:val="20"/>
        </w:rPr>
        <w:t>BET Results of HAP, Fe/HAP20, Fe/HAP30, Fe/HAP40, DC, FeDC30</w:t>
      </w:r>
    </w:p>
    <w:tbl>
      <w:tblPr>
        <w:tblStyle w:val="10"/>
        <w:tblpPr w:leftFromText="180" w:rightFromText="180" w:vertAnchor="text" w:horzAnchor="page" w:tblpX="1843" w:tblpY="295"/>
        <w:tblOverlap w:val="never"/>
        <w:tblW w:w="4997" w:type="pct"/>
        <w:tblInd w:w="0" w:type="dxa"/>
        <w:tblBorders>
          <w:top w:val="single" w:color="auto" w:sz="8"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3"/>
        <w:gridCol w:w="1576"/>
        <w:gridCol w:w="1535"/>
        <w:gridCol w:w="2298"/>
        <w:gridCol w:w="1495"/>
      </w:tblGrid>
      <w:tr w14:paraId="33F9DC7E">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947" w:type="pct"/>
            <w:tcBorders>
              <w:bottom w:val="single" w:color="auto" w:sz="4" w:space="0"/>
            </w:tcBorders>
            <w:vAlign w:val="center"/>
          </w:tcPr>
          <w:p w14:paraId="0E59AC5E">
            <w:pPr>
              <w:jc w:val="center"/>
              <w:rPr>
                <w:rFonts w:ascii="Arial" w:hAnsi="Arial" w:eastAsia="宋体" w:cs="Arial"/>
                <w:b/>
                <w:bCs/>
                <w:sz w:val="18"/>
                <w:szCs w:val="18"/>
              </w:rPr>
            </w:pPr>
            <w:r>
              <w:rPr>
                <w:rFonts w:ascii="Arial" w:hAnsi="Arial" w:eastAsia="宋体" w:cs="Arial"/>
                <w:b/>
                <w:bCs/>
                <w:sz w:val="18"/>
                <w:szCs w:val="18"/>
              </w:rPr>
              <w:t>Samples</w:t>
            </w:r>
          </w:p>
        </w:tc>
        <w:tc>
          <w:tcPr>
            <w:tcW w:w="925" w:type="pct"/>
            <w:tcBorders>
              <w:bottom w:val="single" w:color="auto" w:sz="4" w:space="0"/>
            </w:tcBorders>
            <w:vAlign w:val="center"/>
          </w:tcPr>
          <w:p w14:paraId="21364973">
            <w:pPr>
              <w:widowControl/>
              <w:jc w:val="center"/>
              <w:rPr>
                <w:rFonts w:ascii="Arial" w:hAnsi="Arial" w:eastAsia="宋体" w:cs="Arial"/>
                <w:b/>
                <w:bCs/>
                <w:kern w:val="0"/>
                <w:sz w:val="18"/>
                <w:szCs w:val="18"/>
                <w:lang w:bidi="ar"/>
              </w:rPr>
            </w:pPr>
            <w:r>
              <w:rPr>
                <w:rFonts w:ascii="Arial" w:hAnsi="Arial" w:eastAsia="宋体" w:cs="Arial"/>
                <w:b/>
                <w:bCs/>
                <w:kern w:val="0"/>
                <w:sz w:val="18"/>
                <w:szCs w:val="18"/>
                <w:lang w:bidi="ar"/>
              </w:rPr>
              <w:t xml:space="preserve">SinglePoint BET </w:t>
            </w:r>
            <w:r>
              <w:rPr>
                <w:rFonts w:ascii="Arial" w:hAnsi="Arial" w:eastAsia="宋体" w:cs="Arial"/>
                <w:b/>
                <w:bCs/>
                <w:sz w:val="18"/>
                <w:szCs w:val="18"/>
              </w:rPr>
              <w:t>(m</w:t>
            </w:r>
            <w:r>
              <w:rPr>
                <w:rFonts w:ascii="Arial" w:hAnsi="Arial" w:eastAsia="宋体" w:cs="Arial"/>
                <w:b/>
                <w:bCs/>
                <w:sz w:val="18"/>
                <w:szCs w:val="18"/>
                <w:vertAlign w:val="superscript"/>
              </w:rPr>
              <w:t>2</w:t>
            </w:r>
            <w:r>
              <w:rPr>
                <w:rFonts w:ascii="Arial" w:hAnsi="Arial" w:eastAsia="宋体" w:cs="Arial"/>
                <w:b/>
                <w:bCs/>
                <w:sz w:val="18"/>
                <w:szCs w:val="18"/>
              </w:rPr>
              <w:t>/g)</w:t>
            </w:r>
          </w:p>
        </w:tc>
        <w:tc>
          <w:tcPr>
            <w:tcW w:w="901" w:type="pct"/>
            <w:tcBorders>
              <w:bottom w:val="single" w:color="auto" w:sz="4" w:space="0"/>
            </w:tcBorders>
            <w:vAlign w:val="center"/>
          </w:tcPr>
          <w:p w14:paraId="3AAC7634">
            <w:pPr>
              <w:jc w:val="center"/>
              <w:rPr>
                <w:rFonts w:ascii="Arial" w:hAnsi="Arial" w:eastAsia="宋体" w:cs="Arial"/>
                <w:b/>
                <w:bCs/>
                <w:sz w:val="18"/>
                <w:szCs w:val="18"/>
              </w:rPr>
            </w:pPr>
            <w:r>
              <w:rPr>
                <w:rFonts w:ascii="Arial" w:hAnsi="Arial" w:eastAsia="宋体" w:cs="Arial"/>
                <w:b/>
                <w:bCs/>
                <w:sz w:val="18"/>
                <w:szCs w:val="18"/>
              </w:rPr>
              <w:t>MultiPoint BET (m</w:t>
            </w:r>
            <w:r>
              <w:rPr>
                <w:rFonts w:ascii="Arial" w:hAnsi="Arial" w:eastAsia="宋体" w:cs="Arial"/>
                <w:b/>
                <w:bCs/>
                <w:sz w:val="18"/>
                <w:szCs w:val="18"/>
                <w:vertAlign w:val="superscript"/>
              </w:rPr>
              <w:t>2</w:t>
            </w:r>
            <w:r>
              <w:rPr>
                <w:rFonts w:ascii="Arial" w:hAnsi="Arial" w:eastAsia="宋体" w:cs="Arial"/>
                <w:b/>
                <w:bCs/>
                <w:sz w:val="18"/>
                <w:szCs w:val="18"/>
              </w:rPr>
              <w:t>/g)</w:t>
            </w:r>
          </w:p>
        </w:tc>
        <w:tc>
          <w:tcPr>
            <w:tcW w:w="1349" w:type="pct"/>
            <w:tcBorders>
              <w:bottom w:val="single" w:color="auto" w:sz="4" w:space="0"/>
            </w:tcBorders>
            <w:vAlign w:val="center"/>
          </w:tcPr>
          <w:p w14:paraId="053F6FED">
            <w:pPr>
              <w:jc w:val="center"/>
              <w:rPr>
                <w:rFonts w:ascii="Arial" w:hAnsi="Arial" w:eastAsia="宋体" w:cs="Arial"/>
                <w:b/>
                <w:bCs/>
                <w:sz w:val="18"/>
                <w:szCs w:val="18"/>
              </w:rPr>
            </w:pPr>
            <w:r>
              <w:rPr>
                <w:rFonts w:ascii="Arial" w:hAnsi="Arial" w:eastAsia="宋体" w:cs="Arial"/>
                <w:b/>
                <w:bCs/>
                <w:sz w:val="18"/>
                <w:szCs w:val="18"/>
              </w:rPr>
              <w:t>Total pore volume for pores with Diameter</w:t>
            </w:r>
          </w:p>
          <w:p w14:paraId="6DB59210">
            <w:pPr>
              <w:jc w:val="center"/>
              <w:rPr>
                <w:rFonts w:ascii="Arial" w:hAnsi="Arial" w:eastAsia="宋体" w:cs="Arial"/>
                <w:b/>
                <w:bCs/>
                <w:sz w:val="18"/>
                <w:szCs w:val="18"/>
              </w:rPr>
            </w:pPr>
            <w:r>
              <w:rPr>
                <w:rFonts w:ascii="Arial" w:hAnsi="Arial" w:eastAsia="宋体" w:cs="Arial"/>
                <w:b/>
                <w:bCs/>
                <w:sz w:val="18"/>
                <w:szCs w:val="18"/>
              </w:rPr>
              <w:t>(cm</w:t>
            </w:r>
            <w:r>
              <w:rPr>
                <w:rFonts w:ascii="Arial" w:hAnsi="Arial" w:eastAsia="宋体" w:cs="Arial"/>
                <w:b/>
                <w:bCs/>
                <w:sz w:val="18"/>
                <w:szCs w:val="18"/>
                <w:vertAlign w:val="superscript"/>
              </w:rPr>
              <w:t>3</w:t>
            </w:r>
            <w:r>
              <w:rPr>
                <w:rFonts w:ascii="Arial" w:hAnsi="Arial" w:eastAsia="宋体" w:cs="Arial"/>
                <w:b/>
                <w:bCs/>
                <w:sz w:val="18"/>
                <w:szCs w:val="18"/>
              </w:rPr>
              <w:t>/g)</w:t>
            </w:r>
          </w:p>
        </w:tc>
        <w:tc>
          <w:tcPr>
            <w:tcW w:w="877" w:type="pct"/>
            <w:tcBorders>
              <w:bottom w:val="single" w:color="auto" w:sz="4" w:space="0"/>
            </w:tcBorders>
            <w:vAlign w:val="center"/>
          </w:tcPr>
          <w:p w14:paraId="69B16E24">
            <w:pPr>
              <w:jc w:val="center"/>
              <w:rPr>
                <w:rFonts w:ascii="Arial" w:hAnsi="Arial" w:eastAsia="宋体" w:cs="Arial"/>
                <w:b/>
                <w:bCs/>
                <w:sz w:val="18"/>
                <w:szCs w:val="18"/>
              </w:rPr>
            </w:pPr>
            <w:r>
              <w:rPr>
                <w:rFonts w:ascii="Arial" w:hAnsi="Arial" w:eastAsia="宋体" w:cs="Arial"/>
                <w:b/>
                <w:bCs/>
                <w:sz w:val="18"/>
                <w:szCs w:val="18"/>
              </w:rPr>
              <w:t>Average pore Diameter</w:t>
            </w:r>
          </w:p>
          <w:p w14:paraId="56DB3E82">
            <w:pPr>
              <w:jc w:val="center"/>
              <w:rPr>
                <w:rFonts w:ascii="Arial" w:hAnsi="Arial" w:eastAsia="宋体" w:cs="Arial"/>
                <w:b/>
                <w:bCs/>
                <w:sz w:val="18"/>
                <w:szCs w:val="18"/>
              </w:rPr>
            </w:pPr>
            <w:r>
              <w:rPr>
                <w:rFonts w:ascii="Arial" w:hAnsi="Arial" w:eastAsia="宋体" w:cs="Arial"/>
                <w:b/>
                <w:bCs/>
                <w:sz w:val="18"/>
                <w:szCs w:val="18"/>
              </w:rPr>
              <w:t>(nm)</w:t>
            </w:r>
          </w:p>
        </w:tc>
      </w:tr>
      <w:tr w14:paraId="3F967FD7">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947" w:type="pct"/>
            <w:tcBorders>
              <w:top w:val="single" w:color="auto" w:sz="4" w:space="0"/>
              <w:tl2br w:val="nil"/>
              <w:tr2bl w:val="nil"/>
            </w:tcBorders>
            <w:vAlign w:val="center"/>
          </w:tcPr>
          <w:p w14:paraId="138C8A65">
            <w:pPr>
              <w:jc w:val="center"/>
              <w:rPr>
                <w:rFonts w:ascii="Arial" w:hAnsi="Arial" w:eastAsia="宋体" w:cs="Arial"/>
                <w:b/>
                <w:bCs/>
                <w:sz w:val="16"/>
                <w:szCs w:val="16"/>
              </w:rPr>
            </w:pPr>
            <w:r>
              <w:rPr>
                <w:rFonts w:ascii="Arial" w:hAnsi="Arial" w:eastAsia="宋体" w:cs="Arial"/>
                <w:b/>
                <w:bCs/>
                <w:sz w:val="16"/>
                <w:szCs w:val="16"/>
              </w:rPr>
              <w:t>HAP</w:t>
            </w:r>
          </w:p>
        </w:tc>
        <w:tc>
          <w:tcPr>
            <w:tcW w:w="925" w:type="pct"/>
            <w:tcBorders>
              <w:top w:val="single" w:color="auto" w:sz="4" w:space="0"/>
              <w:tl2br w:val="nil"/>
              <w:tr2bl w:val="nil"/>
            </w:tcBorders>
            <w:vAlign w:val="center"/>
          </w:tcPr>
          <w:p w14:paraId="11A5F626">
            <w:pPr>
              <w:jc w:val="center"/>
              <w:rPr>
                <w:rFonts w:ascii="Arial" w:hAnsi="Arial" w:eastAsia="宋体" w:cs="Arial"/>
                <w:sz w:val="16"/>
                <w:szCs w:val="16"/>
              </w:rPr>
            </w:pPr>
            <w:r>
              <w:rPr>
                <w:rFonts w:ascii="Arial" w:hAnsi="Arial" w:eastAsia="宋体" w:cs="Arial"/>
                <w:sz w:val="16"/>
                <w:szCs w:val="16"/>
              </w:rPr>
              <w:t>29.02</w:t>
            </w:r>
          </w:p>
        </w:tc>
        <w:tc>
          <w:tcPr>
            <w:tcW w:w="901" w:type="pct"/>
            <w:tcBorders>
              <w:top w:val="single" w:color="auto" w:sz="4" w:space="0"/>
              <w:tl2br w:val="nil"/>
              <w:tr2bl w:val="nil"/>
            </w:tcBorders>
            <w:vAlign w:val="center"/>
          </w:tcPr>
          <w:p w14:paraId="26E0BEC9">
            <w:pPr>
              <w:jc w:val="center"/>
              <w:rPr>
                <w:rFonts w:ascii="Arial" w:hAnsi="Arial" w:eastAsia="宋体" w:cs="Arial"/>
                <w:sz w:val="16"/>
                <w:szCs w:val="16"/>
              </w:rPr>
            </w:pPr>
            <w:r>
              <w:rPr>
                <w:rFonts w:ascii="Arial" w:hAnsi="Arial" w:eastAsia="宋体" w:cs="Arial"/>
                <w:sz w:val="16"/>
                <w:szCs w:val="16"/>
              </w:rPr>
              <w:t>47.34</w:t>
            </w:r>
          </w:p>
        </w:tc>
        <w:tc>
          <w:tcPr>
            <w:tcW w:w="1349" w:type="pct"/>
            <w:tcBorders>
              <w:top w:val="single" w:color="auto" w:sz="4" w:space="0"/>
              <w:tl2br w:val="nil"/>
              <w:tr2bl w:val="nil"/>
            </w:tcBorders>
            <w:vAlign w:val="center"/>
          </w:tcPr>
          <w:p w14:paraId="1703FA97">
            <w:pPr>
              <w:jc w:val="center"/>
              <w:rPr>
                <w:rFonts w:ascii="Arial" w:hAnsi="Arial" w:eastAsia="宋体" w:cs="Arial"/>
                <w:sz w:val="16"/>
                <w:szCs w:val="16"/>
              </w:rPr>
            </w:pPr>
            <w:r>
              <w:rPr>
                <w:rFonts w:ascii="Arial" w:hAnsi="Arial" w:eastAsia="宋体" w:cs="Arial"/>
                <w:sz w:val="16"/>
                <w:szCs w:val="16"/>
              </w:rPr>
              <w:t>0.0965</w:t>
            </w:r>
          </w:p>
        </w:tc>
        <w:tc>
          <w:tcPr>
            <w:tcW w:w="877" w:type="pct"/>
            <w:tcBorders>
              <w:top w:val="single" w:color="auto" w:sz="4" w:space="0"/>
              <w:tl2br w:val="nil"/>
              <w:tr2bl w:val="nil"/>
            </w:tcBorders>
            <w:vAlign w:val="center"/>
          </w:tcPr>
          <w:p w14:paraId="0EB136F8">
            <w:pPr>
              <w:jc w:val="center"/>
              <w:rPr>
                <w:rFonts w:ascii="Arial" w:hAnsi="Arial" w:eastAsia="宋体" w:cs="Arial"/>
                <w:sz w:val="16"/>
                <w:szCs w:val="16"/>
              </w:rPr>
            </w:pPr>
            <w:r>
              <w:rPr>
                <w:rFonts w:ascii="Arial" w:hAnsi="Arial" w:eastAsia="宋体" w:cs="Arial"/>
                <w:sz w:val="16"/>
                <w:szCs w:val="16"/>
              </w:rPr>
              <w:t>8.15</w:t>
            </w:r>
          </w:p>
        </w:tc>
      </w:tr>
      <w:tr w14:paraId="06AAEC34">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947" w:type="pct"/>
            <w:tcBorders>
              <w:tl2br w:val="nil"/>
              <w:tr2bl w:val="nil"/>
            </w:tcBorders>
            <w:vAlign w:val="center"/>
          </w:tcPr>
          <w:p w14:paraId="0BB33A58">
            <w:pPr>
              <w:jc w:val="center"/>
              <w:rPr>
                <w:rFonts w:ascii="Arial" w:hAnsi="Arial" w:eastAsia="宋体" w:cs="Arial"/>
                <w:b/>
                <w:bCs/>
                <w:sz w:val="16"/>
                <w:szCs w:val="16"/>
              </w:rPr>
            </w:pPr>
            <w:r>
              <w:rPr>
                <w:rFonts w:hint="eastAsia" w:eastAsia="宋体" w:cs="Arial"/>
                <w:b/>
                <w:bCs/>
                <w:sz w:val="16"/>
                <w:szCs w:val="16"/>
              </w:rPr>
              <w:t>Fe/HAP20</w:t>
            </w:r>
          </w:p>
        </w:tc>
        <w:tc>
          <w:tcPr>
            <w:tcW w:w="925" w:type="pct"/>
            <w:tcBorders>
              <w:tl2br w:val="nil"/>
              <w:tr2bl w:val="nil"/>
            </w:tcBorders>
            <w:vAlign w:val="center"/>
          </w:tcPr>
          <w:p w14:paraId="75D1F045">
            <w:pPr>
              <w:jc w:val="center"/>
              <w:rPr>
                <w:rFonts w:ascii="Arial" w:hAnsi="Arial" w:eastAsia="宋体" w:cs="Arial"/>
                <w:sz w:val="16"/>
                <w:szCs w:val="16"/>
              </w:rPr>
            </w:pPr>
            <w:r>
              <w:rPr>
                <w:rFonts w:ascii="Arial" w:hAnsi="Arial" w:eastAsia="宋体" w:cs="Arial"/>
                <w:sz w:val="16"/>
                <w:szCs w:val="16"/>
              </w:rPr>
              <w:t>36.19</w:t>
            </w:r>
          </w:p>
        </w:tc>
        <w:tc>
          <w:tcPr>
            <w:tcW w:w="901" w:type="pct"/>
            <w:tcBorders>
              <w:tl2br w:val="nil"/>
              <w:tr2bl w:val="nil"/>
            </w:tcBorders>
            <w:vAlign w:val="center"/>
          </w:tcPr>
          <w:p w14:paraId="11FB9103">
            <w:pPr>
              <w:jc w:val="center"/>
              <w:rPr>
                <w:rFonts w:ascii="Arial" w:hAnsi="Arial" w:eastAsia="宋体" w:cs="Arial"/>
                <w:sz w:val="16"/>
                <w:szCs w:val="16"/>
              </w:rPr>
            </w:pPr>
            <w:r>
              <w:rPr>
                <w:rFonts w:ascii="Arial" w:hAnsi="Arial" w:eastAsia="宋体" w:cs="Arial"/>
                <w:sz w:val="16"/>
                <w:szCs w:val="16"/>
              </w:rPr>
              <w:t>51.45</w:t>
            </w:r>
          </w:p>
        </w:tc>
        <w:tc>
          <w:tcPr>
            <w:tcW w:w="1349" w:type="pct"/>
            <w:tcBorders>
              <w:tl2br w:val="nil"/>
              <w:tr2bl w:val="nil"/>
            </w:tcBorders>
            <w:vAlign w:val="center"/>
          </w:tcPr>
          <w:p w14:paraId="7AF6E2FF">
            <w:pPr>
              <w:jc w:val="center"/>
              <w:rPr>
                <w:rFonts w:ascii="Arial" w:hAnsi="Arial" w:eastAsia="宋体" w:cs="Arial"/>
                <w:sz w:val="16"/>
                <w:szCs w:val="16"/>
              </w:rPr>
            </w:pPr>
            <w:r>
              <w:rPr>
                <w:rFonts w:ascii="Arial" w:hAnsi="Arial" w:eastAsia="宋体" w:cs="Arial"/>
                <w:sz w:val="16"/>
                <w:szCs w:val="16"/>
              </w:rPr>
              <w:t>0.1192</w:t>
            </w:r>
          </w:p>
        </w:tc>
        <w:tc>
          <w:tcPr>
            <w:tcW w:w="877" w:type="pct"/>
            <w:tcBorders>
              <w:tl2br w:val="nil"/>
              <w:tr2bl w:val="nil"/>
            </w:tcBorders>
            <w:vAlign w:val="center"/>
          </w:tcPr>
          <w:p w14:paraId="6C6F58B4">
            <w:pPr>
              <w:jc w:val="center"/>
              <w:rPr>
                <w:rFonts w:ascii="Arial" w:hAnsi="Arial" w:eastAsia="宋体" w:cs="Arial"/>
                <w:sz w:val="16"/>
                <w:szCs w:val="16"/>
              </w:rPr>
            </w:pPr>
            <w:r>
              <w:rPr>
                <w:rFonts w:ascii="Arial" w:hAnsi="Arial" w:eastAsia="宋体" w:cs="Arial"/>
                <w:sz w:val="16"/>
                <w:szCs w:val="16"/>
              </w:rPr>
              <w:t>9.66</w:t>
            </w:r>
          </w:p>
        </w:tc>
      </w:tr>
      <w:tr w14:paraId="739EC1C3">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947" w:type="pct"/>
            <w:tcBorders>
              <w:tl2br w:val="nil"/>
              <w:tr2bl w:val="nil"/>
            </w:tcBorders>
            <w:vAlign w:val="center"/>
          </w:tcPr>
          <w:p w14:paraId="66342F46">
            <w:pPr>
              <w:jc w:val="center"/>
              <w:rPr>
                <w:rFonts w:ascii="Arial" w:hAnsi="Arial" w:eastAsia="宋体" w:cs="Arial"/>
                <w:b/>
                <w:bCs/>
                <w:sz w:val="16"/>
                <w:szCs w:val="16"/>
              </w:rPr>
            </w:pPr>
            <w:r>
              <w:rPr>
                <w:rFonts w:hint="eastAsia" w:eastAsia="宋体" w:cs="Arial"/>
                <w:b/>
                <w:bCs/>
                <w:sz w:val="16"/>
                <w:szCs w:val="16"/>
              </w:rPr>
              <w:t>Fe/HAP30</w:t>
            </w:r>
          </w:p>
        </w:tc>
        <w:tc>
          <w:tcPr>
            <w:tcW w:w="925" w:type="pct"/>
            <w:tcBorders>
              <w:tl2br w:val="nil"/>
              <w:tr2bl w:val="nil"/>
            </w:tcBorders>
            <w:vAlign w:val="center"/>
          </w:tcPr>
          <w:p w14:paraId="7B068CF5">
            <w:pPr>
              <w:jc w:val="center"/>
              <w:rPr>
                <w:rFonts w:ascii="Arial" w:hAnsi="Arial" w:eastAsia="宋体" w:cs="Arial"/>
                <w:sz w:val="16"/>
                <w:szCs w:val="16"/>
              </w:rPr>
            </w:pPr>
            <w:r>
              <w:rPr>
                <w:rFonts w:ascii="Arial" w:hAnsi="Arial" w:eastAsia="宋体" w:cs="Arial"/>
                <w:sz w:val="16"/>
                <w:szCs w:val="16"/>
              </w:rPr>
              <w:t>49.02</w:t>
            </w:r>
          </w:p>
        </w:tc>
        <w:tc>
          <w:tcPr>
            <w:tcW w:w="901" w:type="pct"/>
            <w:tcBorders>
              <w:tl2br w:val="nil"/>
              <w:tr2bl w:val="nil"/>
            </w:tcBorders>
            <w:vAlign w:val="center"/>
          </w:tcPr>
          <w:p w14:paraId="455A8EDC">
            <w:pPr>
              <w:jc w:val="center"/>
              <w:rPr>
                <w:rFonts w:ascii="Arial" w:hAnsi="Arial" w:eastAsia="宋体" w:cs="Arial"/>
                <w:sz w:val="16"/>
                <w:szCs w:val="16"/>
              </w:rPr>
            </w:pPr>
            <w:r>
              <w:rPr>
                <w:rFonts w:ascii="Arial" w:hAnsi="Arial" w:eastAsia="宋体" w:cs="Arial"/>
                <w:sz w:val="16"/>
                <w:szCs w:val="16"/>
              </w:rPr>
              <w:t>73.73</w:t>
            </w:r>
          </w:p>
        </w:tc>
        <w:tc>
          <w:tcPr>
            <w:tcW w:w="1349" w:type="pct"/>
            <w:tcBorders>
              <w:tl2br w:val="nil"/>
              <w:tr2bl w:val="nil"/>
            </w:tcBorders>
            <w:vAlign w:val="center"/>
          </w:tcPr>
          <w:p w14:paraId="3E277181">
            <w:pPr>
              <w:jc w:val="center"/>
              <w:rPr>
                <w:rFonts w:ascii="Arial" w:hAnsi="Arial" w:eastAsia="宋体" w:cs="Arial"/>
                <w:sz w:val="16"/>
                <w:szCs w:val="16"/>
              </w:rPr>
            </w:pPr>
            <w:r>
              <w:rPr>
                <w:rFonts w:ascii="Arial" w:hAnsi="Arial" w:eastAsia="宋体" w:cs="Arial"/>
                <w:sz w:val="16"/>
                <w:szCs w:val="16"/>
              </w:rPr>
              <w:t>0.1428</w:t>
            </w:r>
          </w:p>
        </w:tc>
        <w:tc>
          <w:tcPr>
            <w:tcW w:w="877" w:type="pct"/>
            <w:tcBorders>
              <w:tl2br w:val="nil"/>
              <w:tr2bl w:val="nil"/>
            </w:tcBorders>
            <w:vAlign w:val="center"/>
          </w:tcPr>
          <w:p w14:paraId="0A3A24B4">
            <w:pPr>
              <w:jc w:val="center"/>
              <w:rPr>
                <w:rFonts w:ascii="Arial" w:hAnsi="Arial" w:eastAsia="宋体" w:cs="Arial"/>
                <w:sz w:val="16"/>
                <w:szCs w:val="16"/>
              </w:rPr>
            </w:pPr>
            <w:r>
              <w:rPr>
                <w:rFonts w:ascii="Arial" w:hAnsi="Arial" w:eastAsia="宋体" w:cs="Arial"/>
                <w:sz w:val="16"/>
                <w:szCs w:val="16"/>
              </w:rPr>
              <w:t>7.75</w:t>
            </w:r>
          </w:p>
        </w:tc>
      </w:tr>
      <w:tr w14:paraId="6098EE84">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947" w:type="pct"/>
            <w:tcBorders>
              <w:tl2br w:val="nil"/>
              <w:tr2bl w:val="nil"/>
            </w:tcBorders>
            <w:vAlign w:val="center"/>
          </w:tcPr>
          <w:p w14:paraId="2C7C54C5">
            <w:pPr>
              <w:jc w:val="center"/>
              <w:rPr>
                <w:rFonts w:ascii="Arial" w:hAnsi="Arial" w:eastAsia="宋体" w:cs="Arial"/>
                <w:b/>
                <w:bCs/>
                <w:sz w:val="16"/>
                <w:szCs w:val="16"/>
              </w:rPr>
            </w:pPr>
            <w:r>
              <w:rPr>
                <w:rFonts w:hint="eastAsia" w:eastAsia="宋体" w:cs="Arial"/>
                <w:b/>
                <w:bCs/>
                <w:sz w:val="16"/>
                <w:szCs w:val="16"/>
              </w:rPr>
              <w:t>Fe/HAP40</w:t>
            </w:r>
          </w:p>
        </w:tc>
        <w:tc>
          <w:tcPr>
            <w:tcW w:w="925" w:type="pct"/>
            <w:tcBorders>
              <w:tl2br w:val="nil"/>
              <w:tr2bl w:val="nil"/>
            </w:tcBorders>
            <w:vAlign w:val="center"/>
          </w:tcPr>
          <w:p w14:paraId="38CCD804">
            <w:pPr>
              <w:jc w:val="center"/>
              <w:rPr>
                <w:rFonts w:ascii="Arial" w:hAnsi="Arial" w:eastAsia="宋体" w:cs="Arial"/>
                <w:sz w:val="16"/>
                <w:szCs w:val="16"/>
              </w:rPr>
            </w:pPr>
            <w:r>
              <w:rPr>
                <w:rFonts w:ascii="Arial" w:hAnsi="Arial" w:eastAsia="宋体" w:cs="Arial"/>
                <w:sz w:val="16"/>
                <w:szCs w:val="16"/>
              </w:rPr>
              <w:t>66.13</w:t>
            </w:r>
          </w:p>
        </w:tc>
        <w:tc>
          <w:tcPr>
            <w:tcW w:w="901" w:type="pct"/>
            <w:tcBorders>
              <w:tl2br w:val="nil"/>
              <w:tr2bl w:val="nil"/>
            </w:tcBorders>
            <w:vAlign w:val="center"/>
          </w:tcPr>
          <w:p w14:paraId="2587F21D">
            <w:pPr>
              <w:jc w:val="center"/>
              <w:rPr>
                <w:rFonts w:ascii="Arial" w:hAnsi="Arial" w:eastAsia="宋体" w:cs="Arial"/>
                <w:sz w:val="16"/>
                <w:szCs w:val="16"/>
              </w:rPr>
            </w:pPr>
            <w:r>
              <w:rPr>
                <w:rFonts w:ascii="Arial" w:hAnsi="Arial" w:eastAsia="宋体" w:cs="Arial"/>
                <w:sz w:val="16"/>
                <w:szCs w:val="16"/>
              </w:rPr>
              <w:t>102.50</w:t>
            </w:r>
          </w:p>
        </w:tc>
        <w:tc>
          <w:tcPr>
            <w:tcW w:w="1349" w:type="pct"/>
            <w:tcBorders>
              <w:tl2br w:val="nil"/>
              <w:tr2bl w:val="nil"/>
            </w:tcBorders>
            <w:vAlign w:val="center"/>
          </w:tcPr>
          <w:p w14:paraId="6B600226">
            <w:pPr>
              <w:jc w:val="center"/>
              <w:rPr>
                <w:rFonts w:ascii="Arial" w:hAnsi="Arial" w:eastAsia="宋体" w:cs="Arial"/>
                <w:sz w:val="16"/>
                <w:szCs w:val="16"/>
              </w:rPr>
            </w:pPr>
            <w:r>
              <w:rPr>
                <w:rFonts w:ascii="Arial" w:hAnsi="Arial" w:eastAsia="宋体" w:cs="Arial"/>
                <w:sz w:val="16"/>
                <w:szCs w:val="16"/>
              </w:rPr>
              <w:t>0.2121</w:t>
            </w:r>
          </w:p>
        </w:tc>
        <w:tc>
          <w:tcPr>
            <w:tcW w:w="877" w:type="pct"/>
            <w:tcBorders>
              <w:tl2br w:val="nil"/>
              <w:tr2bl w:val="nil"/>
            </w:tcBorders>
            <w:vAlign w:val="center"/>
          </w:tcPr>
          <w:p w14:paraId="5D3F4DCF">
            <w:pPr>
              <w:jc w:val="center"/>
              <w:rPr>
                <w:rFonts w:ascii="Arial" w:hAnsi="Arial" w:eastAsia="宋体" w:cs="Arial"/>
                <w:sz w:val="16"/>
                <w:szCs w:val="16"/>
              </w:rPr>
            </w:pPr>
            <w:r>
              <w:rPr>
                <w:rFonts w:ascii="Arial" w:hAnsi="Arial" w:eastAsia="宋体" w:cs="Arial"/>
                <w:sz w:val="16"/>
                <w:szCs w:val="16"/>
              </w:rPr>
              <w:t>8.28</w:t>
            </w:r>
          </w:p>
        </w:tc>
      </w:tr>
      <w:tr w14:paraId="3BCB6F8F">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947" w:type="pct"/>
            <w:tcBorders>
              <w:tl2br w:val="nil"/>
              <w:tr2bl w:val="nil"/>
            </w:tcBorders>
            <w:vAlign w:val="center"/>
          </w:tcPr>
          <w:p w14:paraId="66032281">
            <w:pPr>
              <w:jc w:val="center"/>
              <w:rPr>
                <w:rFonts w:ascii="Arial" w:hAnsi="Arial" w:eastAsia="宋体" w:cs="Arial"/>
                <w:b/>
                <w:bCs/>
                <w:sz w:val="16"/>
                <w:szCs w:val="16"/>
              </w:rPr>
            </w:pPr>
            <w:r>
              <w:rPr>
                <w:rFonts w:hint="eastAsia" w:eastAsia="宋体" w:cs="Arial"/>
                <w:b/>
                <w:bCs/>
                <w:sz w:val="16"/>
                <w:szCs w:val="16"/>
              </w:rPr>
              <w:t>DC</w:t>
            </w:r>
          </w:p>
        </w:tc>
        <w:tc>
          <w:tcPr>
            <w:tcW w:w="925" w:type="pct"/>
            <w:tcBorders>
              <w:tl2br w:val="nil"/>
              <w:tr2bl w:val="nil"/>
            </w:tcBorders>
            <w:vAlign w:val="center"/>
          </w:tcPr>
          <w:p w14:paraId="214FA5ED">
            <w:pPr>
              <w:jc w:val="center"/>
              <w:rPr>
                <w:rFonts w:ascii="Arial" w:hAnsi="Arial" w:eastAsia="宋体" w:cs="Arial"/>
                <w:sz w:val="16"/>
                <w:szCs w:val="16"/>
              </w:rPr>
            </w:pPr>
            <w:r>
              <w:rPr>
                <w:rFonts w:ascii="Arial" w:hAnsi="Arial" w:eastAsia="宋体" w:cs="Arial"/>
                <w:sz w:val="16"/>
                <w:szCs w:val="16"/>
              </w:rPr>
              <w:t>163.69</w:t>
            </w:r>
          </w:p>
        </w:tc>
        <w:tc>
          <w:tcPr>
            <w:tcW w:w="901" w:type="pct"/>
            <w:tcBorders>
              <w:tl2br w:val="nil"/>
              <w:tr2bl w:val="nil"/>
            </w:tcBorders>
            <w:vAlign w:val="center"/>
          </w:tcPr>
          <w:p w14:paraId="079D40A1">
            <w:pPr>
              <w:jc w:val="center"/>
              <w:rPr>
                <w:rFonts w:ascii="Arial" w:hAnsi="Arial" w:eastAsia="宋体" w:cs="Arial"/>
                <w:sz w:val="16"/>
                <w:szCs w:val="16"/>
              </w:rPr>
            </w:pPr>
            <w:r>
              <w:rPr>
                <w:rFonts w:ascii="Arial" w:hAnsi="Arial" w:eastAsia="宋体" w:cs="Arial"/>
                <w:sz w:val="16"/>
                <w:szCs w:val="16"/>
              </w:rPr>
              <w:t>166.84</w:t>
            </w:r>
          </w:p>
        </w:tc>
        <w:tc>
          <w:tcPr>
            <w:tcW w:w="1349" w:type="pct"/>
            <w:tcBorders>
              <w:tl2br w:val="nil"/>
              <w:tr2bl w:val="nil"/>
            </w:tcBorders>
            <w:vAlign w:val="center"/>
          </w:tcPr>
          <w:p w14:paraId="36C51790">
            <w:pPr>
              <w:jc w:val="center"/>
              <w:rPr>
                <w:rFonts w:ascii="Arial" w:hAnsi="Arial" w:eastAsia="宋体" w:cs="Arial"/>
                <w:sz w:val="16"/>
                <w:szCs w:val="16"/>
              </w:rPr>
            </w:pPr>
            <w:r>
              <w:rPr>
                <w:rFonts w:ascii="Arial" w:hAnsi="Arial" w:eastAsia="宋体" w:cs="Arial"/>
                <w:sz w:val="16"/>
                <w:szCs w:val="16"/>
              </w:rPr>
              <w:t>0.3980</w:t>
            </w:r>
          </w:p>
        </w:tc>
        <w:tc>
          <w:tcPr>
            <w:tcW w:w="877" w:type="pct"/>
            <w:tcBorders>
              <w:tl2br w:val="nil"/>
              <w:tr2bl w:val="nil"/>
            </w:tcBorders>
            <w:vAlign w:val="center"/>
          </w:tcPr>
          <w:p w14:paraId="4225B632">
            <w:pPr>
              <w:jc w:val="center"/>
              <w:rPr>
                <w:rFonts w:ascii="Arial" w:hAnsi="Arial" w:eastAsia="宋体" w:cs="Arial"/>
                <w:sz w:val="16"/>
                <w:szCs w:val="16"/>
              </w:rPr>
            </w:pPr>
            <w:r>
              <w:rPr>
                <w:rFonts w:ascii="Arial" w:hAnsi="Arial" w:eastAsia="宋体" w:cs="Arial"/>
                <w:sz w:val="16"/>
                <w:szCs w:val="16"/>
              </w:rPr>
              <w:t>9.54</w:t>
            </w:r>
          </w:p>
        </w:tc>
      </w:tr>
      <w:tr w14:paraId="1791496F">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7" w:type="pct"/>
            <w:tcBorders>
              <w:bottom w:val="single" w:color="auto" w:sz="8" w:space="0"/>
              <w:tl2br w:val="nil"/>
              <w:tr2bl w:val="nil"/>
            </w:tcBorders>
            <w:vAlign w:val="center"/>
          </w:tcPr>
          <w:p w14:paraId="0683A129">
            <w:pPr>
              <w:jc w:val="center"/>
              <w:rPr>
                <w:rFonts w:ascii="Arial" w:hAnsi="Arial" w:eastAsia="宋体" w:cs="Arial"/>
                <w:b/>
                <w:bCs/>
                <w:sz w:val="16"/>
                <w:szCs w:val="16"/>
              </w:rPr>
            </w:pPr>
            <w:r>
              <w:rPr>
                <w:rFonts w:hint="eastAsia" w:eastAsia="宋体" w:cs="Arial"/>
                <w:b/>
                <w:bCs/>
                <w:sz w:val="16"/>
                <w:szCs w:val="16"/>
              </w:rPr>
              <w:t>FeDC30</w:t>
            </w:r>
          </w:p>
        </w:tc>
        <w:tc>
          <w:tcPr>
            <w:tcW w:w="925" w:type="pct"/>
            <w:tcBorders>
              <w:bottom w:val="single" w:color="auto" w:sz="8" w:space="0"/>
              <w:tl2br w:val="nil"/>
              <w:tr2bl w:val="nil"/>
            </w:tcBorders>
            <w:vAlign w:val="center"/>
          </w:tcPr>
          <w:p w14:paraId="02CA5E11">
            <w:pPr>
              <w:jc w:val="center"/>
              <w:rPr>
                <w:rFonts w:ascii="Arial" w:hAnsi="Arial" w:eastAsia="宋体" w:cs="Arial"/>
                <w:sz w:val="16"/>
                <w:szCs w:val="16"/>
              </w:rPr>
            </w:pPr>
            <w:r>
              <w:rPr>
                <w:rFonts w:ascii="Arial" w:hAnsi="Arial" w:eastAsia="宋体" w:cs="Arial"/>
                <w:sz w:val="16"/>
                <w:szCs w:val="16"/>
              </w:rPr>
              <w:t>564.00</w:t>
            </w:r>
          </w:p>
        </w:tc>
        <w:tc>
          <w:tcPr>
            <w:tcW w:w="901" w:type="pct"/>
            <w:tcBorders>
              <w:bottom w:val="single" w:color="auto" w:sz="8" w:space="0"/>
              <w:tl2br w:val="nil"/>
              <w:tr2bl w:val="nil"/>
            </w:tcBorders>
            <w:vAlign w:val="center"/>
          </w:tcPr>
          <w:p w14:paraId="2887602F">
            <w:pPr>
              <w:jc w:val="center"/>
              <w:rPr>
                <w:rFonts w:ascii="Arial" w:hAnsi="Arial" w:eastAsia="宋体" w:cs="Arial"/>
                <w:sz w:val="16"/>
                <w:szCs w:val="16"/>
              </w:rPr>
            </w:pPr>
            <w:r>
              <w:rPr>
                <w:rFonts w:ascii="Arial" w:hAnsi="Arial" w:eastAsia="宋体" w:cs="Arial"/>
                <w:sz w:val="16"/>
                <w:szCs w:val="16"/>
              </w:rPr>
              <w:t>681.70</w:t>
            </w:r>
          </w:p>
        </w:tc>
        <w:tc>
          <w:tcPr>
            <w:tcW w:w="1349" w:type="pct"/>
            <w:tcBorders>
              <w:bottom w:val="single" w:color="auto" w:sz="8" w:space="0"/>
              <w:tl2br w:val="nil"/>
              <w:tr2bl w:val="nil"/>
            </w:tcBorders>
            <w:vAlign w:val="center"/>
          </w:tcPr>
          <w:p w14:paraId="6C81B2C8">
            <w:pPr>
              <w:jc w:val="center"/>
              <w:rPr>
                <w:rFonts w:ascii="Arial" w:hAnsi="Arial" w:eastAsia="宋体" w:cs="Arial"/>
                <w:sz w:val="16"/>
                <w:szCs w:val="16"/>
              </w:rPr>
            </w:pPr>
            <w:r>
              <w:rPr>
                <w:rFonts w:ascii="Arial" w:hAnsi="Arial" w:eastAsia="宋体" w:cs="Arial"/>
                <w:sz w:val="16"/>
                <w:szCs w:val="16"/>
              </w:rPr>
              <w:t>2.1530</w:t>
            </w:r>
          </w:p>
        </w:tc>
        <w:tc>
          <w:tcPr>
            <w:tcW w:w="877" w:type="pct"/>
            <w:tcBorders>
              <w:bottom w:val="single" w:color="auto" w:sz="8" w:space="0"/>
              <w:tl2br w:val="nil"/>
              <w:tr2bl w:val="nil"/>
            </w:tcBorders>
            <w:vAlign w:val="center"/>
          </w:tcPr>
          <w:p w14:paraId="46B48CFB">
            <w:pPr>
              <w:jc w:val="center"/>
              <w:rPr>
                <w:rFonts w:ascii="Arial" w:hAnsi="Arial" w:eastAsia="宋体" w:cs="Arial"/>
                <w:sz w:val="16"/>
                <w:szCs w:val="16"/>
              </w:rPr>
            </w:pPr>
            <w:r>
              <w:rPr>
                <w:rFonts w:ascii="Arial" w:hAnsi="Arial" w:eastAsia="宋体" w:cs="Arial"/>
                <w:sz w:val="16"/>
                <w:szCs w:val="16"/>
              </w:rPr>
              <w:t>12.63</w:t>
            </w:r>
          </w:p>
        </w:tc>
      </w:tr>
    </w:tbl>
    <w:p w14:paraId="3BBAEF68">
      <w:pPr>
        <w:spacing w:line="360" w:lineRule="auto"/>
        <w:ind w:firstLine="400" w:firstLineChars="200"/>
        <w:rPr>
          <w:rFonts w:ascii="Arial" w:hAnsi="Arial" w:eastAsia="宋体" w:cs="Arial"/>
          <w:kern w:val="0"/>
          <w:sz w:val="20"/>
          <w:szCs w:val="20"/>
        </w:rPr>
      </w:pPr>
      <w:r>
        <w:rPr>
          <w:rFonts w:ascii="Arial" w:hAnsi="Arial" w:eastAsia="黑体" w:cs="Arial"/>
          <w:sz w:val="20"/>
          <w:szCs w:val="20"/>
        </w:rPr>
        <w:t xml:space="preserve">Table </w:t>
      </w:r>
      <w:r>
        <w:rPr>
          <w:rFonts w:hint="eastAsia" w:ascii="Arial" w:hAnsi="Arial" w:eastAsia="黑体" w:cs="Arial"/>
          <w:sz w:val="20"/>
          <w:szCs w:val="20"/>
          <w:lang w:val="en-US" w:eastAsia="zh-CN"/>
        </w:rPr>
        <w:t>S</w:t>
      </w:r>
      <w:r>
        <w:rPr>
          <w:rFonts w:hint="eastAsia" w:ascii="Arial" w:hAnsi="Arial" w:eastAsia="黑体" w:cs="Arial"/>
          <w:sz w:val="20"/>
          <w:szCs w:val="20"/>
        </w:rPr>
        <w:t>2</w:t>
      </w:r>
      <w:r>
        <w:rPr>
          <w:rFonts w:ascii="Arial" w:hAnsi="Arial" w:eastAsia="黑体" w:cs="Arial"/>
          <w:sz w:val="20"/>
          <w:szCs w:val="20"/>
        </w:rPr>
        <w:t xml:space="preserve"> shows that the average pore size of HAP, Fe/HAP20, Fe/HAP30, Fe/HAP40, DC, FeDC30</w:t>
      </w:r>
      <w:r>
        <w:rPr>
          <w:rFonts w:hint="eastAsia" w:eastAsia="黑体" w:cs="Arial"/>
          <w:sz w:val="20"/>
          <w:szCs w:val="20"/>
        </w:rPr>
        <w:t xml:space="preserve"> </w:t>
      </w:r>
      <w:r>
        <w:rPr>
          <w:rFonts w:ascii="Arial" w:hAnsi="Arial" w:eastAsia="黑体" w:cs="Arial"/>
          <w:sz w:val="20"/>
          <w:szCs w:val="20"/>
        </w:rPr>
        <w:t>ranged from 7 to 13 nm, all within the 2–50 nm range, indicating mesopore formation. Compared with HAP and Fe</w:t>
      </w:r>
      <w:r>
        <w:rPr>
          <w:rFonts w:hint="eastAsia" w:eastAsia="黑体" w:cs="Arial"/>
          <w:sz w:val="20"/>
          <w:szCs w:val="20"/>
        </w:rPr>
        <w:t>/</w:t>
      </w:r>
      <w:r>
        <w:rPr>
          <w:rFonts w:ascii="Arial" w:hAnsi="Arial" w:eastAsia="黑体" w:cs="Arial"/>
          <w:sz w:val="20"/>
          <w:szCs w:val="20"/>
        </w:rPr>
        <w:t xml:space="preserve">HAP alone, the specific surface area and pore volume of </w:t>
      </w:r>
      <w:r>
        <w:rPr>
          <w:rFonts w:hint="eastAsia" w:eastAsia="黑体" w:cs="Arial"/>
          <w:sz w:val="20"/>
          <w:szCs w:val="20"/>
        </w:rPr>
        <w:t>DC</w:t>
      </w:r>
      <w:r>
        <w:rPr>
          <w:rFonts w:ascii="Arial" w:hAnsi="Arial" w:eastAsia="黑体" w:cs="Arial"/>
          <w:sz w:val="20"/>
          <w:szCs w:val="20"/>
        </w:rPr>
        <w:t xml:space="preserve"> and FeDC30, with an outer PSI coating, were significantly increased. This suggested enhanced adsorption capacity and indicated that the PSI coating disrupted the aggregation of HAP and Fe</w:t>
      </w:r>
      <w:r>
        <w:rPr>
          <w:rFonts w:hint="eastAsia" w:eastAsia="黑体" w:cs="Arial"/>
          <w:sz w:val="20"/>
          <w:szCs w:val="20"/>
        </w:rPr>
        <w:t>/</w:t>
      </w:r>
      <w:r>
        <w:rPr>
          <w:rFonts w:ascii="Arial" w:hAnsi="Arial" w:eastAsia="黑体" w:cs="Arial"/>
          <w:sz w:val="20"/>
          <w:szCs w:val="20"/>
        </w:rPr>
        <w:t>HAP, resulting in nanoparticles with smaller particle sizes. The increase in specific surface area was particularly notable for FeDC30.</w:t>
      </w:r>
      <w:r>
        <w:rPr>
          <w:rFonts w:hint="eastAsia" w:eastAsia="黑体" w:cs="Arial"/>
          <w:sz w:val="20"/>
          <w:szCs w:val="20"/>
        </w:rPr>
        <w:t xml:space="preserve"> </w:t>
      </w:r>
      <w:r>
        <w:rPr>
          <w:rFonts w:ascii="Arial" w:hAnsi="Arial" w:eastAsia="宋体" w:cs="Arial"/>
          <w:kern w:val="0"/>
          <w:sz w:val="20"/>
          <w:szCs w:val="20"/>
        </w:rPr>
        <w:t>The enhanced specific surface area and pore volume of DC and FeDC30 are particularly advantageous for applications requiring high adsorption capacity, such as drug delivery or catalytic processes. The PSI coating not only stabilizes the nanoparticles but also contributes to their dispersibility, which is critical for achieving uniform performance in practical applications. Furthermore, the mesoporous structure of these materials facilitates efficient mass transfer and accessibility of active sites, which is essential for optimizing their functional performance.</w:t>
      </w:r>
    </w:p>
    <w:p w14:paraId="0D7F3895">
      <w:pPr>
        <w:spacing w:line="360" w:lineRule="auto"/>
        <w:rPr>
          <w:rFonts w:ascii="Arial" w:hAnsi="Arial" w:eastAsia="宋体" w:cs="Arial"/>
          <w:kern w:val="0"/>
          <w:sz w:val="20"/>
          <w:szCs w:val="20"/>
        </w:rPr>
      </w:pPr>
    </w:p>
    <w:p w14:paraId="64AA70C3">
      <w:pPr>
        <w:spacing w:line="360" w:lineRule="auto"/>
        <w:rPr>
          <w:rFonts w:ascii="Times New Roman" w:hAnsi="Times New Roman" w:eastAsia="宋体" w:cs="Times New Roman"/>
          <w:b/>
          <w:bCs/>
          <w:kern w:val="0"/>
          <w:sz w:val="20"/>
          <w:szCs w:val="20"/>
        </w:rPr>
      </w:pPr>
    </w:p>
    <w:p w14:paraId="79B4D15D">
      <w:pPr>
        <w:spacing w:line="360" w:lineRule="auto"/>
        <w:ind w:firstLine="400" w:firstLineChars="200"/>
        <w:rPr>
          <w:rFonts w:ascii="Times New Roman" w:hAnsi="Times New Roman" w:eastAsia="宋体" w:cs="Times New Roman"/>
          <w:kern w:val="0"/>
          <w:sz w:val="20"/>
          <w:szCs w:val="20"/>
        </w:rPr>
      </w:pPr>
    </w:p>
    <w:sectPr>
      <w:footerReference r:id="rId5" w:type="first"/>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Rockwell">
    <w:panose1 w:val="02060603020205020403"/>
    <w:charset w:val="00"/>
    <w:family w:val="roman"/>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E8ED8">
    <w:pPr>
      <w:pStyle w:val="5"/>
    </w:pPr>
    <w: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bottom</wp:align>
              </wp:positionV>
              <wp:extent cx="2077085" cy="324485"/>
              <wp:effectExtent l="0" t="0" r="18415" b="0"/>
              <wp:wrapNone/>
              <wp:docPr id="1027573291" name="Text Box 3"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0EE0863">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3" o:spid="_x0000_s1026" o:spt="202" alt="Information Classification: General" type="#_x0000_t202" style="position:absolute;left:0pt;height:25.55pt;width:163.55pt;mso-position-horizontal:left;mso-position-horizontal-relative:page;mso-position-vertical:bottom;mso-position-vertical-relative:page;mso-wrap-style:none;z-index:251662336;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B2v0GxEAgAAiQQAAA4AAABkcnMvZTJvRG9jLnhtbK1UTW/bMAy9&#10;D9h/EHRf7TjJ0gZ1iixFigLFWiAddlZkOTagL0hK7OzX70lO2q7boYddFIpUHsn3SF/f9EqSg3C+&#10;Nbqko4ucEqG5qVq9K+mP5/WXS0p8YLpi0mhR0qPw9Gbx+dN1Z+eiMI2RlXAEINrPO1vSJgQ7zzLP&#10;G6GYvzBWaARr4xQLuLpdVjnWAV3JrMjzr1lnXGWd4cJ7eG+HID0huo8Amrpuubg1fK+EDgOqE5IF&#10;tOSb1nq6SNXWteDhsa69CESWFJ2GdCIJ7G08s8U1m+8cs03LTyWwj5TwrifFWo2kL1C3LDCyd+1f&#10;UKrlznhThwtuVDY0khhBF6P8HTebhlmRegHV3r6Q7v8fLP9+eHKkrTAJeTGbzsbF1YgSzRSUfxZ9&#10;IN9MT8aUVMJz0HavB2FBNFlJBgWhROJ9Tu6EFo7JSGln/RzIGwvs0AMC8Ge/hzMy1ddOxV9wQBCH&#10;IMcXQWJiDmeRz2b55ZQSjti4mExgAz57/bd1PtwJo0g0SuogeNKBHR58GJ6en8Rk2qxbKZPoUv/h&#10;AGb0ZLH0ocRohX7bn/rZmuqIdpwZZshbvm6R84H58MQchgYdYK3CI45amq6k5mRR0hj361/++B5a&#10;IkpJhyEsqcbOUSLvNTQuppM8j0ObbjDc2dgmY3SVT2Nc79XKYL4hHKpKZnwc5NmsnVE/sXXLmA0h&#10;pjlylnR7NldhWAmIy8VymR5hPi0LD3pjeYSOZHm73AcwmIiN9AycnFjDhCZpTtsUV+DtPb16/YI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dY4p0wAAAAQBAAAPAAAAAAAAAAEAIAAAACIAAABk&#10;cnMvZG93bnJldi54bWxQSwECFAAUAAAACACHTuJAHa/QbEQCAACJBAAADgAAAAAAAAABACAAAAAi&#10;AQAAZHJzL2Uyb0RvYy54bWxQSwUGAAAAAAYABgBZAQAA2AUAAAAA&#10;">
              <v:fill on="f" focussize="0,0"/>
              <v:stroke on="f"/>
              <v:imagedata o:title=""/>
              <o:lock v:ext="edit" aspectratio="f"/>
              <v:textbox inset="20pt,0mm,0mm,15pt" style="mso-fit-shape-to-text:t;">
                <w:txbxContent>
                  <w:p w14:paraId="40EE0863">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EC984">
                          <w:pPr>
                            <w:pStyle w:val="5"/>
                            <w:rPr>
                              <w:rFonts w:ascii="Times New Roman" w:hAnsi="Times New Roman" w:cs="Times New Roman"/>
                            </w:rPr>
                          </w:pPr>
                          <w:r>
                            <w:rPr>
                              <w:rFonts w:hint="eastAsia" w:ascii="Times New Roman" w:hAnsi="Times New Roman" w:cs="Times New Roman"/>
                            </w:rPr>
                            <w:t>S</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689EC984">
                    <w:pPr>
                      <w:pStyle w:val="5"/>
                      <w:rPr>
                        <w:rFonts w:ascii="Times New Roman" w:hAnsi="Times New Roman" w:cs="Times New Roman"/>
                      </w:rPr>
                    </w:pPr>
                    <w:r>
                      <w:rPr>
                        <w:rFonts w:hint="eastAsia" w:ascii="Times New Roman" w:hAnsi="Times New Roman" w:cs="Times New Roman"/>
                      </w:rPr>
                      <w:t>S</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1A019">
    <w:pPr>
      <w:pStyle w:val="5"/>
    </w:pPr>
    <w: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2077085" cy="324485"/>
              <wp:effectExtent l="0" t="0" r="18415" b="0"/>
              <wp:wrapNone/>
              <wp:docPr id="522258057" name="Text Box 2"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7AE99C7">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2" o:spid="_x0000_s1026" o:spt="202" alt="Information Classification: General" type="#_x0000_t202" style="position:absolute;left:0pt;height:25.55pt;width:163.55pt;mso-position-horizontal:left;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GkwJ8xEAgAAiAQAAA4AAABkcnMvZTJvRG9jLnhtbK1UTW/bMAy9&#10;D9h/EHRf7HjxmgV1iixBiwLFWiAddlZkuTagL0hK7e7X70l22q7boYddFIpkHsX3SJ9fDEqSR+F8&#10;Z3RF57OcEqG5qTv9UNEf95eflpT4wHTNpNGiok/C04v1xw/nvV2JwrRG1sIRgGi/6m1F2xDsKss8&#10;b4Vifmas0Ag2xikWcHUPWe1YD3QlsyLPv2S9cbV1hgvv4d2NQTohuvcAmqbpuNgZflRChxHVCckC&#10;WvJtZz1dp9c2jeDhtmm8CERWFJ2GdKII7EM8s/U5Wz04ZtuOT09g73nCm54U6zSKPkPtWGDk6Lq/&#10;oFTHnfGmCTNuVDY2khhBF/P8DTf7llmRegHV3j6T7v8fLP/+eOdIV1e0LIqiXOblGSWaKQh/L4ZA&#10;vpmBFJTUwnOwdq1HXcEz2UoGASFEon1FroQWjsnIaG/9CsB7C+gwAAJzdvJ7OCNRQ+NU/AUFBHHo&#10;8fSsRyzM4Szys7N8WVLCEftcLBawAZ+9/Ns6H66EUSQaFXXQO8nAHm98GFNPKbGYNpedlElzqf9w&#10;ADN6svj08YnRCsNhmPo5mPoJ7TgzjpC3/LJDzRvmwx1zmBl0gK0KtzgaafqKmsmipDXu17/8MR9S&#10;IkpJjxmsqMbKUSKvNSQuykWex5lNNxjuZBySMf+alzGuj2prMN5z7K3lyYzJQZ7Mxhn1E0u3idUQ&#10;YpqjZkUPJ3Mbxo2AuFxsNikJ42lZuNF7yyN0JMvbzTGAwURspGfkZGINA5qkmZYpbsDre8p6+YC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dY4p0wAAAAQBAAAPAAAAAAAAAAEAIAAAACIAAABk&#10;cnMvZG93bnJldi54bWxQSwECFAAUAAAACACHTuJAaTAnzEQCAACIBAAADgAAAAAAAAABACAAAAAi&#10;AQAAZHJzL2Uyb0RvYy54bWxQSwUGAAAAAAYABgBZAQAA2AUAAAAA&#10;">
              <v:fill on="f" focussize="0,0"/>
              <v:stroke on="f"/>
              <v:imagedata o:title=""/>
              <o:lock v:ext="edit" aspectratio="f"/>
              <v:textbox inset="20pt,0mm,0mm,15pt" style="mso-fit-shape-to-text:t;">
                <w:txbxContent>
                  <w:p w14:paraId="37AE99C7">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7BC85">
    <w:pPr>
      <w:pStyle w:val="5"/>
    </w:pPr>
    <w: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2077085" cy="324485"/>
              <wp:effectExtent l="0" t="0" r="18415" b="0"/>
              <wp:wrapNone/>
              <wp:docPr id="1112889045" name="Text Box 1"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4B007C2">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1" o:spid="_x0000_s1026" o:spt="202" alt="Information Classification: General" type="#_x0000_t202" style="position:absolute;left:0pt;height:25.55pt;width:163.55pt;mso-position-horizontal:left;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N27tmpCAgAAiQQAAA4AAABkcnMvZTJvRG9jLnhtbK1UTW8aMRC9&#10;V+p/sHwvu1BoCGKJKIgoUtREIlXPxutlV/KXbMMu/fV99gJp0x5y6MWMZ8ybmfdmdn7XKUmOwvnG&#10;6IIOBzklQnNTNnpf0O8vm09TSnxgumTSaFHQk/D0bvHxw7y1MzEytZGlcAQg2s9aW9A6BDvLMs9r&#10;oZgfGCs0gpVxigVc3T4rHWuBrmQ2yvMvWWtcaZ3hwnt4132QnhHdewBNVTVcrA0/KKFDj+qEZAEt&#10;+bqxni5StVUleHiqKi8CkQVFpyGdSAJ7F89sMWezvWO2bvi5BPaeEt70pFijkfQKtWaBkYNr/oJS&#10;DXfGmyoMuFFZ30hiBF0M8zfcbGtmReoFVHt7Jd3/P1j+7fjsSFNiEobD0XR6m48nlGimoPyL6AL5&#10;ajoypKQUnoO2B90LC6LJSjIoCCUS7zNyL7RwTEZKW+tnQN5aYIcOEIC/+D2ckamucir+ggOCOAQ5&#10;XQWJiTmco/zmJp+iII7Y59F4DBvw2eu/rfPhXhhFolFQB8GTDuz46EP/9PIkJtNm00iZRJf6Dwcw&#10;oyeLpfclRit0u+7cz86UJ7TjTD9D3vJNg5yPzIdn5jA06ABrFZ5wVNK0BTVni5LauJ//8sf30BJR&#10;SloMYUE1do4S+aCh8WgyzvM4tOkGw12MXTKGt/kkxvVBrQzmGzKhqmTGx0FezMoZ9QNbt4zZEGKa&#10;I2dBdxdzFfqVgLhcLJfpEebTsvCot5ZH6EiWt8tDAIOJ2EhPz8mZNUxokua8TXEFfr+nV69fk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3WOKdMAAAAEAQAADwAAAAAAAAABACAAAAAiAAAAZHJz&#10;L2Rvd25yZXYueG1sUEsBAhQAFAAAAAgAh07iQN27tmpCAgAAiQQAAA4AAAAAAAAAAQAgAAAAIgEA&#10;AGRycy9lMm9Eb2MueG1sUEsFBgAAAAAGAAYAWQEAANYFAAAAAA==&#10;">
              <v:fill on="f" focussize="0,0"/>
              <v:stroke on="f"/>
              <v:imagedata o:title=""/>
              <o:lock v:ext="edit" aspectratio="f"/>
              <v:textbox inset="20pt,0mm,0mm,15pt" style="mso-fit-shape-to-text:t;">
                <w:txbxContent>
                  <w:p w14:paraId="74B007C2">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FC8BCB"/>
    <w:multiLevelType w:val="singleLevel"/>
    <w:tmpl w:val="44FC8BCB"/>
    <w:lvl w:ilvl="0" w:tentative="0">
      <w:start w:val="1"/>
      <w:numFmt w:val="decimal"/>
      <w:suff w:val="space"/>
      <w:lvlText w:val="%1."/>
      <w:lvlJc w:val="left"/>
      <w:rPr>
        <w:rFonts w:hint="default"/>
        <w:strike w:val="0"/>
        <w:dstrike w:val="0"/>
        <w:color w:val="auto"/>
      </w:rPr>
    </w:lvl>
  </w:abstractNum>
  <w:abstractNum w:abstractNumId="1">
    <w:nsid w:val="70343191"/>
    <w:multiLevelType w:val="singleLevel"/>
    <w:tmpl w:val="70343191"/>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kNDY1MjRiMjljMTQ4NzY4MDE1OTVlMTU4ZGI1NDAifQ=="/>
  </w:docVars>
  <w:rsids>
    <w:rsidRoot w:val="00B059E8"/>
    <w:rsid w:val="0056215C"/>
    <w:rsid w:val="00662061"/>
    <w:rsid w:val="00A36C5B"/>
    <w:rsid w:val="00A5311F"/>
    <w:rsid w:val="00B059E8"/>
    <w:rsid w:val="00EB2952"/>
    <w:rsid w:val="014852B3"/>
    <w:rsid w:val="044C7A75"/>
    <w:rsid w:val="04EF362B"/>
    <w:rsid w:val="0AAE476A"/>
    <w:rsid w:val="187F1BBE"/>
    <w:rsid w:val="19EB7814"/>
    <w:rsid w:val="203F7F3F"/>
    <w:rsid w:val="28C7309D"/>
    <w:rsid w:val="2E381162"/>
    <w:rsid w:val="303E455E"/>
    <w:rsid w:val="31EC25E5"/>
    <w:rsid w:val="3579545F"/>
    <w:rsid w:val="35867234"/>
    <w:rsid w:val="35FD697E"/>
    <w:rsid w:val="38D6254B"/>
    <w:rsid w:val="393E09D5"/>
    <w:rsid w:val="3A351C46"/>
    <w:rsid w:val="3AB06F47"/>
    <w:rsid w:val="3E604681"/>
    <w:rsid w:val="3FA93075"/>
    <w:rsid w:val="427F5616"/>
    <w:rsid w:val="42FE0FF4"/>
    <w:rsid w:val="45886FF9"/>
    <w:rsid w:val="45AE6EEB"/>
    <w:rsid w:val="45CF3510"/>
    <w:rsid w:val="46056A19"/>
    <w:rsid w:val="480D7E07"/>
    <w:rsid w:val="49AC06A3"/>
    <w:rsid w:val="49DF1A1C"/>
    <w:rsid w:val="4F9826AC"/>
    <w:rsid w:val="515528C2"/>
    <w:rsid w:val="52D919A8"/>
    <w:rsid w:val="548D462B"/>
    <w:rsid w:val="552264B6"/>
    <w:rsid w:val="57043F83"/>
    <w:rsid w:val="575670D4"/>
    <w:rsid w:val="58A8340A"/>
    <w:rsid w:val="597345F9"/>
    <w:rsid w:val="59A148B0"/>
    <w:rsid w:val="5C65570B"/>
    <w:rsid w:val="5DD1706D"/>
    <w:rsid w:val="62711B28"/>
    <w:rsid w:val="642F125B"/>
    <w:rsid w:val="696D13CC"/>
    <w:rsid w:val="6B99331C"/>
    <w:rsid w:val="6C293D6B"/>
    <w:rsid w:val="6C7C2B64"/>
    <w:rsid w:val="71A95C96"/>
    <w:rsid w:val="721F14FF"/>
    <w:rsid w:val="7450001C"/>
    <w:rsid w:val="75E93898"/>
    <w:rsid w:val="76713BFB"/>
    <w:rsid w:val="770A76EC"/>
    <w:rsid w:val="7AE4513D"/>
    <w:rsid w:val="7FB71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7"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spacing w:before="240" w:after="60"/>
      <w:outlineLvl w:val="1"/>
    </w:pPr>
    <w:rPr>
      <w:rFonts w:cs="Arial"/>
      <w:b/>
      <w:bCs/>
      <w:i/>
      <w:iCs/>
      <w:sz w:val="28"/>
      <w:szCs w:val="28"/>
    </w:rPr>
  </w:style>
  <w:style w:type="paragraph" w:styleId="3">
    <w:name w:val="heading 3"/>
    <w:basedOn w:val="1"/>
    <w:next w:val="1"/>
    <w:qFormat/>
    <w:uiPriority w:val="0"/>
    <w:pPr>
      <w:keepNext/>
      <w:spacing w:before="240" w:after="60"/>
      <w:outlineLvl w:val="2"/>
    </w:pPr>
    <w:rPr>
      <w:rFonts w:cs="Arial"/>
      <w:b/>
      <w:bCs/>
      <w:sz w:val="26"/>
      <w:szCs w:val="26"/>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7"/>
    <w:qFormat/>
    <w:uiPriority w:val="0"/>
    <w:rPr>
      <w:sz w:val="20"/>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paragraph" w:styleId="8">
    <w:name w:val="annotation subject"/>
    <w:basedOn w:val="4"/>
    <w:next w:val="4"/>
    <w:link w:val="18"/>
    <w:qFormat/>
    <w:uiPriority w:val="0"/>
    <w:rPr>
      <w:b/>
      <w:bCs/>
    </w:rPr>
  </w:style>
  <w:style w:type="table" w:styleId="10">
    <w:name w:val="Table Grid"/>
    <w:qFormat/>
    <w:uiPriority w:val="37"/>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basedOn w:val="11"/>
    <w:qFormat/>
    <w:uiPriority w:val="0"/>
    <w:rPr>
      <w:sz w:val="16"/>
      <w:szCs w:val="16"/>
    </w:rPr>
  </w:style>
  <w:style w:type="table" w:customStyle="1" w:styleId="13">
    <w:name w:val="Table Normal1"/>
    <w:basedOn w:val="9"/>
    <w:qFormat/>
    <w:uiPriority w:val="0"/>
    <w:tblPr>
      <w:tblCellMar>
        <w:left w:w="0" w:type="dxa"/>
        <w:right w:w="0" w:type="dxa"/>
      </w:tblCellMar>
    </w:tblPr>
  </w:style>
  <w:style w:type="character" w:customStyle="1" w:styleId="14">
    <w:name w:val="font31"/>
    <w:basedOn w:val="11"/>
    <w:qFormat/>
    <w:uiPriority w:val="0"/>
    <w:rPr>
      <w:rFonts w:hint="default" w:ascii="Times New Roman" w:hAnsi="Times New Roman" w:cs="Times New Roman"/>
      <w:color w:val="000000"/>
      <w:sz w:val="21"/>
      <w:szCs w:val="21"/>
      <w:u w:val="none"/>
      <w:vertAlign w:val="subscript"/>
    </w:rPr>
  </w:style>
  <w:style w:type="character" w:customStyle="1" w:styleId="15">
    <w:name w:val="font21"/>
    <w:basedOn w:val="11"/>
    <w:qFormat/>
    <w:uiPriority w:val="0"/>
    <w:rPr>
      <w:rFonts w:hint="default" w:ascii="Times New Roman" w:hAnsi="Times New Roman" w:cs="Times New Roman"/>
      <w:color w:val="000000"/>
      <w:sz w:val="18"/>
      <w:szCs w:val="18"/>
      <w:u w:val="none"/>
      <w:vertAlign w:val="superscript"/>
    </w:rPr>
  </w:style>
  <w:style w:type="paragraph" w:customStyle="1" w:styleId="16">
    <w:name w:val="WPSOffice手动目录 1"/>
    <w:qFormat/>
    <w:uiPriority w:val="0"/>
    <w:rPr>
      <w:rFonts w:ascii="Times New Roman" w:hAnsi="Times New Roman" w:eastAsia="宋体" w:cs="Times New Roman"/>
      <w:lang w:val="en-NZ" w:eastAsia="en-NZ" w:bidi="ar-SA"/>
    </w:rPr>
  </w:style>
  <w:style w:type="character" w:customStyle="1" w:styleId="17">
    <w:name w:val="Comment Text Char"/>
    <w:basedOn w:val="11"/>
    <w:link w:val="4"/>
    <w:qFormat/>
    <w:uiPriority w:val="0"/>
    <w:rPr>
      <w:rFonts w:asciiTheme="minorHAnsi" w:hAnsiTheme="minorHAnsi" w:eastAsiaTheme="minorEastAsia" w:cstheme="minorBidi"/>
      <w:kern w:val="2"/>
      <w:lang w:val="en-US" w:eastAsia="zh-CN"/>
    </w:rPr>
  </w:style>
  <w:style w:type="character" w:customStyle="1" w:styleId="18">
    <w:name w:val="Comment Subject Char"/>
    <w:basedOn w:val="17"/>
    <w:link w:val="8"/>
    <w:qFormat/>
    <w:uiPriority w:val="0"/>
    <w:rPr>
      <w:rFonts w:asciiTheme="minorHAnsi" w:hAnsiTheme="minorHAnsi" w:eastAsiaTheme="minorEastAsia" w:cstheme="minorBidi"/>
      <w:b/>
      <w:bCs/>
      <w:kern w:val="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NUL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1156</Words>
  <Characters>6793</Characters>
  <Lines>56</Lines>
  <Paragraphs>16</Paragraphs>
  <TotalTime>14</TotalTime>
  <ScaleCrop>false</ScaleCrop>
  <LinksUpToDate>false</LinksUpToDate>
  <CharactersWithSpaces>7817</CharactersWithSpaces>
  <Application>WPS Office_12.1.0.19768_F1E327BC-269C-435d-A152-05C5408002CA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2023-05-30T09:20:00Z</dcterms:created>
  <dc:creator>yfb52</dc:creator>
  <cp:lastModifiedBy>乜</cp:lastModifiedBy>
  <dcterms:modified xsi:type="dcterms:W3CDTF">2025-02-19T06:46:33Z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2052-12.1.0.19768</vt:lpwstr>
  </property>
  <property fmtid="{D5CDD505-2E9C-101B-9397-08002B2CF9AE}" pid="3" name="ICV">
    <vt:lpwstr>05C60977FB6242759995B2F16C9D48FD_13</vt:lpwstr>
  </property>
  <property fmtid="{D5CDD505-2E9C-101B-9397-08002B2CF9AE}" pid="4" name="KSOTemplateDocerSaveRecord">
    <vt:lpwstr>eyJoZGlkIjoiNWVkNDY1MjRiMjljMTQ4NzY4MDE1OTVlMTU4ZGI1NDAiLCJ1c2VySWQiOiIzMTkzMjg5NjQifQ==</vt:lpwstr>
  </property>
  <property fmtid="{D5CDD505-2E9C-101B-9397-08002B2CF9AE}" pid="5" name="ClassificationContentMarkingFooterShapeIds">
    <vt:lpwstr>425556d5,1f210689,3d3f862b</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2025-02-17T21:03:07Z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977d011d-9002-4c60-a450-033dc92eb3ea</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