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AFF152" w14:textId="2C686D5C" w:rsidR="00F20708" w:rsidRPr="00314BEB" w:rsidRDefault="00F20708" w:rsidP="00F20708">
      <w:pPr>
        <w:pStyle w:val="Title2"/>
        <w:spacing w:line="360" w:lineRule="auto"/>
        <w:rPr>
          <w:b w:val="0"/>
          <w:color w:val="000000"/>
          <w:sz w:val="32"/>
          <w:szCs w:val="32"/>
        </w:rPr>
      </w:pPr>
      <w:r w:rsidRPr="00314BEB">
        <w:rPr>
          <w:b w:val="0"/>
          <w:color w:val="000000"/>
          <w:sz w:val="32"/>
          <w:szCs w:val="32"/>
        </w:rPr>
        <w:t>Su</w:t>
      </w:r>
      <w:r w:rsidR="007075C8" w:rsidRPr="00314BEB">
        <w:rPr>
          <w:rFonts w:hint="eastAsia"/>
          <w:b w:val="0"/>
          <w:color w:val="000000"/>
          <w:sz w:val="32"/>
          <w:szCs w:val="32"/>
          <w:lang w:eastAsia="zh-CN"/>
        </w:rPr>
        <w:t>pplementary</w:t>
      </w:r>
    </w:p>
    <w:p w14:paraId="1AC99CB3" w14:textId="77777777" w:rsidR="00F20708" w:rsidRPr="00314BEB" w:rsidRDefault="00F20708" w:rsidP="007075C8">
      <w:pPr>
        <w:pStyle w:val="Tableofcontents"/>
        <w:rPr>
          <w:color w:val="000000"/>
        </w:rPr>
      </w:pPr>
    </w:p>
    <w:p w14:paraId="27D01149" w14:textId="7433EEAA" w:rsidR="00EF7068" w:rsidRPr="00314BEB" w:rsidRDefault="00EF7068">
      <w:pPr>
        <w:rPr>
          <w:color w:val="000000"/>
        </w:rPr>
      </w:pPr>
    </w:p>
    <w:p w14:paraId="0757E519" w14:textId="53B25653" w:rsidR="00EF7068" w:rsidRPr="00314BEB" w:rsidRDefault="00EF7068">
      <w:pPr>
        <w:rPr>
          <w:color w:val="000000"/>
        </w:rPr>
      </w:pPr>
    </w:p>
    <w:p w14:paraId="43E0EC76" w14:textId="6753BB04" w:rsidR="00B74015" w:rsidRPr="00314BEB" w:rsidRDefault="003811AA" w:rsidP="00B74015">
      <w:pPr>
        <w:rPr>
          <w:color w:val="000000"/>
        </w:rPr>
      </w:pPr>
      <w:r w:rsidRPr="00314BEB">
        <w:rPr>
          <w:color w:val="000000"/>
        </w:rPr>
        <w:drawing>
          <wp:inline distT="0" distB="0" distL="0" distR="0" wp14:anchorId="123A6BE3" wp14:editId="2AB37C8A">
            <wp:extent cx="5274310" cy="1553845"/>
            <wp:effectExtent l="0" t="0" r="0" b="0"/>
            <wp:docPr id="4" name="图片 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示&#10;&#10;描述已自动生成"/>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1553845"/>
                    </a:xfrm>
                    <a:prstGeom prst="rect">
                      <a:avLst/>
                    </a:prstGeom>
                  </pic:spPr>
                </pic:pic>
              </a:graphicData>
            </a:graphic>
          </wp:inline>
        </w:drawing>
      </w:r>
    </w:p>
    <w:p w14:paraId="26DC4622" w14:textId="31607990" w:rsidR="00B74015" w:rsidRPr="00314BEB" w:rsidRDefault="00B74015" w:rsidP="00B74015">
      <w:pPr>
        <w:rPr>
          <w:color w:val="000000"/>
        </w:rPr>
      </w:pPr>
      <w:r w:rsidRPr="00314BEB">
        <w:rPr>
          <w:rFonts w:hint="eastAsia"/>
          <w:b/>
          <w:bCs/>
          <w:color w:val="000000"/>
        </w:rPr>
        <w:t>Figure</w:t>
      </w:r>
      <w:r w:rsidRPr="00314BEB">
        <w:rPr>
          <w:b/>
          <w:bCs/>
          <w:color w:val="000000"/>
        </w:rPr>
        <w:t xml:space="preserve"> </w:t>
      </w:r>
      <w:r w:rsidRPr="00314BEB">
        <w:rPr>
          <w:rFonts w:hint="eastAsia"/>
          <w:b/>
          <w:bCs/>
          <w:color w:val="000000"/>
        </w:rPr>
        <w:t>S</w:t>
      </w:r>
      <w:r w:rsidRPr="00314BEB">
        <w:rPr>
          <w:b/>
          <w:bCs/>
          <w:color w:val="000000"/>
        </w:rPr>
        <w:t>1.</w:t>
      </w:r>
      <w:r w:rsidRPr="00314BEB">
        <w:rPr>
          <w:rFonts w:hint="eastAsia"/>
          <w:color w:val="000000"/>
        </w:rPr>
        <w:t xml:space="preserve"> a</w:t>
      </w:r>
      <w:r w:rsidRPr="00314BEB">
        <w:rPr>
          <w:color w:val="000000"/>
        </w:rPr>
        <w:t xml:space="preserve">. Electrospinning machine: 1-pump, 2-tube, 3-needle as positive electrode, 4-drum as negative electrode, 5-voltage knob; </w:t>
      </w:r>
      <w:r w:rsidRPr="00314BEB">
        <w:rPr>
          <w:rFonts w:hint="eastAsia"/>
          <w:color w:val="000000"/>
        </w:rPr>
        <w:t>b</w:t>
      </w:r>
      <w:r w:rsidRPr="00314BEB">
        <w:rPr>
          <w:color w:val="000000"/>
        </w:rPr>
        <w:t xml:space="preserve">. Schematic of polarization direction during the electrospinning process; </w:t>
      </w:r>
      <w:r w:rsidRPr="00314BEB">
        <w:rPr>
          <w:rFonts w:hint="eastAsia"/>
          <w:color w:val="000000"/>
        </w:rPr>
        <w:t>c</w:t>
      </w:r>
      <w:r w:rsidRPr="00314BEB">
        <w:rPr>
          <w:color w:val="000000"/>
        </w:rPr>
        <w:t>. Path of the electrospinning jet.</w:t>
      </w:r>
    </w:p>
    <w:p w14:paraId="24825C24" w14:textId="3815A4C6" w:rsidR="00B74015" w:rsidRPr="00314BEB" w:rsidRDefault="00B74015" w:rsidP="00B74015">
      <w:pPr>
        <w:rPr>
          <w:color w:val="000000"/>
        </w:rPr>
      </w:pPr>
    </w:p>
    <w:p w14:paraId="315F15A6" w14:textId="77777777" w:rsidR="00B74015" w:rsidRPr="00314BEB" w:rsidRDefault="00B74015" w:rsidP="00B74015">
      <w:pPr>
        <w:rPr>
          <w:color w:val="000000"/>
        </w:rPr>
      </w:pPr>
    </w:p>
    <w:p w14:paraId="66B6589E" w14:textId="1A8413EB" w:rsidR="00EF7068" w:rsidRPr="00314BEB" w:rsidRDefault="003811AA">
      <w:pPr>
        <w:rPr>
          <w:color w:val="000000"/>
        </w:rPr>
      </w:pPr>
      <w:r w:rsidRPr="00314BEB">
        <w:rPr>
          <w:color w:val="000000"/>
        </w:rPr>
        <w:drawing>
          <wp:inline distT="0" distB="0" distL="0" distR="0" wp14:anchorId="57FCEF84" wp14:editId="4DF5ED22">
            <wp:extent cx="5274310" cy="28854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2885440"/>
                    </a:xfrm>
                    <a:prstGeom prst="rect">
                      <a:avLst/>
                    </a:prstGeom>
                  </pic:spPr>
                </pic:pic>
              </a:graphicData>
            </a:graphic>
          </wp:inline>
        </w:drawing>
      </w:r>
    </w:p>
    <w:p w14:paraId="2DAFF1F9" w14:textId="58E8563C" w:rsidR="006C7AC1" w:rsidRPr="00314BEB" w:rsidRDefault="00EF7068" w:rsidP="006C7AC1">
      <w:pPr>
        <w:rPr>
          <w:color w:val="000000"/>
        </w:rPr>
      </w:pPr>
      <w:r w:rsidRPr="00314BEB">
        <w:rPr>
          <w:rFonts w:hint="eastAsia"/>
          <w:b/>
          <w:bCs/>
          <w:color w:val="000000"/>
        </w:rPr>
        <w:t>F</w:t>
      </w:r>
      <w:r w:rsidRPr="00314BEB">
        <w:rPr>
          <w:b/>
          <w:bCs/>
          <w:color w:val="000000"/>
        </w:rPr>
        <w:t>ig</w:t>
      </w:r>
      <w:r w:rsidR="00A40972" w:rsidRPr="00314BEB">
        <w:rPr>
          <w:rFonts w:hint="eastAsia"/>
          <w:b/>
          <w:bCs/>
          <w:color w:val="000000"/>
        </w:rPr>
        <w:t>ure</w:t>
      </w:r>
      <w:r w:rsidRPr="00314BEB">
        <w:rPr>
          <w:b/>
          <w:bCs/>
          <w:color w:val="000000"/>
        </w:rPr>
        <w:t xml:space="preserve"> S</w:t>
      </w:r>
      <w:r w:rsidR="00B74015" w:rsidRPr="00314BEB">
        <w:rPr>
          <w:b/>
          <w:bCs/>
          <w:color w:val="000000"/>
        </w:rPr>
        <w:t>2</w:t>
      </w:r>
      <w:r w:rsidRPr="00314BEB">
        <w:rPr>
          <w:b/>
          <w:bCs/>
          <w:color w:val="000000"/>
        </w:rPr>
        <w:t>.</w:t>
      </w:r>
      <w:r w:rsidR="007C0F60" w:rsidRPr="00314BEB">
        <w:rPr>
          <w:rFonts w:hint="eastAsia"/>
          <w:b/>
          <w:bCs/>
          <w:color w:val="000000"/>
        </w:rPr>
        <w:t xml:space="preserve"> </w:t>
      </w:r>
      <w:r w:rsidR="006C7AC1" w:rsidRPr="00314BEB">
        <w:rPr>
          <w:color w:val="000000"/>
        </w:rPr>
        <w:t>Scanning electron microscopy (SEM) performance and analysis of silver nanoparticle (AgNP) size distribution for pure PVDF membranes and fibrous dressings at different AgNPs/PVDF ratios.</w:t>
      </w:r>
    </w:p>
    <w:p w14:paraId="51E2ACA8" w14:textId="1E019B09" w:rsidR="006C7AC1" w:rsidRPr="00314BEB" w:rsidRDefault="006C7AC1" w:rsidP="006C7AC1">
      <w:pPr>
        <w:rPr>
          <w:color w:val="000000"/>
        </w:rPr>
      </w:pPr>
      <w:r w:rsidRPr="00314BEB">
        <w:rPr>
          <w:color w:val="000000"/>
        </w:rPr>
        <w:t>(</w:t>
      </w:r>
      <w:r w:rsidR="00C0301C" w:rsidRPr="00314BEB">
        <w:rPr>
          <w:color w:val="000000"/>
        </w:rPr>
        <w:t>Fig</w:t>
      </w:r>
      <w:r w:rsidR="00C0301C" w:rsidRPr="00314BEB">
        <w:rPr>
          <w:rFonts w:hint="eastAsia"/>
          <w:color w:val="000000"/>
        </w:rPr>
        <w:t xml:space="preserve"> </w:t>
      </w:r>
      <w:r w:rsidR="00C0301C" w:rsidRPr="00314BEB">
        <w:rPr>
          <w:color w:val="000000"/>
        </w:rPr>
        <w:t>S</w:t>
      </w:r>
      <w:r w:rsidR="00B74015" w:rsidRPr="00314BEB">
        <w:rPr>
          <w:color w:val="000000"/>
        </w:rPr>
        <w:t>2</w:t>
      </w:r>
      <w:r w:rsidRPr="00314BEB">
        <w:rPr>
          <w:color w:val="000000"/>
        </w:rPr>
        <w:t>a) SEM images of each material group are shown in Fig</w:t>
      </w:r>
      <w:r w:rsidR="00B630D3" w:rsidRPr="00314BEB">
        <w:rPr>
          <w:color w:val="000000"/>
        </w:rPr>
        <w:t xml:space="preserve"> </w:t>
      </w:r>
      <w:r w:rsidRPr="00314BEB">
        <w:rPr>
          <w:color w:val="000000"/>
        </w:rPr>
        <w:t>S</w:t>
      </w:r>
      <w:r w:rsidR="00B74015" w:rsidRPr="00314BEB">
        <w:rPr>
          <w:color w:val="000000"/>
        </w:rPr>
        <w:t>2</w:t>
      </w:r>
      <w:r w:rsidRPr="00314BEB">
        <w:rPr>
          <w:color w:val="000000"/>
        </w:rPr>
        <w:t>a. For the pure PVDF membrane and the 0.05/6, 0.1/6, 0.4/6, and 0.8/6 groups, bead formation and uneven fiber spacing, caused by jet instability, as well as fiber bending were observed. In contrast, the 0.2/6 group displayed a more uniform fiber network with no significant bead formation. The scale bar is 10 μm.</w:t>
      </w:r>
    </w:p>
    <w:p w14:paraId="46524D39" w14:textId="1CFD2902" w:rsidR="0089579E" w:rsidRPr="00314BEB" w:rsidRDefault="006C7AC1" w:rsidP="006C7AC1">
      <w:pPr>
        <w:rPr>
          <w:color w:val="000000"/>
        </w:rPr>
      </w:pPr>
      <w:r w:rsidRPr="00314BEB">
        <w:rPr>
          <w:color w:val="000000"/>
        </w:rPr>
        <w:t>(</w:t>
      </w:r>
      <w:r w:rsidR="00C0301C" w:rsidRPr="00314BEB">
        <w:rPr>
          <w:color w:val="000000"/>
        </w:rPr>
        <w:t>Fig S</w:t>
      </w:r>
      <w:r w:rsidR="00B74015" w:rsidRPr="00314BEB">
        <w:rPr>
          <w:color w:val="000000"/>
        </w:rPr>
        <w:t>2</w:t>
      </w:r>
      <w:r w:rsidRPr="00314BEB">
        <w:rPr>
          <w:color w:val="000000"/>
        </w:rPr>
        <w:t>b) The size of the silver nanoparticles (AgNPs) released from the materials ranged between 9-24 nm, with minor aggregation observed (i, ii). Except for the 0.4/6 and 0.8/6 groups, the amount of AgNPs released from the materials was relatively low, which provides a clearer direction for selecting the optimal AgNPs/PVDF mass ratio in subsequent studies.</w:t>
      </w:r>
    </w:p>
    <w:p w14:paraId="06FCDBDC" w14:textId="2D8B2B1D" w:rsidR="00416AC9" w:rsidRPr="00314BEB" w:rsidRDefault="00416AC9" w:rsidP="007C0F60">
      <w:pPr>
        <w:rPr>
          <w:color w:val="000000"/>
        </w:rPr>
      </w:pPr>
    </w:p>
    <w:p w14:paraId="5E822214" w14:textId="03DA13C1" w:rsidR="00151527" w:rsidRPr="00314BEB" w:rsidRDefault="003811AA" w:rsidP="007C0F60">
      <w:pPr>
        <w:rPr>
          <w:color w:val="000000"/>
        </w:rPr>
      </w:pPr>
      <w:r w:rsidRPr="00314BEB">
        <w:rPr>
          <w:color w:val="000000"/>
        </w:rPr>
        <w:drawing>
          <wp:inline distT="0" distB="0" distL="0" distR="0" wp14:anchorId="6034987F" wp14:editId="570DB502">
            <wp:extent cx="5274310" cy="1727835"/>
            <wp:effectExtent l="0" t="0" r="0" b="0"/>
            <wp:docPr id="6" name="图片 6"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表, 直方图&#10;&#10;描述已自动生成"/>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1727835"/>
                    </a:xfrm>
                    <a:prstGeom prst="rect">
                      <a:avLst/>
                    </a:prstGeom>
                  </pic:spPr>
                </pic:pic>
              </a:graphicData>
            </a:graphic>
          </wp:inline>
        </w:drawing>
      </w:r>
    </w:p>
    <w:p w14:paraId="59B9EE33" w14:textId="30F053FD" w:rsidR="00C0301C" w:rsidRPr="00314BEB" w:rsidRDefault="00416AC9" w:rsidP="00C0301C">
      <w:pPr>
        <w:rPr>
          <w:color w:val="000000"/>
        </w:rPr>
      </w:pPr>
      <w:r w:rsidRPr="00314BEB">
        <w:rPr>
          <w:rFonts w:hint="eastAsia"/>
          <w:b/>
          <w:bCs/>
          <w:color w:val="000000"/>
        </w:rPr>
        <w:t>F</w:t>
      </w:r>
      <w:r w:rsidRPr="00314BEB">
        <w:rPr>
          <w:b/>
          <w:bCs/>
          <w:color w:val="000000"/>
        </w:rPr>
        <w:t>ig</w:t>
      </w:r>
      <w:r w:rsidR="00A40972" w:rsidRPr="00314BEB">
        <w:rPr>
          <w:rFonts w:hint="eastAsia"/>
          <w:b/>
          <w:bCs/>
          <w:color w:val="000000"/>
        </w:rPr>
        <w:t>ure</w:t>
      </w:r>
      <w:r w:rsidRPr="00314BEB">
        <w:rPr>
          <w:b/>
          <w:bCs/>
          <w:color w:val="000000"/>
        </w:rPr>
        <w:t xml:space="preserve"> S</w:t>
      </w:r>
      <w:r w:rsidR="00B74015" w:rsidRPr="00314BEB">
        <w:rPr>
          <w:b/>
          <w:bCs/>
          <w:color w:val="000000"/>
        </w:rPr>
        <w:t>3</w:t>
      </w:r>
      <w:r w:rsidRPr="00314BEB">
        <w:rPr>
          <w:b/>
          <w:bCs/>
          <w:color w:val="000000"/>
        </w:rPr>
        <w:t>.</w:t>
      </w:r>
      <w:r w:rsidRPr="00314BEB">
        <w:rPr>
          <w:rFonts w:hint="eastAsia"/>
          <w:color w:val="000000"/>
        </w:rPr>
        <w:t xml:space="preserve"> </w:t>
      </w:r>
      <w:bookmarkStart w:id="0" w:name="OLE_LINK11"/>
      <w:bookmarkStart w:id="1" w:name="OLE_LINK12"/>
      <w:r w:rsidRPr="00314BEB">
        <w:rPr>
          <w:color w:val="000000"/>
        </w:rPr>
        <w:t xml:space="preserve"> </w:t>
      </w:r>
      <w:bookmarkEnd w:id="0"/>
      <w:bookmarkEnd w:id="1"/>
      <w:r w:rsidR="00C0301C" w:rsidRPr="00314BEB">
        <w:rPr>
          <w:color w:val="000000"/>
        </w:rPr>
        <w:t>Refinement characterization of the phase structure in the AgNPs/PVDF 0.2/6 group.</w:t>
      </w:r>
    </w:p>
    <w:p w14:paraId="70FE7663" w14:textId="09157CA4" w:rsidR="00182F25" w:rsidRPr="00314BEB" w:rsidRDefault="00C0301C" w:rsidP="007C0F60">
      <w:pPr>
        <w:rPr>
          <w:color w:val="000000"/>
        </w:rPr>
      </w:pPr>
      <w:r w:rsidRPr="00314BEB">
        <w:rPr>
          <w:color w:val="000000"/>
        </w:rPr>
        <w:t>FTIR characterization results indicate that the relative intensities of the peaks corresponding to the α-phase and γ-phase decrease after the addition of AgNPs, while the proportion of the β-phase increases with the AgNPs content. This suggests that the surface charges of the silver nanoparticles can promote the rotation of nearby PVDF molecular chains, leading to the formation of the β-phase (Fig S</w:t>
      </w:r>
      <w:r w:rsidR="00B74015" w:rsidRPr="00314BEB">
        <w:rPr>
          <w:color w:val="000000"/>
        </w:rPr>
        <w:t>3</w:t>
      </w:r>
      <w:r w:rsidRPr="00314BEB">
        <w:rPr>
          <w:color w:val="000000"/>
        </w:rPr>
        <w:t>a). XRD analysis shows that the characteristic peaks of the α-phase remain in the pure PVDF membrane after electrospinning, whereas in the 0.2/6 group, the γ-phase peaks are absent, and the β-phase becomes the dominant structure in the electrospun membrane, which is beneficial for enhancing the piezoelectric effect (Fig S</w:t>
      </w:r>
      <w:r w:rsidR="00B74015" w:rsidRPr="00314BEB">
        <w:rPr>
          <w:color w:val="000000"/>
        </w:rPr>
        <w:t>3</w:t>
      </w:r>
      <w:r w:rsidRPr="00314BEB">
        <w:rPr>
          <w:color w:val="000000"/>
        </w:rPr>
        <w:t>b). According to the DSC analysis, the shape of the peaks is essentially unaffected by the AgNPs concentration, indicating that the addition of silver has minimal influence on the melting behavior of PVDF. However, the crystallinity decreases and the melting point lowers as the AgNPs content increases</w:t>
      </w:r>
    </w:p>
    <w:p w14:paraId="30283D7B" w14:textId="12CB7187" w:rsidR="00182F25" w:rsidRPr="00314BEB" w:rsidRDefault="00182F25" w:rsidP="007C0F60">
      <w:pPr>
        <w:rPr>
          <w:color w:val="000000"/>
        </w:rPr>
      </w:pPr>
    </w:p>
    <w:p w14:paraId="227CADF9" w14:textId="77777777" w:rsidR="005C47B0" w:rsidRPr="00314BEB" w:rsidRDefault="005C47B0" w:rsidP="007C0F60">
      <w:pPr>
        <w:rPr>
          <w:color w:val="000000"/>
        </w:rPr>
      </w:pPr>
    </w:p>
    <w:p w14:paraId="7DF39415" w14:textId="5567ABCC" w:rsidR="00313B59" w:rsidRPr="00314BEB" w:rsidRDefault="003811AA" w:rsidP="007C0F60">
      <w:pPr>
        <w:rPr>
          <w:color w:val="000000"/>
        </w:rPr>
      </w:pPr>
      <w:r w:rsidRPr="00314BEB">
        <w:rPr>
          <w:color w:val="000000"/>
        </w:rPr>
        <w:drawing>
          <wp:inline distT="0" distB="0" distL="0" distR="0" wp14:anchorId="0536919F" wp14:editId="418E6400">
            <wp:extent cx="5274310" cy="2943225"/>
            <wp:effectExtent l="0" t="0" r="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2943225"/>
                    </a:xfrm>
                    <a:prstGeom prst="rect">
                      <a:avLst/>
                    </a:prstGeom>
                  </pic:spPr>
                </pic:pic>
              </a:graphicData>
            </a:graphic>
          </wp:inline>
        </w:drawing>
      </w:r>
    </w:p>
    <w:p w14:paraId="35532431" w14:textId="672DB8F3" w:rsidR="00DC1E19" w:rsidRPr="00314BEB" w:rsidRDefault="00182F25" w:rsidP="00DC1E19">
      <w:pPr>
        <w:rPr>
          <w:color w:val="000000"/>
        </w:rPr>
      </w:pPr>
      <w:r w:rsidRPr="00314BEB">
        <w:rPr>
          <w:rFonts w:hint="eastAsia"/>
          <w:b/>
          <w:bCs/>
          <w:color w:val="000000"/>
        </w:rPr>
        <w:t>Fig</w:t>
      </w:r>
      <w:r w:rsidR="00A40972" w:rsidRPr="00314BEB">
        <w:rPr>
          <w:rFonts w:hint="eastAsia"/>
          <w:b/>
          <w:bCs/>
          <w:color w:val="000000"/>
        </w:rPr>
        <w:t>ure</w:t>
      </w:r>
      <w:r w:rsidR="00C0301C" w:rsidRPr="00314BEB">
        <w:rPr>
          <w:b/>
          <w:bCs/>
          <w:color w:val="000000"/>
        </w:rPr>
        <w:t xml:space="preserve"> </w:t>
      </w:r>
      <w:r w:rsidRPr="00314BEB">
        <w:rPr>
          <w:rFonts w:hint="eastAsia"/>
          <w:b/>
          <w:bCs/>
          <w:color w:val="000000"/>
        </w:rPr>
        <w:t>S</w:t>
      </w:r>
      <w:r w:rsidR="00B74015" w:rsidRPr="00314BEB">
        <w:rPr>
          <w:b/>
          <w:bCs/>
          <w:color w:val="000000"/>
        </w:rPr>
        <w:t>4</w:t>
      </w:r>
      <w:r w:rsidR="00C0301C" w:rsidRPr="00314BEB">
        <w:rPr>
          <w:b/>
          <w:bCs/>
          <w:color w:val="000000"/>
        </w:rPr>
        <w:t>.</w:t>
      </w:r>
      <w:r w:rsidR="00461408" w:rsidRPr="00314BEB">
        <w:rPr>
          <w:rFonts w:hint="eastAsia"/>
          <w:color w:val="000000"/>
        </w:rPr>
        <w:t xml:space="preserve"> </w:t>
      </w:r>
      <w:r w:rsidR="00DC1E19" w:rsidRPr="00314BEB">
        <w:rPr>
          <w:color w:val="000000"/>
        </w:rPr>
        <w:t xml:space="preserve">Place each group of materials into bacterial culture media in 10 mL centrifuge tubes according to the experimental design, with one control group as a reference. Methicillin-resistant Staphylococcus aureus (MRSA) colonies were gently collected using an inoculation loop and cultured in a shaking incubator. After 12 hours, 5 μL of culture media was extracted from each tube, and the colony-forming units (CFU) were evaluated using the spread plate method. The results </w:t>
      </w:r>
      <w:r w:rsidR="00DC1E19" w:rsidRPr="00314BEB">
        <w:rPr>
          <w:color w:val="000000"/>
        </w:rPr>
        <w:lastRenderedPageBreak/>
        <w:t>showed that the 0.2/6, 0.4/6, and 0.8/6 groups exhibited significant antibacterial effects, with fewer colonies that were visually discernible. In contrast, the control group, pure PVDF group, and the 0.05/6 and 0.1/6 groups had a higher number of colonies, which were so numerous that they spread across the plate and were uncountable to the naked eye (Fig S</w:t>
      </w:r>
      <w:r w:rsidR="00B74015" w:rsidRPr="00314BEB">
        <w:rPr>
          <w:color w:val="000000"/>
        </w:rPr>
        <w:t>4</w:t>
      </w:r>
      <w:r w:rsidR="00DC1E19" w:rsidRPr="00314BEB">
        <w:rPr>
          <w:color w:val="000000"/>
        </w:rPr>
        <w:t>b). Statistical analysis further confirmed that the 0.2/6, 0.4/6, and 0.8/6 groups had significantly enhanced antibacterial effects, indicating that PVDF-AgNPs exhibit good resistance to drug-resistant bacteria such as MRSA, Escherichia coli (Gram-negative), and Staphylococcus aureus (Gram-positive).</w:t>
      </w:r>
      <w:r w:rsidR="007C1381" w:rsidRPr="00314BEB">
        <w:rPr>
          <w:color w:val="000000"/>
        </w:rPr>
        <w:t xml:space="preserve"> Note: Data are presented as mean ± SD (n = 3)</w:t>
      </w:r>
    </w:p>
    <w:p w14:paraId="647F7379" w14:textId="6E44F9BD" w:rsidR="00AB3808" w:rsidRPr="00314BEB" w:rsidRDefault="00DC1E19" w:rsidP="00DC1E19">
      <w:pPr>
        <w:ind w:firstLine="420"/>
        <w:rPr>
          <w:color w:val="000000"/>
        </w:rPr>
      </w:pPr>
      <w:r w:rsidRPr="00314BEB">
        <w:rPr>
          <w:color w:val="000000"/>
        </w:rPr>
        <w:t>As shown in Fig S</w:t>
      </w:r>
      <w:r w:rsidR="00B74015" w:rsidRPr="00314BEB">
        <w:rPr>
          <w:color w:val="000000"/>
        </w:rPr>
        <w:t>4</w:t>
      </w:r>
      <w:r w:rsidRPr="00314BEB">
        <w:rPr>
          <w:color w:val="000000"/>
        </w:rPr>
        <w:t>c, after 24 hours, the live/dead fluorescence staining revealed that the AgNPs groups displayed a higher intensity of red fluorescence signals, indicating more dead cells, and the total number of cells was lower compared to the other groups, with a lower live/dead cell ratio. The control and pure PVDF groups showed much weaker red fluorescence signals, with almost no dead cells visible. In the PVDF-AgNPs groups, only a small amount of red fluorescence was observed, suggesting minimal cytotoxicity and good biocompatibility of the materials.</w:t>
      </w:r>
    </w:p>
    <w:p w14:paraId="5D6FE938" w14:textId="2952DFAA" w:rsidR="00AB3808" w:rsidRPr="00314BEB" w:rsidRDefault="00AB3808" w:rsidP="007C0F60">
      <w:pPr>
        <w:rPr>
          <w:color w:val="000000"/>
        </w:rPr>
      </w:pPr>
    </w:p>
    <w:p w14:paraId="44458730" w14:textId="4E034C9B" w:rsidR="00AB3808" w:rsidRPr="00314BEB" w:rsidRDefault="00AB3808" w:rsidP="007C0F60">
      <w:pPr>
        <w:rPr>
          <w:color w:val="000000"/>
        </w:rPr>
      </w:pPr>
    </w:p>
    <w:p w14:paraId="64494E77" w14:textId="1C89FEB3" w:rsidR="00A52640" w:rsidRPr="00314BEB" w:rsidRDefault="003811AA" w:rsidP="00A52640">
      <w:pPr>
        <w:rPr>
          <w:b/>
          <w:bCs/>
          <w:color w:val="000000"/>
        </w:rPr>
      </w:pPr>
      <w:r w:rsidRPr="00314BEB">
        <w:rPr>
          <w:rFonts w:hint="eastAsia"/>
          <w:b/>
          <w:bCs/>
          <w:color w:val="000000"/>
        </w:rPr>
        <w:drawing>
          <wp:inline distT="0" distB="0" distL="0" distR="0" wp14:anchorId="74FCEA9F" wp14:editId="171DA335">
            <wp:extent cx="3924300" cy="30099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1">
                      <a:extLst>
                        <a:ext uri="{28A0092B-C50C-407E-A947-70E740481C1C}">
                          <a14:useLocalDpi xmlns:a14="http://schemas.microsoft.com/office/drawing/2010/main" val="0"/>
                        </a:ext>
                      </a:extLst>
                    </a:blip>
                    <a:stretch>
                      <a:fillRect/>
                    </a:stretch>
                  </pic:blipFill>
                  <pic:spPr>
                    <a:xfrm>
                      <a:off x="0" y="0"/>
                      <a:ext cx="3924300" cy="3009900"/>
                    </a:xfrm>
                    <a:prstGeom prst="rect">
                      <a:avLst/>
                    </a:prstGeom>
                  </pic:spPr>
                </pic:pic>
              </a:graphicData>
            </a:graphic>
          </wp:inline>
        </w:drawing>
      </w:r>
      <w:r w:rsidR="00A52640" w:rsidRPr="00314BEB">
        <w:rPr>
          <w:rFonts w:hint="eastAsia"/>
          <w:b/>
          <w:bCs/>
          <w:color w:val="000000"/>
        </w:rPr>
        <w:t xml:space="preserve"> </w:t>
      </w:r>
    </w:p>
    <w:p w14:paraId="362D0583" w14:textId="50E982D0" w:rsidR="00A52640" w:rsidRPr="00314BEB" w:rsidRDefault="00A52640" w:rsidP="00A52640">
      <w:pPr>
        <w:rPr>
          <w:color w:val="000000"/>
        </w:rPr>
      </w:pPr>
      <w:r w:rsidRPr="00314BEB">
        <w:rPr>
          <w:rFonts w:hint="eastAsia"/>
          <w:b/>
          <w:bCs/>
          <w:color w:val="000000"/>
        </w:rPr>
        <w:t>Figure</w:t>
      </w:r>
      <w:r w:rsidRPr="00314BEB">
        <w:rPr>
          <w:b/>
          <w:bCs/>
          <w:color w:val="000000"/>
        </w:rPr>
        <w:t xml:space="preserve"> </w:t>
      </w:r>
      <w:r w:rsidRPr="00314BEB">
        <w:rPr>
          <w:rFonts w:hint="eastAsia"/>
          <w:b/>
          <w:bCs/>
          <w:color w:val="000000"/>
        </w:rPr>
        <w:t>S</w:t>
      </w:r>
      <w:r w:rsidRPr="00314BEB">
        <w:rPr>
          <w:b/>
          <w:bCs/>
          <w:color w:val="000000"/>
        </w:rPr>
        <w:t>5.</w:t>
      </w:r>
      <w:r w:rsidRPr="00314BEB">
        <w:rPr>
          <w:rFonts w:hint="eastAsia"/>
          <w:color w:val="000000"/>
        </w:rPr>
        <w:t xml:space="preserve"> </w:t>
      </w:r>
      <w:r w:rsidRPr="00314BEB">
        <w:rPr>
          <w:color w:val="000000"/>
        </w:rPr>
        <w:t>The tensile strength of PVDF-AgNPs and PVDF dressings. The tensile strength of PVDF is 54.2 MPa, whereas that of PVDF-AgNPs is slightly higher at 66.7 MPa. Additionally, the elongation at break for PVDF is 151.4%, while PVDF-AgNPs exhibit a slightly lower elongation at break of 148.5%.</w:t>
      </w:r>
    </w:p>
    <w:p w14:paraId="294C4925" w14:textId="6E9ED346" w:rsidR="00A52640" w:rsidRPr="00314BEB" w:rsidRDefault="00A52640" w:rsidP="00A52640">
      <w:pPr>
        <w:rPr>
          <w:color w:val="000000"/>
        </w:rPr>
      </w:pPr>
    </w:p>
    <w:p w14:paraId="5E1C2588" w14:textId="78D8AB0B" w:rsidR="00A52640" w:rsidRPr="00314BEB" w:rsidRDefault="00A52640" w:rsidP="00A52640">
      <w:pPr>
        <w:rPr>
          <w:color w:val="000000"/>
        </w:rPr>
      </w:pPr>
    </w:p>
    <w:p w14:paraId="2B26C0A1" w14:textId="08B8AF3E" w:rsidR="00A52640" w:rsidRPr="00314BEB" w:rsidRDefault="00A52640" w:rsidP="00A52640">
      <w:pPr>
        <w:rPr>
          <w:color w:val="000000"/>
        </w:rPr>
      </w:pPr>
    </w:p>
    <w:p w14:paraId="30278D54" w14:textId="7865A501" w:rsidR="00A52640" w:rsidRPr="00314BEB" w:rsidRDefault="00A52640" w:rsidP="00A52640">
      <w:pPr>
        <w:rPr>
          <w:color w:val="000000"/>
        </w:rPr>
      </w:pPr>
    </w:p>
    <w:p w14:paraId="6E78213B" w14:textId="77777777" w:rsidR="00A52640" w:rsidRPr="00314BEB" w:rsidRDefault="00A52640" w:rsidP="00A52640">
      <w:pPr>
        <w:rPr>
          <w:color w:val="000000"/>
        </w:rPr>
      </w:pPr>
    </w:p>
    <w:p w14:paraId="6F9EC37A" w14:textId="7839484E" w:rsidR="00A52640" w:rsidRPr="00314BEB" w:rsidRDefault="00A52640" w:rsidP="007C0F60">
      <w:pPr>
        <w:rPr>
          <w:color w:val="000000"/>
        </w:rPr>
      </w:pPr>
    </w:p>
    <w:p w14:paraId="5FE9CE64" w14:textId="42D714D2" w:rsidR="0018799D" w:rsidRPr="00314BEB" w:rsidRDefault="003811AA" w:rsidP="0018799D">
      <w:pPr>
        <w:rPr>
          <w:color w:val="000000"/>
        </w:rPr>
      </w:pPr>
      <w:r w:rsidRPr="00314BEB">
        <w:rPr>
          <w:rFonts w:hint="eastAsia"/>
          <w:b/>
          <w:bCs/>
          <w:color w:val="000000"/>
        </w:rPr>
        <w:lastRenderedPageBreak/>
        <w:drawing>
          <wp:inline distT="0" distB="0" distL="0" distR="0" wp14:anchorId="50468EEF" wp14:editId="196CDEC8">
            <wp:extent cx="5274310" cy="419290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4192905"/>
                    </a:xfrm>
                    <a:prstGeom prst="rect">
                      <a:avLst/>
                    </a:prstGeom>
                  </pic:spPr>
                </pic:pic>
              </a:graphicData>
            </a:graphic>
          </wp:inline>
        </w:drawing>
      </w:r>
      <w:r w:rsidR="00AB3808" w:rsidRPr="00314BEB">
        <w:rPr>
          <w:rFonts w:hint="eastAsia"/>
          <w:b/>
          <w:bCs/>
          <w:color w:val="000000"/>
        </w:rPr>
        <w:t>Fig</w:t>
      </w:r>
      <w:r w:rsidR="00A40972" w:rsidRPr="00314BEB">
        <w:rPr>
          <w:rFonts w:hint="eastAsia"/>
          <w:b/>
          <w:bCs/>
          <w:color w:val="000000"/>
        </w:rPr>
        <w:t>ure</w:t>
      </w:r>
      <w:r w:rsidR="00C0301C" w:rsidRPr="00314BEB">
        <w:rPr>
          <w:b/>
          <w:bCs/>
          <w:color w:val="000000"/>
        </w:rPr>
        <w:t xml:space="preserve"> </w:t>
      </w:r>
      <w:r w:rsidR="00AB3808" w:rsidRPr="00314BEB">
        <w:rPr>
          <w:rFonts w:hint="eastAsia"/>
          <w:b/>
          <w:bCs/>
          <w:color w:val="000000"/>
        </w:rPr>
        <w:t>S</w:t>
      </w:r>
      <w:r w:rsidR="0011142F" w:rsidRPr="00314BEB">
        <w:rPr>
          <w:b/>
          <w:bCs/>
          <w:color w:val="000000"/>
        </w:rPr>
        <w:t>6</w:t>
      </w:r>
      <w:r w:rsidR="00C0301C" w:rsidRPr="00314BEB">
        <w:rPr>
          <w:b/>
          <w:bCs/>
          <w:color w:val="000000"/>
        </w:rPr>
        <w:t>.</w:t>
      </w:r>
      <w:r w:rsidR="006E01F4" w:rsidRPr="00314BEB">
        <w:rPr>
          <w:rFonts w:hint="eastAsia"/>
          <w:color w:val="000000"/>
        </w:rPr>
        <w:t xml:space="preserve"> </w:t>
      </w:r>
      <w:r w:rsidR="0011142F" w:rsidRPr="00314BEB">
        <w:rPr>
          <w:color w:val="000000"/>
        </w:rPr>
        <w:t xml:space="preserve">Figure S6a presents the morphology of the final synthesized PVDF-AgNPs fiber dressing. </w:t>
      </w:r>
      <w:r w:rsidR="0018799D" w:rsidRPr="00314BEB">
        <w:rPr>
          <w:color w:val="000000"/>
        </w:rPr>
        <w:t>Fig S</w:t>
      </w:r>
      <w:r w:rsidR="0011142F" w:rsidRPr="00314BEB">
        <w:rPr>
          <w:color w:val="000000"/>
        </w:rPr>
        <w:t>6b</w:t>
      </w:r>
      <w:r w:rsidR="0018799D" w:rsidRPr="00314BEB">
        <w:rPr>
          <w:color w:val="000000"/>
        </w:rPr>
        <w:t xml:space="preserve"> depicts observations on the third day after establishing the Staphylococcus aureus infection wound model. After removing the dressings, varying degrees of inflammation were visible across all groups. The wounds on the dorsal skin of rats in the Ctrl, AgNPs, and PVDF groups showed significant bacterial colonization and tissue damage, with biofilm formation observed on the wound surface, indicating severe infection. In contrast, the PVDF-AgNPs group, when covered with the dressing, exhibited milder signs of local infection.</w:t>
      </w:r>
    </w:p>
    <w:p w14:paraId="09C3C2CA" w14:textId="41478386" w:rsidR="0018799D" w:rsidRPr="00314BEB" w:rsidRDefault="0018799D" w:rsidP="0018799D">
      <w:pPr>
        <w:rPr>
          <w:color w:val="000000"/>
        </w:rPr>
      </w:pPr>
      <w:r w:rsidRPr="00314BEB">
        <w:rPr>
          <w:color w:val="000000"/>
        </w:rPr>
        <w:t>Fig S</w:t>
      </w:r>
      <w:r w:rsidR="0011142F" w:rsidRPr="00314BEB">
        <w:rPr>
          <w:color w:val="000000"/>
        </w:rPr>
        <w:t>6</w:t>
      </w:r>
      <w:r w:rsidRPr="00314BEB">
        <w:rPr>
          <w:color w:val="000000"/>
        </w:rPr>
        <w:t>c shows the quantitative analysis of IFN-γ on day 12 of wound healing. Interferon-γ (IFN-γ) stimulates M1 macrophages, which dominate in the early stages of wound healing. The PVDF-AgNPs group displayed lower levels of IFN-γ compared to the control group, though no significant difference was observed between the PVDF-AgNPs and PVDF groups. Note: Data are presented as mean ± SD (n = 5), **P &lt; 0.01, ***P &lt; 0.005, n.s.: not significant.</w:t>
      </w:r>
    </w:p>
    <w:p w14:paraId="65625073" w14:textId="07B541A5" w:rsidR="005D504F" w:rsidRPr="00314BEB" w:rsidRDefault="005D504F" w:rsidP="0018799D">
      <w:pPr>
        <w:rPr>
          <w:color w:val="000000"/>
        </w:rPr>
      </w:pPr>
    </w:p>
    <w:p w14:paraId="4FA3FFB4" w14:textId="61956F09" w:rsidR="005D504F" w:rsidRPr="00314BEB" w:rsidRDefault="005D504F" w:rsidP="0018799D">
      <w:pPr>
        <w:rPr>
          <w:color w:val="000000"/>
        </w:rPr>
      </w:pPr>
    </w:p>
    <w:p w14:paraId="3CD19385" w14:textId="4F153AB2" w:rsidR="005D504F" w:rsidRPr="00314BEB" w:rsidRDefault="005D504F" w:rsidP="0018799D">
      <w:pPr>
        <w:rPr>
          <w:color w:val="000000"/>
        </w:rPr>
      </w:pPr>
    </w:p>
    <w:p w14:paraId="7C798F49" w14:textId="5E7ACE71" w:rsidR="005D504F" w:rsidRPr="00314BEB" w:rsidRDefault="005D504F" w:rsidP="0018799D">
      <w:pPr>
        <w:rPr>
          <w:color w:val="000000"/>
        </w:rPr>
      </w:pPr>
    </w:p>
    <w:p w14:paraId="284EA6AF" w14:textId="6C5D550C" w:rsidR="005D504F" w:rsidRPr="00314BEB" w:rsidRDefault="005D504F" w:rsidP="0018799D">
      <w:pPr>
        <w:rPr>
          <w:color w:val="000000"/>
        </w:rPr>
      </w:pPr>
    </w:p>
    <w:p w14:paraId="5394A684" w14:textId="08C50B38" w:rsidR="005D504F" w:rsidRPr="00314BEB" w:rsidRDefault="005D504F" w:rsidP="0018799D">
      <w:pPr>
        <w:rPr>
          <w:color w:val="000000"/>
        </w:rPr>
      </w:pPr>
    </w:p>
    <w:p w14:paraId="0A4C2117" w14:textId="259E163F" w:rsidR="005D504F" w:rsidRPr="00314BEB" w:rsidRDefault="005D504F" w:rsidP="0018799D">
      <w:pPr>
        <w:rPr>
          <w:color w:val="000000"/>
        </w:rPr>
      </w:pPr>
    </w:p>
    <w:p w14:paraId="3CC82CC7" w14:textId="666AA97B" w:rsidR="005D504F" w:rsidRPr="00314BEB" w:rsidRDefault="005D504F" w:rsidP="0018799D">
      <w:pPr>
        <w:rPr>
          <w:color w:val="000000"/>
        </w:rPr>
      </w:pPr>
    </w:p>
    <w:p w14:paraId="24F4AFB3" w14:textId="5A051B9A" w:rsidR="005D504F" w:rsidRPr="00314BEB" w:rsidRDefault="005D504F" w:rsidP="0018799D">
      <w:pPr>
        <w:rPr>
          <w:color w:val="000000"/>
        </w:rPr>
      </w:pPr>
    </w:p>
    <w:p w14:paraId="1EA4AAE5" w14:textId="77777777" w:rsidR="00D371B8" w:rsidRPr="00314BEB" w:rsidRDefault="00D371B8" w:rsidP="0018799D">
      <w:pPr>
        <w:rPr>
          <w:color w:val="000000"/>
        </w:rPr>
      </w:pPr>
    </w:p>
    <w:sectPr w:rsidR="00D371B8" w:rsidRPr="00314BEB">
      <w:footerReference w:type="even" r:id="rId13"/>
      <w:footerReference w:type="default" r:id="rId14"/>
      <w:footerReference w:type="first" r:id="rId1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F70AAB" w14:textId="77777777" w:rsidR="008B04F5" w:rsidRDefault="008B04F5" w:rsidP="00D05F49">
      <w:r>
        <w:separator/>
      </w:r>
    </w:p>
  </w:endnote>
  <w:endnote w:type="continuationSeparator" w:id="0">
    <w:p w14:paraId="61F38FA0" w14:textId="77777777" w:rsidR="008B04F5" w:rsidRDefault="008B04F5" w:rsidP="00D05F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Rockwell">
    <w:panose1 w:val="02060603020205020403"/>
    <w:charset w:val="00"/>
    <w:family w:val="roman"/>
    <w:pitch w:val="variable"/>
    <w:sig w:usb0="00000007" w:usb1="00000000" w:usb2="00000000" w:usb3="00000000" w:csb0="00000003"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83D1C1" w14:textId="792E8C83" w:rsidR="00D05F49" w:rsidRDefault="00D05F49">
    <w:pPr>
      <w:pStyle w:val="Footer"/>
    </w:pPr>
    <w:r>
      <w:rPr>
        <w:noProof/>
      </w:rPr>
      <mc:AlternateContent>
        <mc:Choice Requires="wps">
          <w:drawing>
            <wp:anchor distT="0" distB="0" distL="0" distR="0" simplePos="0" relativeHeight="251659264" behindDoc="0" locked="0" layoutInCell="1" allowOverlap="1" wp14:anchorId="09D187FC" wp14:editId="02A2A96A">
              <wp:simplePos x="635" y="635"/>
              <wp:positionH relativeFrom="page">
                <wp:align>left</wp:align>
              </wp:positionH>
              <wp:positionV relativeFrom="page">
                <wp:align>bottom</wp:align>
              </wp:positionV>
              <wp:extent cx="2077085" cy="324485"/>
              <wp:effectExtent l="0" t="0" r="18415" b="0"/>
              <wp:wrapNone/>
              <wp:docPr id="1770395154"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12AD4E09" w14:textId="1D9768D1" w:rsidR="00D05F49" w:rsidRPr="00D05F49" w:rsidRDefault="00D05F49" w:rsidP="00D05F49">
                          <w:pPr>
                            <w:rPr>
                              <w:rFonts w:ascii="Rockwell" w:eastAsia="Rockwell" w:hAnsi="Rockwell" w:cs="Rockwell"/>
                              <w:noProof/>
                              <w:color w:val="0078D7"/>
                              <w:sz w:val="18"/>
                              <w:szCs w:val="18"/>
                            </w:rPr>
                          </w:pPr>
                          <w:r w:rsidRPr="00D05F4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9D187FC" id="_x0000_t202" coordsize="21600,21600" o:spt="202" path="m,l,21600r21600,l21600,xe">
              <v:stroke joinstyle="miter"/>
              <v:path gradientshapeok="t" o:connecttype="rect"/>
            </v:shapetype>
            <v:shape id="Text Box 2" o:spid="_x0000_s1026" type="#_x0000_t202" alt="Information Classification: General" style="position:absolute;left:0;text-align:left;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textbox style="mso-fit-shape-to-text:t" inset="20pt,0,0,15pt">
                <w:txbxContent>
                  <w:p w14:paraId="12AD4E09" w14:textId="1D9768D1" w:rsidR="00D05F49" w:rsidRPr="00D05F49" w:rsidRDefault="00D05F49" w:rsidP="00D05F49">
                    <w:pPr>
                      <w:rPr>
                        <w:rFonts w:ascii="Rockwell" w:eastAsia="Rockwell" w:hAnsi="Rockwell" w:cs="Rockwell"/>
                        <w:noProof/>
                        <w:color w:val="0078D7"/>
                        <w:sz w:val="18"/>
                        <w:szCs w:val="18"/>
                      </w:rPr>
                    </w:pPr>
                    <w:r w:rsidRPr="00D05F49">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26394" w14:textId="70627BE9" w:rsidR="00D05F49" w:rsidRDefault="00D05F49">
    <w:pPr>
      <w:pStyle w:val="Footer"/>
    </w:pPr>
    <w:r>
      <w:rPr>
        <w:noProof/>
      </w:rPr>
      <mc:AlternateContent>
        <mc:Choice Requires="wps">
          <w:drawing>
            <wp:anchor distT="0" distB="0" distL="0" distR="0" simplePos="0" relativeHeight="251660288" behindDoc="0" locked="0" layoutInCell="1" allowOverlap="1" wp14:anchorId="0D38913C" wp14:editId="364BF812">
              <wp:simplePos x="1143000" y="9912927"/>
              <wp:positionH relativeFrom="page">
                <wp:align>left</wp:align>
              </wp:positionH>
              <wp:positionV relativeFrom="page">
                <wp:align>bottom</wp:align>
              </wp:positionV>
              <wp:extent cx="2077085" cy="324485"/>
              <wp:effectExtent l="0" t="0" r="18415" b="0"/>
              <wp:wrapNone/>
              <wp:docPr id="13631414"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4F0CBD85" w14:textId="36CF7880" w:rsidR="00D05F49" w:rsidRPr="00D05F49" w:rsidRDefault="00D05F49" w:rsidP="00D05F49">
                          <w:pPr>
                            <w:rPr>
                              <w:rFonts w:ascii="Rockwell" w:eastAsia="Rockwell" w:hAnsi="Rockwell" w:cs="Rockwell"/>
                              <w:noProof/>
                              <w:color w:val="0078D7"/>
                              <w:sz w:val="18"/>
                              <w:szCs w:val="18"/>
                            </w:rPr>
                          </w:pPr>
                          <w:r w:rsidRPr="00D05F4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D38913C"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textbox style="mso-fit-shape-to-text:t" inset="20pt,0,0,15pt">
                <w:txbxContent>
                  <w:p w14:paraId="4F0CBD85" w14:textId="36CF7880" w:rsidR="00D05F49" w:rsidRPr="00D05F49" w:rsidRDefault="00D05F49" w:rsidP="00D05F49">
                    <w:pPr>
                      <w:rPr>
                        <w:rFonts w:ascii="Rockwell" w:eastAsia="Rockwell" w:hAnsi="Rockwell" w:cs="Rockwell"/>
                        <w:noProof/>
                        <w:color w:val="0078D7"/>
                        <w:sz w:val="18"/>
                        <w:szCs w:val="18"/>
                      </w:rPr>
                    </w:pPr>
                    <w:r w:rsidRPr="00D05F49">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B08604" w14:textId="185B136A" w:rsidR="00D05F49" w:rsidRDefault="00D05F49">
    <w:pPr>
      <w:pStyle w:val="Footer"/>
    </w:pPr>
    <w:r>
      <w:rPr>
        <w:noProof/>
      </w:rPr>
      <mc:AlternateContent>
        <mc:Choice Requires="wps">
          <w:drawing>
            <wp:anchor distT="0" distB="0" distL="0" distR="0" simplePos="0" relativeHeight="251658240" behindDoc="0" locked="0" layoutInCell="1" allowOverlap="1" wp14:anchorId="7904915C" wp14:editId="5906D1EA">
              <wp:simplePos x="635" y="635"/>
              <wp:positionH relativeFrom="page">
                <wp:align>left</wp:align>
              </wp:positionH>
              <wp:positionV relativeFrom="page">
                <wp:align>bottom</wp:align>
              </wp:positionV>
              <wp:extent cx="2077085" cy="324485"/>
              <wp:effectExtent l="0" t="0" r="18415" b="0"/>
              <wp:wrapNone/>
              <wp:docPr id="290676629"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09B7836B" w14:textId="60396494" w:rsidR="00D05F49" w:rsidRPr="00D05F49" w:rsidRDefault="00D05F49" w:rsidP="00D05F49">
                          <w:pPr>
                            <w:rPr>
                              <w:rFonts w:ascii="Rockwell" w:eastAsia="Rockwell" w:hAnsi="Rockwell" w:cs="Rockwell"/>
                              <w:noProof/>
                              <w:color w:val="0078D7"/>
                              <w:sz w:val="18"/>
                              <w:szCs w:val="18"/>
                            </w:rPr>
                          </w:pPr>
                          <w:r w:rsidRPr="00D05F4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904915C" id="_x0000_t202" coordsize="21600,21600" o:spt="202" path="m,l,21600r21600,l21600,xe">
              <v:stroke joinstyle="miter"/>
              <v:path gradientshapeok="t" o:connecttype="rect"/>
            </v:shapetype>
            <v:shape id="Text Box 1" o:spid="_x0000_s1028" type="#_x0000_t202" alt="Information Classification: General" style="position:absolute;left:0;text-align:left;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textbox style="mso-fit-shape-to-text:t" inset="20pt,0,0,15pt">
                <w:txbxContent>
                  <w:p w14:paraId="09B7836B" w14:textId="60396494" w:rsidR="00D05F49" w:rsidRPr="00D05F49" w:rsidRDefault="00D05F49" w:rsidP="00D05F49">
                    <w:pPr>
                      <w:rPr>
                        <w:rFonts w:ascii="Rockwell" w:eastAsia="Rockwell" w:hAnsi="Rockwell" w:cs="Rockwell"/>
                        <w:noProof/>
                        <w:color w:val="0078D7"/>
                        <w:sz w:val="18"/>
                        <w:szCs w:val="18"/>
                      </w:rPr>
                    </w:pPr>
                    <w:r w:rsidRPr="00D05F49">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1F406B" w14:textId="77777777" w:rsidR="008B04F5" w:rsidRDefault="008B04F5" w:rsidP="00D05F49">
      <w:r>
        <w:separator/>
      </w:r>
    </w:p>
  </w:footnote>
  <w:footnote w:type="continuationSeparator" w:id="0">
    <w:p w14:paraId="0C7EFDCE" w14:textId="77777777" w:rsidR="008B04F5" w:rsidRDefault="008B04F5" w:rsidP="00D05F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BD92ABD"/>
    <w:multiLevelType w:val="multilevel"/>
    <w:tmpl w:val="8486A4DA"/>
    <w:lvl w:ilvl="0">
      <w:start w:val="1"/>
      <w:numFmt w:val="decimal"/>
      <w:lvlText w:val="%1."/>
      <w:lvlJc w:val="left"/>
      <w:pPr>
        <w:ind w:left="785" w:hanging="360"/>
      </w:pPr>
      <w:rPr>
        <w:rFonts w:ascii="Times New Roman" w:hAnsi="Times New Roman" w:cs="Times New Roman" w:hint="default"/>
      </w:rPr>
    </w:lvl>
    <w:lvl w:ilvl="1">
      <w:start w:val="1"/>
      <w:numFmt w:val="lowerLetter"/>
      <w:lvlText w:val="%2)"/>
      <w:lvlJc w:val="left"/>
      <w:pPr>
        <w:ind w:left="1265" w:hanging="420"/>
      </w:pPr>
      <w:rPr>
        <w:rFonts w:ascii="Times New Roman" w:hAnsi="Times New Roman" w:cs="Times New Roman" w:hint="default"/>
      </w:rPr>
    </w:lvl>
    <w:lvl w:ilvl="2">
      <w:start w:val="1"/>
      <w:numFmt w:val="lowerRoman"/>
      <w:lvlText w:val="%3."/>
      <w:lvlJc w:val="right"/>
      <w:pPr>
        <w:ind w:left="1685" w:hanging="420"/>
      </w:pPr>
      <w:rPr>
        <w:rFonts w:ascii="Times New Roman" w:hAnsi="Times New Roman" w:cs="Times New Roman" w:hint="default"/>
      </w:rPr>
    </w:lvl>
    <w:lvl w:ilvl="3">
      <w:start w:val="1"/>
      <w:numFmt w:val="decimal"/>
      <w:lvlText w:val="%4."/>
      <w:lvlJc w:val="left"/>
      <w:pPr>
        <w:ind w:left="2105" w:hanging="420"/>
      </w:pPr>
      <w:rPr>
        <w:rFonts w:ascii="Times New Roman" w:hAnsi="Times New Roman" w:cs="Times New Roman" w:hint="default"/>
      </w:rPr>
    </w:lvl>
    <w:lvl w:ilvl="4">
      <w:start w:val="1"/>
      <w:numFmt w:val="lowerLetter"/>
      <w:lvlText w:val="%5)"/>
      <w:lvlJc w:val="left"/>
      <w:pPr>
        <w:ind w:left="2525" w:hanging="420"/>
      </w:pPr>
      <w:rPr>
        <w:rFonts w:ascii="Times New Roman" w:hAnsi="Times New Roman" w:cs="Times New Roman" w:hint="default"/>
      </w:rPr>
    </w:lvl>
    <w:lvl w:ilvl="5">
      <w:start w:val="1"/>
      <w:numFmt w:val="lowerRoman"/>
      <w:lvlText w:val="%6."/>
      <w:lvlJc w:val="right"/>
      <w:pPr>
        <w:ind w:left="2945" w:hanging="420"/>
      </w:pPr>
      <w:rPr>
        <w:rFonts w:ascii="Times New Roman" w:hAnsi="Times New Roman" w:cs="Times New Roman" w:hint="default"/>
      </w:rPr>
    </w:lvl>
    <w:lvl w:ilvl="6">
      <w:start w:val="1"/>
      <w:numFmt w:val="decimal"/>
      <w:lvlText w:val="%7."/>
      <w:lvlJc w:val="left"/>
      <w:pPr>
        <w:ind w:left="3365" w:hanging="420"/>
      </w:pPr>
      <w:rPr>
        <w:rFonts w:ascii="Times New Roman" w:hAnsi="Times New Roman" w:cs="Times New Roman" w:hint="default"/>
      </w:rPr>
    </w:lvl>
    <w:lvl w:ilvl="7">
      <w:start w:val="1"/>
      <w:numFmt w:val="lowerLetter"/>
      <w:lvlText w:val="%8)"/>
      <w:lvlJc w:val="left"/>
      <w:pPr>
        <w:ind w:left="3785" w:hanging="420"/>
      </w:pPr>
      <w:rPr>
        <w:rFonts w:ascii="Times New Roman" w:hAnsi="Times New Roman" w:cs="Times New Roman" w:hint="default"/>
      </w:rPr>
    </w:lvl>
    <w:lvl w:ilvl="8">
      <w:start w:val="1"/>
      <w:numFmt w:val="lowerRoman"/>
      <w:lvlText w:val="%9."/>
      <w:lvlJc w:val="right"/>
      <w:pPr>
        <w:ind w:left="4205" w:hanging="420"/>
      </w:pPr>
      <w:rPr>
        <w:rFonts w:ascii="Times New Roman" w:hAnsi="Times New Roman" w:cs="Times New Roman" w:hint="default"/>
      </w:rPr>
    </w:lvl>
  </w:abstractNum>
  <w:abstractNum w:abstractNumId="1" w15:restartNumberingAfterBreak="0">
    <w:nsid w:val="3C5F482C"/>
    <w:multiLevelType w:val="multilevel"/>
    <w:tmpl w:val="E17A86DA"/>
    <w:lvl w:ilvl="0">
      <w:start w:val="1"/>
      <w:numFmt w:val="decimal"/>
      <w:lvlText w:val="%1."/>
      <w:lvlJc w:val="left"/>
      <w:pPr>
        <w:ind w:left="852" w:hanging="420"/>
      </w:pPr>
      <w:rPr>
        <w:rFonts w:ascii="Times New Roman" w:hAnsi="Times New Roman" w:cs="Times New Roman" w:hint="default"/>
      </w:rPr>
    </w:lvl>
    <w:lvl w:ilvl="1">
      <w:start w:val="1"/>
      <w:numFmt w:val="lowerLetter"/>
      <w:lvlText w:val="%2)"/>
      <w:lvlJc w:val="left"/>
      <w:pPr>
        <w:ind w:left="1272" w:hanging="420"/>
      </w:pPr>
      <w:rPr>
        <w:rFonts w:ascii="Times New Roman" w:hAnsi="Times New Roman" w:cs="Times New Roman" w:hint="default"/>
      </w:rPr>
    </w:lvl>
    <w:lvl w:ilvl="2">
      <w:start w:val="1"/>
      <w:numFmt w:val="lowerRoman"/>
      <w:lvlText w:val="%3."/>
      <w:lvlJc w:val="right"/>
      <w:pPr>
        <w:ind w:left="1692" w:hanging="420"/>
      </w:pPr>
      <w:rPr>
        <w:rFonts w:ascii="Times New Roman" w:hAnsi="Times New Roman" w:cs="Times New Roman" w:hint="default"/>
      </w:rPr>
    </w:lvl>
    <w:lvl w:ilvl="3">
      <w:start w:val="1"/>
      <w:numFmt w:val="decimal"/>
      <w:lvlText w:val="%4."/>
      <w:lvlJc w:val="left"/>
      <w:pPr>
        <w:ind w:left="2112" w:hanging="420"/>
      </w:pPr>
      <w:rPr>
        <w:rFonts w:ascii="Times New Roman" w:hAnsi="Times New Roman" w:cs="Times New Roman" w:hint="default"/>
      </w:rPr>
    </w:lvl>
    <w:lvl w:ilvl="4">
      <w:start w:val="1"/>
      <w:numFmt w:val="lowerLetter"/>
      <w:lvlText w:val="%5)"/>
      <w:lvlJc w:val="left"/>
      <w:pPr>
        <w:ind w:left="2532" w:hanging="420"/>
      </w:pPr>
      <w:rPr>
        <w:rFonts w:ascii="Times New Roman" w:hAnsi="Times New Roman" w:cs="Times New Roman" w:hint="default"/>
      </w:rPr>
    </w:lvl>
    <w:lvl w:ilvl="5">
      <w:start w:val="1"/>
      <w:numFmt w:val="lowerRoman"/>
      <w:lvlText w:val="%6."/>
      <w:lvlJc w:val="right"/>
      <w:pPr>
        <w:ind w:left="2952" w:hanging="420"/>
      </w:pPr>
      <w:rPr>
        <w:rFonts w:ascii="Times New Roman" w:hAnsi="Times New Roman" w:cs="Times New Roman" w:hint="default"/>
      </w:rPr>
    </w:lvl>
    <w:lvl w:ilvl="6">
      <w:start w:val="1"/>
      <w:numFmt w:val="decimal"/>
      <w:lvlText w:val="%7."/>
      <w:lvlJc w:val="left"/>
      <w:pPr>
        <w:ind w:left="3372" w:hanging="420"/>
      </w:pPr>
      <w:rPr>
        <w:rFonts w:ascii="Times New Roman" w:hAnsi="Times New Roman" w:cs="Times New Roman" w:hint="default"/>
      </w:rPr>
    </w:lvl>
    <w:lvl w:ilvl="7">
      <w:start w:val="1"/>
      <w:numFmt w:val="lowerLetter"/>
      <w:lvlText w:val="%8)"/>
      <w:lvlJc w:val="left"/>
      <w:pPr>
        <w:ind w:left="3792" w:hanging="420"/>
      </w:pPr>
      <w:rPr>
        <w:rFonts w:ascii="Times New Roman" w:hAnsi="Times New Roman" w:cs="Times New Roman" w:hint="default"/>
      </w:rPr>
    </w:lvl>
    <w:lvl w:ilvl="8">
      <w:start w:val="1"/>
      <w:numFmt w:val="lowerRoman"/>
      <w:lvlText w:val="%9."/>
      <w:lvlJc w:val="right"/>
      <w:pPr>
        <w:ind w:left="4212" w:hanging="420"/>
      </w:pPr>
      <w:rPr>
        <w:rFonts w:ascii="Times New Roman" w:hAnsi="Times New Roman" w:cs="Times New Roman" w:hint="default"/>
      </w:rPr>
    </w:lvl>
  </w:abstractNum>
  <w:abstractNum w:abstractNumId="2" w15:restartNumberingAfterBreak="0">
    <w:nsid w:val="683501DD"/>
    <w:multiLevelType w:val="multilevel"/>
    <w:tmpl w:val="43986C64"/>
    <w:lvl w:ilvl="0">
      <w:start w:val="1"/>
      <w:numFmt w:val="decimal"/>
      <w:lvlText w:val="%1."/>
      <w:lvlJc w:val="left"/>
      <w:pPr>
        <w:ind w:left="852" w:hanging="420"/>
      </w:pPr>
      <w:rPr>
        <w:rFonts w:ascii="Times New Roman" w:hAnsi="Times New Roman" w:cs="Times New Roman" w:hint="default"/>
      </w:rPr>
    </w:lvl>
    <w:lvl w:ilvl="1">
      <w:start w:val="1"/>
      <w:numFmt w:val="lowerLetter"/>
      <w:lvlText w:val="%2)"/>
      <w:lvlJc w:val="left"/>
      <w:pPr>
        <w:ind w:left="1272" w:hanging="420"/>
      </w:pPr>
      <w:rPr>
        <w:rFonts w:ascii="Times New Roman" w:hAnsi="Times New Roman" w:cs="Times New Roman" w:hint="default"/>
      </w:rPr>
    </w:lvl>
    <w:lvl w:ilvl="2">
      <w:start w:val="1"/>
      <w:numFmt w:val="lowerRoman"/>
      <w:lvlText w:val="%3."/>
      <w:lvlJc w:val="right"/>
      <w:pPr>
        <w:ind w:left="1692" w:hanging="420"/>
      </w:pPr>
      <w:rPr>
        <w:rFonts w:ascii="Times New Roman" w:hAnsi="Times New Roman" w:cs="Times New Roman" w:hint="default"/>
      </w:rPr>
    </w:lvl>
    <w:lvl w:ilvl="3">
      <w:start w:val="1"/>
      <w:numFmt w:val="decimal"/>
      <w:lvlText w:val="%4."/>
      <w:lvlJc w:val="left"/>
      <w:pPr>
        <w:ind w:left="2112" w:hanging="420"/>
      </w:pPr>
      <w:rPr>
        <w:rFonts w:ascii="Times New Roman" w:hAnsi="Times New Roman" w:cs="Times New Roman" w:hint="default"/>
      </w:rPr>
    </w:lvl>
    <w:lvl w:ilvl="4">
      <w:start w:val="1"/>
      <w:numFmt w:val="lowerLetter"/>
      <w:lvlText w:val="%5)"/>
      <w:lvlJc w:val="left"/>
      <w:pPr>
        <w:ind w:left="2532" w:hanging="420"/>
      </w:pPr>
      <w:rPr>
        <w:rFonts w:ascii="Times New Roman" w:hAnsi="Times New Roman" w:cs="Times New Roman" w:hint="default"/>
      </w:rPr>
    </w:lvl>
    <w:lvl w:ilvl="5">
      <w:start w:val="1"/>
      <w:numFmt w:val="lowerRoman"/>
      <w:lvlText w:val="%6."/>
      <w:lvlJc w:val="right"/>
      <w:pPr>
        <w:ind w:left="2952" w:hanging="420"/>
      </w:pPr>
      <w:rPr>
        <w:rFonts w:ascii="Times New Roman" w:hAnsi="Times New Roman" w:cs="Times New Roman" w:hint="default"/>
      </w:rPr>
    </w:lvl>
    <w:lvl w:ilvl="6">
      <w:start w:val="1"/>
      <w:numFmt w:val="decimal"/>
      <w:lvlText w:val="%7."/>
      <w:lvlJc w:val="left"/>
      <w:pPr>
        <w:ind w:left="3372" w:hanging="420"/>
      </w:pPr>
      <w:rPr>
        <w:rFonts w:ascii="Times New Roman" w:hAnsi="Times New Roman" w:cs="Times New Roman" w:hint="default"/>
      </w:rPr>
    </w:lvl>
    <w:lvl w:ilvl="7">
      <w:start w:val="1"/>
      <w:numFmt w:val="lowerLetter"/>
      <w:lvlText w:val="%8)"/>
      <w:lvlJc w:val="left"/>
      <w:pPr>
        <w:ind w:left="3792" w:hanging="420"/>
      </w:pPr>
      <w:rPr>
        <w:rFonts w:ascii="Times New Roman" w:hAnsi="Times New Roman" w:cs="Times New Roman" w:hint="default"/>
      </w:rPr>
    </w:lvl>
    <w:lvl w:ilvl="8">
      <w:start w:val="1"/>
      <w:numFmt w:val="lowerRoman"/>
      <w:lvlText w:val="%9."/>
      <w:lvlJc w:val="right"/>
      <w:pPr>
        <w:ind w:left="4212" w:hanging="420"/>
      </w:pPr>
      <w:rPr>
        <w:rFonts w:ascii="Times New Roman" w:hAnsi="Times New Roman" w:cs="Times New Roman" w:hint="default"/>
      </w:rPr>
    </w:lvl>
  </w:abstractNum>
  <w:abstractNum w:abstractNumId="3" w15:restartNumberingAfterBreak="0">
    <w:nsid w:val="789074F8"/>
    <w:multiLevelType w:val="multilevel"/>
    <w:tmpl w:val="30C0AE66"/>
    <w:lvl w:ilvl="0">
      <w:start w:val="1"/>
      <w:numFmt w:val="decimal"/>
      <w:lvlText w:val="%1."/>
      <w:lvlJc w:val="left"/>
      <w:pPr>
        <w:ind w:left="845" w:hanging="420"/>
      </w:pPr>
      <w:rPr>
        <w:rFonts w:ascii="Times New Roman" w:hAnsi="Times New Roman" w:cs="Times New Roman" w:hint="default"/>
      </w:rPr>
    </w:lvl>
    <w:lvl w:ilvl="1">
      <w:start w:val="3"/>
      <w:numFmt w:val="decimal"/>
      <w:isLgl/>
      <w:lvlText w:val="%1.%2"/>
      <w:lvlJc w:val="left"/>
      <w:pPr>
        <w:ind w:left="985" w:hanging="560"/>
      </w:pPr>
      <w:rPr>
        <w:rFonts w:ascii="Times New Roman" w:hAnsi="Times New Roman" w:cs="Times New Roman" w:hint="default"/>
      </w:rPr>
    </w:lvl>
    <w:lvl w:ilvl="2">
      <w:start w:val="1"/>
      <w:numFmt w:val="decimal"/>
      <w:isLgl/>
      <w:lvlText w:val="%1.%2.%3"/>
      <w:lvlJc w:val="left"/>
      <w:pPr>
        <w:ind w:left="1145" w:hanging="720"/>
      </w:pPr>
      <w:rPr>
        <w:rFonts w:ascii="Times New Roman" w:hAnsi="Times New Roman" w:cs="Times New Roman" w:hint="default"/>
      </w:rPr>
    </w:lvl>
    <w:lvl w:ilvl="3">
      <w:start w:val="1"/>
      <w:numFmt w:val="decimal"/>
      <w:isLgl/>
      <w:lvlText w:val="%1.%2.%3.%4"/>
      <w:lvlJc w:val="left"/>
      <w:pPr>
        <w:ind w:left="1145" w:hanging="720"/>
      </w:pPr>
      <w:rPr>
        <w:rFonts w:ascii="Times New Roman" w:hAnsi="Times New Roman" w:cs="Times New Roman" w:hint="default"/>
      </w:rPr>
    </w:lvl>
    <w:lvl w:ilvl="4">
      <w:start w:val="1"/>
      <w:numFmt w:val="decimal"/>
      <w:isLgl/>
      <w:lvlText w:val="%1.%2.%3.%4.%5"/>
      <w:lvlJc w:val="left"/>
      <w:pPr>
        <w:ind w:left="1505" w:hanging="1080"/>
      </w:pPr>
      <w:rPr>
        <w:rFonts w:ascii="Times New Roman" w:hAnsi="Times New Roman" w:cs="Times New Roman" w:hint="default"/>
      </w:rPr>
    </w:lvl>
    <w:lvl w:ilvl="5">
      <w:start w:val="1"/>
      <w:numFmt w:val="decimal"/>
      <w:isLgl/>
      <w:lvlText w:val="%1.%2.%3.%4.%5.%6"/>
      <w:lvlJc w:val="left"/>
      <w:pPr>
        <w:ind w:left="1505" w:hanging="1080"/>
      </w:pPr>
      <w:rPr>
        <w:rFonts w:ascii="Times New Roman" w:hAnsi="Times New Roman" w:cs="Times New Roman" w:hint="default"/>
      </w:rPr>
    </w:lvl>
    <w:lvl w:ilvl="6">
      <w:start w:val="1"/>
      <w:numFmt w:val="decimal"/>
      <w:isLgl/>
      <w:lvlText w:val="%1.%2.%3.%4.%5.%6.%7"/>
      <w:lvlJc w:val="left"/>
      <w:pPr>
        <w:ind w:left="1505" w:hanging="1080"/>
      </w:pPr>
      <w:rPr>
        <w:rFonts w:ascii="Times New Roman" w:hAnsi="Times New Roman" w:cs="Times New Roman" w:hint="default"/>
      </w:rPr>
    </w:lvl>
    <w:lvl w:ilvl="7">
      <w:start w:val="1"/>
      <w:numFmt w:val="decimal"/>
      <w:isLgl/>
      <w:lvlText w:val="%1.%2.%3.%4.%5.%6.%7.%8"/>
      <w:lvlJc w:val="left"/>
      <w:pPr>
        <w:ind w:left="1865" w:hanging="1440"/>
      </w:pPr>
      <w:rPr>
        <w:rFonts w:ascii="Times New Roman" w:hAnsi="Times New Roman" w:cs="Times New Roman" w:hint="default"/>
      </w:rPr>
    </w:lvl>
    <w:lvl w:ilvl="8">
      <w:start w:val="1"/>
      <w:numFmt w:val="decimal"/>
      <w:isLgl/>
      <w:lvlText w:val="%1.%2.%3.%4.%5.%6.%7.%8.%9"/>
      <w:lvlJc w:val="left"/>
      <w:pPr>
        <w:ind w:left="1865" w:hanging="1440"/>
      </w:pPr>
      <w:rPr>
        <w:rFonts w:ascii="Times New Roman" w:hAnsi="Times New Roman" w:cs="Times New Roman" w:hint="default"/>
      </w:rPr>
    </w:lvl>
  </w:abstractNum>
  <w:num w:numId="1" w16cid:durableId="1825973871">
    <w:abstractNumId w:val="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8712616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138619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6212258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bordersDoNotSurroundHeader/>
  <w:bordersDoNotSurroundFooter/>
  <w:doNotTrackFormatting/>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068"/>
    <w:rsid w:val="00031389"/>
    <w:rsid w:val="0005562C"/>
    <w:rsid w:val="000953A2"/>
    <w:rsid w:val="000A66D1"/>
    <w:rsid w:val="00103A70"/>
    <w:rsid w:val="0011142F"/>
    <w:rsid w:val="00116EE1"/>
    <w:rsid w:val="001315FB"/>
    <w:rsid w:val="00151527"/>
    <w:rsid w:val="00164AA6"/>
    <w:rsid w:val="00182F25"/>
    <w:rsid w:val="0018799D"/>
    <w:rsid w:val="001A11D3"/>
    <w:rsid w:val="001A5DBF"/>
    <w:rsid w:val="001C6D79"/>
    <w:rsid w:val="001D6521"/>
    <w:rsid w:val="001F36D3"/>
    <w:rsid w:val="00211234"/>
    <w:rsid w:val="0023382E"/>
    <w:rsid w:val="00242B78"/>
    <w:rsid w:val="00267B34"/>
    <w:rsid w:val="00284A53"/>
    <w:rsid w:val="0028755B"/>
    <w:rsid w:val="002D364E"/>
    <w:rsid w:val="00313B59"/>
    <w:rsid w:val="00314BEB"/>
    <w:rsid w:val="00381054"/>
    <w:rsid w:val="003811AA"/>
    <w:rsid w:val="003D35E3"/>
    <w:rsid w:val="003E35DD"/>
    <w:rsid w:val="00416AC9"/>
    <w:rsid w:val="00450F17"/>
    <w:rsid w:val="00461408"/>
    <w:rsid w:val="00475931"/>
    <w:rsid w:val="004B35D7"/>
    <w:rsid w:val="004F5BFA"/>
    <w:rsid w:val="004F7C0C"/>
    <w:rsid w:val="00571A4E"/>
    <w:rsid w:val="005B7033"/>
    <w:rsid w:val="005C47B0"/>
    <w:rsid w:val="005D24B6"/>
    <w:rsid w:val="005D4629"/>
    <w:rsid w:val="005D504F"/>
    <w:rsid w:val="00616473"/>
    <w:rsid w:val="006238F5"/>
    <w:rsid w:val="0064602E"/>
    <w:rsid w:val="00647B42"/>
    <w:rsid w:val="0065785A"/>
    <w:rsid w:val="006C7AC1"/>
    <w:rsid w:val="006E01F4"/>
    <w:rsid w:val="006E2573"/>
    <w:rsid w:val="007075C8"/>
    <w:rsid w:val="00715CCD"/>
    <w:rsid w:val="00721DC3"/>
    <w:rsid w:val="00733495"/>
    <w:rsid w:val="00741C92"/>
    <w:rsid w:val="0078740D"/>
    <w:rsid w:val="007A44B4"/>
    <w:rsid w:val="007C0F60"/>
    <w:rsid w:val="007C1381"/>
    <w:rsid w:val="007E0191"/>
    <w:rsid w:val="007E4407"/>
    <w:rsid w:val="007E5A90"/>
    <w:rsid w:val="007E7319"/>
    <w:rsid w:val="008060A3"/>
    <w:rsid w:val="0082089C"/>
    <w:rsid w:val="00831B37"/>
    <w:rsid w:val="00840742"/>
    <w:rsid w:val="0086329B"/>
    <w:rsid w:val="008836E0"/>
    <w:rsid w:val="0089579E"/>
    <w:rsid w:val="008B04F5"/>
    <w:rsid w:val="008B6E3C"/>
    <w:rsid w:val="008C0DD3"/>
    <w:rsid w:val="008E2FA4"/>
    <w:rsid w:val="008F2150"/>
    <w:rsid w:val="00906B58"/>
    <w:rsid w:val="00950067"/>
    <w:rsid w:val="00956C8B"/>
    <w:rsid w:val="0096647B"/>
    <w:rsid w:val="00981F97"/>
    <w:rsid w:val="009B5E49"/>
    <w:rsid w:val="009D06DC"/>
    <w:rsid w:val="009E57C3"/>
    <w:rsid w:val="009E70D1"/>
    <w:rsid w:val="009F702E"/>
    <w:rsid w:val="00A0278B"/>
    <w:rsid w:val="00A22121"/>
    <w:rsid w:val="00A27148"/>
    <w:rsid w:val="00A40972"/>
    <w:rsid w:val="00A52640"/>
    <w:rsid w:val="00A87E01"/>
    <w:rsid w:val="00A9177A"/>
    <w:rsid w:val="00AB3808"/>
    <w:rsid w:val="00B130DF"/>
    <w:rsid w:val="00B36921"/>
    <w:rsid w:val="00B43668"/>
    <w:rsid w:val="00B44CB1"/>
    <w:rsid w:val="00B630D3"/>
    <w:rsid w:val="00B74015"/>
    <w:rsid w:val="00BB7930"/>
    <w:rsid w:val="00BE6522"/>
    <w:rsid w:val="00BF5F96"/>
    <w:rsid w:val="00C0301C"/>
    <w:rsid w:val="00C22D6C"/>
    <w:rsid w:val="00C35452"/>
    <w:rsid w:val="00CB5D5A"/>
    <w:rsid w:val="00D05F49"/>
    <w:rsid w:val="00D35C98"/>
    <w:rsid w:val="00D371B8"/>
    <w:rsid w:val="00D569D5"/>
    <w:rsid w:val="00D62A24"/>
    <w:rsid w:val="00D64130"/>
    <w:rsid w:val="00D913F4"/>
    <w:rsid w:val="00D918E8"/>
    <w:rsid w:val="00DC1E19"/>
    <w:rsid w:val="00DC3B6D"/>
    <w:rsid w:val="00E11337"/>
    <w:rsid w:val="00E46F9B"/>
    <w:rsid w:val="00E472CB"/>
    <w:rsid w:val="00E50030"/>
    <w:rsid w:val="00EF7068"/>
    <w:rsid w:val="00F055A5"/>
    <w:rsid w:val="00F20708"/>
    <w:rsid w:val="00F32631"/>
    <w:rsid w:val="00F531BE"/>
    <w:rsid w:val="00F672B3"/>
    <w:rsid w:val="00FC5934"/>
    <w:rsid w:val="00FE11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C4EFB7"/>
  <w15:chartTrackingRefBased/>
  <w15:docId w15:val="{A2346FAD-21B8-194A-811F-D2D5A6342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522"/>
    <w:pPr>
      <w:widowControl w:val="0"/>
      <w:jc w:val="both"/>
    </w:pPr>
    <w:rPr>
      <w:rFonts w:ascii="Times New Roman" w:eastAsia="SimSun" w:hAnsi="Times New Roman" w:cs="Times New Roman"/>
      <w:szCs w:val="21"/>
    </w:rPr>
  </w:style>
  <w:style w:type="paragraph" w:styleId="Heading1">
    <w:name w:val="heading 1"/>
    <w:basedOn w:val="Normal"/>
    <w:next w:val="Normal"/>
    <w:link w:val="Heading1Char"/>
    <w:uiPriority w:val="99"/>
    <w:qFormat/>
    <w:rsid w:val="00BE6522"/>
    <w:pPr>
      <w:keepNext/>
      <w:keepLines/>
      <w:spacing w:before="340" w:after="330" w:line="576" w:lineRule="auto"/>
      <w:outlineLvl w:val="0"/>
    </w:pPr>
    <w:rPr>
      <w:rFonts w:eastAsia="SimHei"/>
      <w:b/>
      <w:bCs/>
      <w:kern w:val="4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E6522"/>
    <w:rPr>
      <w:rFonts w:ascii="Times New Roman" w:eastAsia="SimHei" w:hAnsi="Times New Roman" w:cs="Times New Roman"/>
      <w:b/>
      <w:bCs/>
      <w:kern w:val="44"/>
      <w:sz w:val="32"/>
      <w:szCs w:val="32"/>
    </w:rPr>
  </w:style>
  <w:style w:type="paragraph" w:customStyle="1" w:styleId="1">
    <w:name w:val="列表段落1"/>
    <w:basedOn w:val="Normal"/>
    <w:rsid w:val="00BE6522"/>
    <w:pPr>
      <w:ind w:firstLineChars="200" w:firstLine="420"/>
    </w:pPr>
  </w:style>
  <w:style w:type="paragraph" w:styleId="NormalWeb">
    <w:name w:val="Normal (Web)"/>
    <w:basedOn w:val="Normal"/>
    <w:uiPriority w:val="99"/>
    <w:semiHidden/>
    <w:unhideWhenUsed/>
    <w:rsid w:val="00151527"/>
    <w:pPr>
      <w:widowControl/>
      <w:spacing w:before="100" w:beforeAutospacing="1" w:after="100" w:afterAutospacing="1"/>
      <w:jc w:val="left"/>
    </w:pPr>
    <w:rPr>
      <w:rFonts w:ascii="SimSun" w:hAnsi="SimSun" w:cs="SimSun"/>
      <w:kern w:val="0"/>
      <w:sz w:val="24"/>
      <w:szCs w:val="24"/>
    </w:rPr>
  </w:style>
  <w:style w:type="table" w:styleId="ListTable6Colorful">
    <w:name w:val="List Table 6 Colorful"/>
    <w:basedOn w:val="TableNormal"/>
    <w:uiPriority w:val="51"/>
    <w:rsid w:val="00416AC9"/>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uthorsFull">
    <w:name w:val="Authors Full"/>
    <w:basedOn w:val="Normal"/>
    <w:rsid w:val="00F20708"/>
    <w:pPr>
      <w:widowControl/>
      <w:jc w:val="left"/>
    </w:pPr>
    <w:rPr>
      <w:rFonts w:eastAsia="MS Mincho"/>
      <w:i/>
      <w:kern w:val="0"/>
      <w:sz w:val="24"/>
      <w:szCs w:val="24"/>
      <w:lang w:eastAsia="ja-JP"/>
    </w:rPr>
  </w:style>
  <w:style w:type="paragraph" w:customStyle="1" w:styleId="Tableofcontents">
    <w:name w:val="Table of contents"/>
    <w:basedOn w:val="Normal"/>
    <w:autoRedefine/>
    <w:rsid w:val="007075C8"/>
    <w:pPr>
      <w:widowControl/>
      <w:spacing w:line="360" w:lineRule="auto"/>
      <w:jc w:val="left"/>
    </w:pPr>
    <w:rPr>
      <w:rFonts w:eastAsia="MS Mincho"/>
      <w:iCs/>
      <w:kern w:val="0"/>
      <w:sz w:val="24"/>
      <w:szCs w:val="24"/>
      <w:lang w:eastAsia="ja-JP"/>
    </w:rPr>
  </w:style>
  <w:style w:type="paragraph" w:customStyle="1" w:styleId="Title2">
    <w:name w:val="Title2"/>
    <w:basedOn w:val="Normal"/>
    <w:rsid w:val="00F20708"/>
    <w:pPr>
      <w:widowControl/>
      <w:jc w:val="left"/>
    </w:pPr>
    <w:rPr>
      <w:rFonts w:eastAsia="MS Mincho"/>
      <w:b/>
      <w:kern w:val="0"/>
      <w:sz w:val="24"/>
      <w:szCs w:val="24"/>
      <w:lang w:eastAsia="ja-JP"/>
    </w:rPr>
  </w:style>
  <w:style w:type="paragraph" w:customStyle="1" w:styleId="Maintext">
    <w:name w:val="Main text"/>
    <w:basedOn w:val="Normal"/>
    <w:link w:val="MaintextChar"/>
    <w:autoRedefine/>
    <w:rsid w:val="00F20708"/>
    <w:pPr>
      <w:widowControl/>
      <w:spacing w:line="480" w:lineRule="auto"/>
      <w:jc w:val="left"/>
    </w:pPr>
    <w:rPr>
      <w:rFonts w:eastAsia="MS Mincho"/>
      <w:kern w:val="0"/>
      <w:sz w:val="24"/>
      <w:szCs w:val="24"/>
      <w:lang w:eastAsia="ja-JP"/>
    </w:rPr>
  </w:style>
  <w:style w:type="character" w:customStyle="1" w:styleId="MaintextChar">
    <w:name w:val="Main text Char"/>
    <w:link w:val="Maintext"/>
    <w:rsid w:val="00F20708"/>
    <w:rPr>
      <w:rFonts w:ascii="Times New Roman" w:eastAsia="MS Mincho" w:hAnsi="Times New Roman" w:cs="Times New Roman"/>
      <w:kern w:val="0"/>
      <w:sz w:val="24"/>
      <w:lang w:eastAsia="ja-JP"/>
    </w:rPr>
  </w:style>
  <w:style w:type="character" w:styleId="CommentReference">
    <w:name w:val="annotation reference"/>
    <w:basedOn w:val="DefaultParagraphFont"/>
    <w:uiPriority w:val="99"/>
    <w:semiHidden/>
    <w:unhideWhenUsed/>
    <w:rsid w:val="00D05F49"/>
    <w:rPr>
      <w:sz w:val="16"/>
      <w:szCs w:val="16"/>
    </w:rPr>
  </w:style>
  <w:style w:type="paragraph" w:styleId="CommentText">
    <w:name w:val="annotation text"/>
    <w:basedOn w:val="Normal"/>
    <w:link w:val="CommentTextChar"/>
    <w:uiPriority w:val="99"/>
    <w:unhideWhenUsed/>
    <w:rsid w:val="00D05F49"/>
    <w:rPr>
      <w:sz w:val="20"/>
      <w:szCs w:val="20"/>
    </w:rPr>
  </w:style>
  <w:style w:type="character" w:customStyle="1" w:styleId="CommentTextChar">
    <w:name w:val="Comment Text Char"/>
    <w:basedOn w:val="DefaultParagraphFont"/>
    <w:link w:val="CommentText"/>
    <w:uiPriority w:val="99"/>
    <w:rsid w:val="00D05F49"/>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05F49"/>
    <w:rPr>
      <w:b/>
      <w:bCs/>
    </w:rPr>
  </w:style>
  <w:style w:type="character" w:customStyle="1" w:styleId="CommentSubjectChar">
    <w:name w:val="Comment Subject Char"/>
    <w:basedOn w:val="CommentTextChar"/>
    <w:link w:val="CommentSubject"/>
    <w:uiPriority w:val="99"/>
    <w:semiHidden/>
    <w:rsid w:val="00D05F49"/>
    <w:rPr>
      <w:rFonts w:ascii="Times New Roman" w:eastAsia="SimSun" w:hAnsi="Times New Roman" w:cs="Times New Roman"/>
      <w:b/>
      <w:bCs/>
      <w:sz w:val="20"/>
      <w:szCs w:val="20"/>
    </w:rPr>
  </w:style>
  <w:style w:type="paragraph" w:styleId="Footer">
    <w:name w:val="footer"/>
    <w:basedOn w:val="Normal"/>
    <w:link w:val="FooterChar"/>
    <w:uiPriority w:val="99"/>
    <w:unhideWhenUsed/>
    <w:rsid w:val="00D05F49"/>
    <w:pPr>
      <w:tabs>
        <w:tab w:val="center" w:pos="4513"/>
        <w:tab w:val="right" w:pos="9026"/>
      </w:tabs>
    </w:pPr>
  </w:style>
  <w:style w:type="character" w:customStyle="1" w:styleId="FooterChar">
    <w:name w:val="Footer Char"/>
    <w:basedOn w:val="DefaultParagraphFont"/>
    <w:link w:val="Footer"/>
    <w:uiPriority w:val="99"/>
    <w:rsid w:val="00D05F49"/>
    <w:rPr>
      <w:rFonts w:ascii="Times New Roman" w:eastAsia="SimSun" w:hAnsi="Times New Roman" w:cs="Times New Roman"/>
      <w:szCs w:val="21"/>
    </w:rPr>
  </w:style>
  <w:style w:type="paragraph" w:styleId="Revision">
    <w:name w:val="Revision"/>
    <w:hidden/>
    <w:uiPriority w:val="99"/>
    <w:semiHidden/>
    <w:rsid w:val="00314BEB"/>
    <w:rPr>
      <w:rFonts w:ascii="Times New Roman" w:eastAsia="SimSun" w:hAnsi="Times New Roman" w:cs="Times New Roman"/>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4521824">
      <w:bodyDiv w:val="1"/>
      <w:marLeft w:val="0"/>
      <w:marRight w:val="0"/>
      <w:marTop w:val="0"/>
      <w:marBottom w:val="0"/>
      <w:divBdr>
        <w:top w:val="none" w:sz="0" w:space="0" w:color="auto"/>
        <w:left w:val="none" w:sz="0" w:space="0" w:color="auto"/>
        <w:bottom w:val="none" w:sz="0" w:space="0" w:color="auto"/>
        <w:right w:val="none" w:sz="0" w:space="0" w:color="auto"/>
      </w:divBdr>
    </w:div>
    <w:div w:id="324282267">
      <w:bodyDiv w:val="1"/>
      <w:marLeft w:val="0"/>
      <w:marRight w:val="0"/>
      <w:marTop w:val="0"/>
      <w:marBottom w:val="0"/>
      <w:divBdr>
        <w:top w:val="none" w:sz="0" w:space="0" w:color="auto"/>
        <w:left w:val="none" w:sz="0" w:space="0" w:color="auto"/>
        <w:bottom w:val="none" w:sz="0" w:space="0" w:color="auto"/>
        <w:right w:val="none" w:sz="0" w:space="0" w:color="auto"/>
      </w:divBdr>
    </w:div>
    <w:div w:id="1573276366">
      <w:bodyDiv w:val="1"/>
      <w:marLeft w:val="0"/>
      <w:marRight w:val="0"/>
      <w:marTop w:val="0"/>
      <w:marBottom w:val="0"/>
      <w:divBdr>
        <w:top w:val="none" w:sz="0" w:space="0" w:color="auto"/>
        <w:left w:val="none" w:sz="0" w:space="0" w:color="auto"/>
        <w:bottom w:val="none" w:sz="0" w:space="0" w:color="auto"/>
        <w:right w:val="none" w:sz="0" w:space="0" w:color="auto"/>
      </w:divBdr>
    </w:div>
    <w:div w:id="1709794281">
      <w:bodyDiv w:val="1"/>
      <w:marLeft w:val="0"/>
      <w:marRight w:val="0"/>
      <w:marTop w:val="0"/>
      <w:marBottom w:val="0"/>
      <w:divBdr>
        <w:top w:val="none" w:sz="0" w:space="0" w:color="auto"/>
        <w:left w:val="none" w:sz="0" w:space="0" w:color="auto"/>
        <w:bottom w:val="none" w:sz="0" w:space="0" w:color="auto"/>
        <w:right w:val="none" w:sz="0" w:space="0" w:color="auto"/>
      </w:divBdr>
    </w:div>
    <w:div w:id="1756827071">
      <w:bodyDiv w:val="1"/>
      <w:marLeft w:val="0"/>
      <w:marRight w:val="0"/>
      <w:marTop w:val="0"/>
      <w:marBottom w:val="0"/>
      <w:divBdr>
        <w:top w:val="none" w:sz="0" w:space="0" w:color="auto"/>
        <w:left w:val="none" w:sz="0" w:space="0" w:color="auto"/>
        <w:bottom w:val="none" w:sz="0" w:space="0" w:color="auto"/>
        <w:right w:val="none" w:sz="0" w:space="0" w:color="auto"/>
      </w:divBdr>
    </w:div>
    <w:div w:id="1838425725">
      <w:bodyDiv w:val="1"/>
      <w:marLeft w:val="0"/>
      <w:marRight w:val="0"/>
      <w:marTop w:val="0"/>
      <w:marBottom w:val="0"/>
      <w:divBdr>
        <w:top w:val="none" w:sz="0" w:space="0" w:color="auto"/>
        <w:left w:val="none" w:sz="0" w:space="0" w:color="auto"/>
        <w:bottom w:val="none" w:sz="0" w:space="0" w:color="auto"/>
        <w:right w:val="none" w:sz="0" w:space="0" w:color="auto"/>
      </w:divBdr>
    </w:div>
    <w:div w:id="1888449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818</Words>
  <Characters>4664</Characters>
  <Application>Microsoft Office Word</Application>
  <DocSecurity>0</DocSecurity>
  <Lines>38</Lines>
  <Paragraphs>10</Paragraphs>
  <ScaleCrop>false</ScaleCrop>
  <Company/>
  <LinksUpToDate>false</LinksUpToDate>
  <CharactersWithSpaces>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dc:creator>
  <cp:keywords/>
  <dc:description/>
  <cp:lastModifiedBy>Capes, Imogen</cp:lastModifiedBy>
  <cp:revision>2</cp:revision>
  <dcterms:created xsi:type="dcterms:W3CDTF">2025-01-07T19:47:00Z</dcterms:created>
  <dcterms:modified xsi:type="dcterms:W3CDTF">2025-01-07T19:47:00Z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11535f95,69861612,cfffb6</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2025-01-07T02:50:11Z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f5f4df03-94e0-4cf2-858a-d95bfae0f0ef</vt:lpwstr>
  </property>
  <property fmtid="{D5CDD505-2E9C-101B-9397-08002B2CF9AE}" pid="11" name="MSIP_Label_2bbab825-a111-45e4-86a1-18cee0005896_ContentBits">
    <vt:lpwstr>2</vt:lpwstr>
  </property>
</Properties>
</file>