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05FA9" w:rsidRPr="00185691" w:rsidRDefault="00605FA9" w:rsidP="00185691">
      <w:pPr>
        <w:spacing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185691">
        <w:rPr>
          <w:rFonts w:ascii="Times New Roman" w:hAnsi="Times New Roman" w:cs="Times New Roman"/>
          <w:b/>
          <w:color w:val="000000" w:themeColor="text1"/>
          <w:kern w:val="0"/>
          <w:sz w:val="22"/>
          <w:szCs w:val="22"/>
        </w:rPr>
        <w:t>Supplementary files</w:t>
      </w:r>
    </w:p>
    <w:p w:rsidR="00605FA9" w:rsidRPr="00185691" w:rsidRDefault="00D81B44" w:rsidP="00185691">
      <w:pPr>
        <w:spacing w:line="480" w:lineRule="auto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 w:rsidRPr="00185691">
        <w:rPr>
          <w:rStyle w:val="highlight"/>
          <w:rFonts w:ascii="Times New Roman" w:hAnsi="Times New Roman" w:cs="Times New Roman"/>
          <w:b/>
          <w:bCs/>
          <w:sz w:val="22"/>
          <w:szCs w:val="22"/>
        </w:rPr>
        <w:t xml:space="preserve">Increment of Skeletal Muscle Mass Predicts Survival Benefit for Hepatocellular Carcinoma Treated with </w:t>
      </w:r>
      <w:proofErr w:type="spellStart"/>
      <w:r w:rsidRPr="00185691">
        <w:rPr>
          <w:rStyle w:val="highlight"/>
          <w:rFonts w:ascii="Times New Roman" w:hAnsi="Times New Roman" w:cs="Times New Roman"/>
          <w:b/>
          <w:bCs/>
          <w:sz w:val="22"/>
          <w:szCs w:val="22"/>
        </w:rPr>
        <w:t>Transarterial</w:t>
      </w:r>
      <w:proofErr w:type="spellEnd"/>
      <w:r w:rsidRPr="00185691">
        <w:rPr>
          <w:rStyle w:val="highlight"/>
          <w:rFonts w:ascii="Times New Roman" w:hAnsi="Times New Roman" w:cs="Times New Roman"/>
          <w:b/>
          <w:bCs/>
          <w:sz w:val="22"/>
          <w:szCs w:val="22"/>
        </w:rPr>
        <w:t xml:space="preserve"> Chemoembolization Combining Molecular Targeted Agents and Immune Checkpoint Inhibitors</w:t>
      </w:r>
    </w:p>
    <w:p w:rsidR="00D81B44" w:rsidRPr="00185691" w:rsidRDefault="003C5991" w:rsidP="00185691">
      <w:pPr>
        <w:spacing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185691">
        <w:rPr>
          <w:rFonts w:ascii="Times New Roman" w:hAnsi="Times New Roman" w:cs="Times New Roman"/>
          <w:b/>
          <w:color w:val="000000" w:themeColor="text1"/>
          <w:kern w:val="0"/>
          <w:sz w:val="22"/>
          <w:szCs w:val="22"/>
        </w:rPr>
        <w:br w:type="page"/>
      </w:r>
      <w:r w:rsidR="00D81B44" w:rsidRPr="00185691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Supplementary Table 1. </w:t>
      </w:r>
      <w:r w:rsidR="00D81B44" w:rsidRPr="00185691">
        <w:rPr>
          <w:rFonts w:ascii="Times New Roman" w:hAnsi="Times New Roman" w:cs="Times New Roman"/>
          <w:sz w:val="22"/>
          <w:szCs w:val="22"/>
        </w:rPr>
        <w:t xml:space="preserve">Predictive Factor Analysis for Overall Survival in muscle </w:t>
      </w:r>
      <w:proofErr w:type="spellStart"/>
      <w:r w:rsidR="00D81B44" w:rsidRPr="00185691">
        <w:rPr>
          <w:rFonts w:ascii="Times New Roman" w:hAnsi="Times New Roman" w:cs="Times New Roman"/>
          <w:sz w:val="22"/>
          <w:szCs w:val="22"/>
        </w:rPr>
        <w:t>maintian</w:t>
      </w:r>
      <w:proofErr w:type="spellEnd"/>
      <w:r w:rsidR="00D81B44" w:rsidRPr="00185691">
        <w:rPr>
          <w:rFonts w:ascii="Times New Roman" w:hAnsi="Times New Roman" w:cs="Times New Roman"/>
          <w:sz w:val="22"/>
          <w:szCs w:val="22"/>
        </w:rPr>
        <w:t xml:space="preserve"> group and muscle down group.</w:t>
      </w:r>
    </w:p>
    <w:tbl>
      <w:tblPr>
        <w:tblStyle w:val="a6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851"/>
        <w:gridCol w:w="1843"/>
        <w:gridCol w:w="1134"/>
      </w:tblGrid>
      <w:tr w:rsidR="00D81B44" w:rsidRPr="00185691" w:rsidTr="00B47243">
        <w:trPr>
          <w:trHeight w:val="397"/>
        </w:trPr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Variables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Univariate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Multivariate</w:t>
            </w:r>
          </w:p>
        </w:tc>
      </w:tr>
      <w:tr w:rsidR="00D81B44" w:rsidRPr="00185691" w:rsidTr="00B47243">
        <w:trPr>
          <w:trHeight w:val="331"/>
        </w:trPr>
        <w:tc>
          <w:tcPr>
            <w:tcW w:w="2127" w:type="dxa"/>
            <w:vMerge/>
            <w:tcBorders>
              <w:bottom w:val="single" w:sz="6" w:space="0" w:color="auto"/>
            </w:tcBorders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HR (95% CI)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HR (95% CI)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</w:p>
        </w:tc>
      </w:tr>
      <w:tr w:rsidR="00D81B44" w:rsidRPr="00185691" w:rsidTr="00B47243">
        <w:trPr>
          <w:trHeight w:val="397"/>
        </w:trPr>
        <w:tc>
          <w:tcPr>
            <w:tcW w:w="2127" w:type="dxa"/>
            <w:tcBorders>
              <w:top w:val="single" w:sz="6" w:space="0" w:color="auto"/>
            </w:tcBorders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Age</w:t>
            </w:r>
          </w:p>
        </w:tc>
        <w:tc>
          <w:tcPr>
            <w:tcW w:w="2409" w:type="dxa"/>
            <w:tcBorders>
              <w:top w:val="single" w:sz="6" w:space="0" w:color="auto"/>
            </w:tcBorders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1.00 (0.97–1.03)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0.910</w:t>
            </w:r>
          </w:p>
        </w:tc>
        <w:tc>
          <w:tcPr>
            <w:tcW w:w="1843" w:type="dxa"/>
            <w:tcBorders>
              <w:top w:val="single" w:sz="6" w:space="0" w:color="auto"/>
            </w:tcBorders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81B44" w:rsidRPr="00185691" w:rsidTr="00B47243">
        <w:trPr>
          <w:trHeight w:val="397"/>
        </w:trPr>
        <w:tc>
          <w:tcPr>
            <w:tcW w:w="2127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BCLC (C)</w:t>
            </w:r>
          </w:p>
        </w:tc>
        <w:tc>
          <w:tcPr>
            <w:tcW w:w="2409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1.86 (0.96–3.59)</w:t>
            </w:r>
          </w:p>
        </w:tc>
        <w:tc>
          <w:tcPr>
            <w:tcW w:w="851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0.066</w:t>
            </w:r>
          </w:p>
        </w:tc>
        <w:tc>
          <w:tcPr>
            <w:tcW w:w="1843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1.52 (0.78–2.97)</w:t>
            </w:r>
          </w:p>
        </w:tc>
        <w:tc>
          <w:tcPr>
            <w:tcW w:w="1134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0.218</w:t>
            </w:r>
          </w:p>
        </w:tc>
      </w:tr>
      <w:tr w:rsidR="00D81B44" w:rsidRPr="00185691" w:rsidTr="00B47243">
        <w:trPr>
          <w:trHeight w:val="397"/>
        </w:trPr>
        <w:tc>
          <w:tcPr>
            <w:tcW w:w="2127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Child-Pugh Class (B)</w:t>
            </w:r>
          </w:p>
        </w:tc>
        <w:tc>
          <w:tcPr>
            <w:tcW w:w="2409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1.61 (0.73–3.58)</w:t>
            </w:r>
          </w:p>
        </w:tc>
        <w:tc>
          <w:tcPr>
            <w:tcW w:w="851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0.240</w:t>
            </w:r>
          </w:p>
        </w:tc>
        <w:tc>
          <w:tcPr>
            <w:tcW w:w="1843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81B44" w:rsidRPr="00185691" w:rsidTr="00B47243">
        <w:trPr>
          <w:trHeight w:val="397"/>
        </w:trPr>
        <w:tc>
          <w:tcPr>
            <w:tcW w:w="2127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ECOG score (1)</w:t>
            </w:r>
          </w:p>
        </w:tc>
        <w:tc>
          <w:tcPr>
            <w:tcW w:w="2409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1.24 (0.65–2.38)</w:t>
            </w:r>
          </w:p>
        </w:tc>
        <w:tc>
          <w:tcPr>
            <w:tcW w:w="851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0.517</w:t>
            </w:r>
          </w:p>
        </w:tc>
        <w:tc>
          <w:tcPr>
            <w:tcW w:w="1843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81B44" w:rsidRPr="00185691" w:rsidTr="00B47243">
        <w:trPr>
          <w:trHeight w:val="397"/>
        </w:trPr>
        <w:tc>
          <w:tcPr>
            <w:tcW w:w="2127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AFP (</w:t>
            </w: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≥</w:t>
            </w: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400 ng/ml)</w:t>
            </w:r>
          </w:p>
        </w:tc>
        <w:tc>
          <w:tcPr>
            <w:tcW w:w="2409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1.74 (0.89–3.41)</w:t>
            </w:r>
          </w:p>
        </w:tc>
        <w:tc>
          <w:tcPr>
            <w:tcW w:w="851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0.105</w:t>
            </w:r>
          </w:p>
        </w:tc>
        <w:tc>
          <w:tcPr>
            <w:tcW w:w="1843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81B44" w:rsidRPr="00185691" w:rsidTr="00B47243">
        <w:trPr>
          <w:trHeight w:val="397"/>
        </w:trPr>
        <w:tc>
          <w:tcPr>
            <w:tcW w:w="2127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Albumin</w:t>
            </w:r>
          </w:p>
        </w:tc>
        <w:tc>
          <w:tcPr>
            <w:tcW w:w="2409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0.98 (0.92–1.04)</w:t>
            </w:r>
          </w:p>
        </w:tc>
        <w:tc>
          <w:tcPr>
            <w:tcW w:w="851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0.516</w:t>
            </w:r>
          </w:p>
        </w:tc>
        <w:tc>
          <w:tcPr>
            <w:tcW w:w="1843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81B44" w:rsidRPr="00185691" w:rsidTr="00B47243">
        <w:trPr>
          <w:trHeight w:val="397"/>
        </w:trPr>
        <w:tc>
          <w:tcPr>
            <w:tcW w:w="2127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SMI</w:t>
            </w:r>
          </w:p>
        </w:tc>
        <w:tc>
          <w:tcPr>
            <w:tcW w:w="2409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 (0.95–1.03)</w:t>
            </w:r>
          </w:p>
        </w:tc>
        <w:tc>
          <w:tcPr>
            <w:tcW w:w="851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0.466</w:t>
            </w:r>
          </w:p>
        </w:tc>
        <w:tc>
          <w:tcPr>
            <w:tcW w:w="1843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81B44" w:rsidRPr="00185691" w:rsidTr="00B47243">
        <w:trPr>
          <w:trHeight w:val="397"/>
        </w:trPr>
        <w:tc>
          <w:tcPr>
            <w:tcW w:w="2127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SFA</w:t>
            </w:r>
          </w:p>
        </w:tc>
        <w:tc>
          <w:tcPr>
            <w:tcW w:w="2409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 (0.96–1.00)</w:t>
            </w:r>
          </w:p>
        </w:tc>
        <w:tc>
          <w:tcPr>
            <w:tcW w:w="851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0.098</w:t>
            </w:r>
          </w:p>
        </w:tc>
        <w:tc>
          <w:tcPr>
            <w:tcW w:w="1843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0.99 (0.99–1.00)</w:t>
            </w:r>
          </w:p>
        </w:tc>
        <w:tc>
          <w:tcPr>
            <w:tcW w:w="1134" w:type="dxa"/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0.019</w:t>
            </w:r>
          </w:p>
        </w:tc>
      </w:tr>
      <w:tr w:rsidR="00D81B44" w:rsidRPr="00185691" w:rsidTr="00B47243">
        <w:trPr>
          <w:trHeight w:val="397"/>
        </w:trPr>
        <w:tc>
          <w:tcPr>
            <w:tcW w:w="2127" w:type="dxa"/>
            <w:tcBorders>
              <w:bottom w:val="single" w:sz="12" w:space="0" w:color="auto"/>
            </w:tcBorders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0" w:name="_Hlk149573339"/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Muscle </w:t>
            </w:r>
            <w:proofErr w:type="gramStart"/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maintain</w:t>
            </w:r>
            <w:proofErr w:type="gramEnd"/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0.42 (0.21–0.82)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1" w:name="_Hlk149573368"/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0.31 (0.14–0.66)</w:t>
            </w:r>
            <w:bookmarkEnd w:id="1"/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81B44" w:rsidRPr="00185691" w:rsidRDefault="00D81B44" w:rsidP="00185691">
            <w:pPr>
              <w:pStyle w:val="a7"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</w:tr>
    </w:tbl>
    <w:bookmarkEnd w:id="0"/>
    <w:p w:rsidR="00D81B44" w:rsidRPr="00185691" w:rsidRDefault="00D81B44" w:rsidP="00185691">
      <w:pPr>
        <w:spacing w:line="480" w:lineRule="auto"/>
        <w:jc w:val="left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185691">
        <w:rPr>
          <w:rStyle w:val="highlight"/>
          <w:rFonts w:ascii="Times New Roman" w:eastAsia="宋体" w:hAnsi="Times New Roman" w:cs="Times New Roman"/>
          <w:b/>
          <w:bCs/>
          <w:kern w:val="0"/>
          <w:sz w:val="22"/>
          <w:szCs w:val="22"/>
        </w:rPr>
        <w:t>Abbreviations</w:t>
      </w:r>
      <w:r w:rsidRPr="00185691">
        <w:rPr>
          <w:rStyle w:val="highlight"/>
          <w:rFonts w:ascii="Times New Roman" w:eastAsia="宋体" w:hAnsi="Times New Roman" w:cs="Times New Roman"/>
          <w:kern w:val="0"/>
          <w:sz w:val="22"/>
          <w:szCs w:val="22"/>
        </w:rPr>
        <w:t>:</w:t>
      </w:r>
      <w:r w:rsidRPr="00185691">
        <w:rPr>
          <w:rFonts w:ascii="Times New Roman" w:eastAsia="宋体" w:hAnsi="Times New Roman" w:cs="Times New Roman"/>
          <w:kern w:val="0"/>
          <w:sz w:val="22"/>
          <w:szCs w:val="22"/>
        </w:rPr>
        <w:t xml:space="preserve"> </w:t>
      </w:r>
      <w:r w:rsidRPr="00185691">
        <w:rPr>
          <w:rStyle w:val="highlight"/>
          <w:rFonts w:ascii="Times New Roman" w:eastAsia="宋体" w:hAnsi="Times New Roman" w:cs="Times New Roman"/>
          <w:kern w:val="0"/>
          <w:sz w:val="22"/>
          <w:szCs w:val="22"/>
        </w:rPr>
        <w:t>BCLC, Barcelona Clinic Liver Cancer; ECOG, Eastern Cooperative Oncology Group; AFP, α‐fetoprotein.</w:t>
      </w:r>
      <w:r w:rsidRPr="00185691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SMI, skeletal muscle index; SFA, subcutaneous fat area.</w:t>
      </w:r>
    </w:p>
    <w:p w:rsidR="00D81B44" w:rsidRPr="00185691" w:rsidRDefault="00D81B44" w:rsidP="00185691">
      <w:pPr>
        <w:widowControl/>
        <w:spacing w:line="480" w:lineRule="auto"/>
        <w:jc w:val="left"/>
        <w:rPr>
          <w:rStyle w:val="highlight"/>
          <w:rFonts w:ascii="Times New Roman" w:eastAsia="宋体" w:hAnsi="Times New Roman" w:cs="Times New Roman"/>
          <w:kern w:val="0"/>
          <w:sz w:val="22"/>
          <w:szCs w:val="22"/>
        </w:rPr>
      </w:pPr>
      <w:r w:rsidRPr="00185691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br w:type="page"/>
      </w:r>
      <w:r w:rsidRPr="00185691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Supplementary Table 2. </w:t>
      </w:r>
      <w:r w:rsidRPr="00185691">
        <w:rPr>
          <w:rStyle w:val="highlight"/>
          <w:rFonts w:ascii="Times New Roman" w:eastAsia="宋体" w:hAnsi="Times New Roman" w:cs="Times New Roman"/>
          <w:kern w:val="0"/>
          <w:sz w:val="22"/>
          <w:szCs w:val="22"/>
        </w:rPr>
        <w:t>Tumor Response on Modified Response Evaluation Criteria in Solid Tumors</w:t>
      </w:r>
    </w:p>
    <w:tbl>
      <w:tblPr>
        <w:tblW w:w="107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985"/>
        <w:gridCol w:w="1981"/>
        <w:gridCol w:w="992"/>
        <w:gridCol w:w="1993"/>
        <w:gridCol w:w="1932"/>
        <w:gridCol w:w="966"/>
      </w:tblGrid>
      <w:tr w:rsidR="00D81B44" w:rsidRPr="00185691" w:rsidTr="00B47243">
        <w:trPr>
          <w:trHeight w:val="1175"/>
          <w:jc w:val="center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1B44" w:rsidRPr="00185691" w:rsidRDefault="00D81B44" w:rsidP="001856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Muscle gain</w:t>
            </w:r>
          </w:p>
          <w:p w:rsidR="00D81B44" w:rsidRPr="00185691" w:rsidRDefault="00D81B44" w:rsidP="0018569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(n=23)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spacing w:line="480" w:lineRule="auto"/>
              <w:ind w:firstLineChars="100" w:firstLine="2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Non muscle gain</w:t>
            </w:r>
          </w:p>
          <w:p w:rsidR="00D81B44" w:rsidRPr="00185691" w:rsidRDefault="00D81B44" w:rsidP="00185691">
            <w:pPr>
              <w:spacing w:line="480" w:lineRule="auto"/>
              <w:ind w:firstLineChars="100" w:firstLine="2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(n=69)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spacing w:line="480" w:lineRule="auto"/>
              <w:ind w:firstLineChars="50" w:firstLine="11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 w:rsidRPr="0018569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valve</w:t>
            </w:r>
          </w:p>
        </w:tc>
        <w:tc>
          <w:tcPr>
            <w:tcW w:w="19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Muscle </w:t>
            </w:r>
            <w:proofErr w:type="gramStart"/>
            <w:r w:rsidRPr="0018569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maintain</w:t>
            </w:r>
            <w:proofErr w:type="gramEnd"/>
          </w:p>
          <w:p w:rsidR="00D81B44" w:rsidRPr="00185691" w:rsidRDefault="00D81B44" w:rsidP="0018569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(n=41)</w:t>
            </w:r>
          </w:p>
        </w:tc>
        <w:tc>
          <w:tcPr>
            <w:tcW w:w="193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Muscle down</w:t>
            </w:r>
          </w:p>
          <w:p w:rsidR="00D81B44" w:rsidRPr="00185691" w:rsidRDefault="00D81B44" w:rsidP="0018569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(n=28)</w:t>
            </w:r>
          </w:p>
        </w:tc>
        <w:tc>
          <w:tcPr>
            <w:tcW w:w="966" w:type="dxa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 w:rsidRPr="0018569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valve</w:t>
            </w:r>
          </w:p>
        </w:tc>
      </w:tr>
      <w:tr w:rsidR="00D81B44" w:rsidRPr="00185691" w:rsidTr="00B47243">
        <w:trPr>
          <w:trHeight w:val="312"/>
          <w:jc w:val="center"/>
        </w:trPr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CR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2 (8.7%)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2 (2.9%)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0.259</w:t>
            </w:r>
          </w:p>
        </w:tc>
        <w:tc>
          <w:tcPr>
            <w:tcW w:w="1993" w:type="dxa"/>
            <w:tcBorders>
              <w:top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1 (2.4%)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1 (3.6%)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1.000</w:t>
            </w:r>
          </w:p>
        </w:tc>
      </w:tr>
      <w:tr w:rsidR="00D81B44" w:rsidRPr="00185691" w:rsidTr="00B47243">
        <w:trPr>
          <w:trHeight w:val="312"/>
          <w:jc w:val="center"/>
        </w:trPr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PR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14 (60.9%)</w:t>
            </w:r>
          </w:p>
        </w:tc>
        <w:tc>
          <w:tcPr>
            <w:tcW w:w="19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38 (55.1%)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0.809</w:t>
            </w:r>
          </w:p>
        </w:tc>
        <w:tc>
          <w:tcPr>
            <w:tcW w:w="1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21 (51.2%)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17 (60.7%)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0.470</w:t>
            </w:r>
          </w:p>
        </w:tc>
      </w:tr>
      <w:tr w:rsidR="00D81B44" w:rsidRPr="00185691" w:rsidTr="00B47243">
        <w:trPr>
          <w:trHeight w:val="312"/>
          <w:jc w:val="center"/>
        </w:trPr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SD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2 (8.7%)</w:t>
            </w:r>
          </w:p>
        </w:tc>
        <w:tc>
          <w:tcPr>
            <w:tcW w:w="19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8 (11.6%)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1.000</w:t>
            </w:r>
          </w:p>
        </w:tc>
        <w:tc>
          <w:tcPr>
            <w:tcW w:w="1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5 (12.2%)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3 (10.7%)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1.000</w:t>
            </w:r>
          </w:p>
        </w:tc>
      </w:tr>
      <w:tr w:rsidR="00D81B44" w:rsidRPr="00185691" w:rsidTr="00B47243">
        <w:trPr>
          <w:trHeight w:val="320"/>
          <w:jc w:val="center"/>
        </w:trPr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PD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5 (21.7%)</w:t>
            </w:r>
          </w:p>
        </w:tc>
        <w:tc>
          <w:tcPr>
            <w:tcW w:w="19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21 (30.4%)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0.594</w:t>
            </w:r>
          </w:p>
        </w:tc>
        <w:tc>
          <w:tcPr>
            <w:tcW w:w="1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14 (34.1%)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7 (25.0%)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0.441</w:t>
            </w:r>
          </w:p>
        </w:tc>
      </w:tr>
      <w:tr w:rsidR="00D81B44" w:rsidRPr="00185691" w:rsidTr="00B47243">
        <w:trPr>
          <w:trHeight w:val="312"/>
          <w:jc w:val="center"/>
        </w:trPr>
        <w:tc>
          <w:tcPr>
            <w:tcW w:w="8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ORR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16 (69.6%)</w:t>
            </w:r>
          </w:p>
        </w:tc>
        <w:tc>
          <w:tcPr>
            <w:tcW w:w="19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40 (58.0%)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0.460</w:t>
            </w:r>
          </w:p>
        </w:tc>
        <w:tc>
          <w:tcPr>
            <w:tcW w:w="199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22 (53.7%)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18 (64.3%)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0.460</w:t>
            </w:r>
          </w:p>
        </w:tc>
      </w:tr>
      <w:tr w:rsidR="00D81B44" w:rsidRPr="00185691" w:rsidTr="00B47243">
        <w:trPr>
          <w:trHeight w:val="320"/>
          <w:jc w:val="center"/>
        </w:trPr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DCR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18 (78.3%)</w:t>
            </w:r>
          </w:p>
        </w:tc>
        <w:tc>
          <w:tcPr>
            <w:tcW w:w="1981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48 (69.6%)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0.594</w:t>
            </w:r>
          </w:p>
        </w:tc>
        <w:tc>
          <w:tcPr>
            <w:tcW w:w="1993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27 (65.9%)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21 (75.0%)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1B44" w:rsidRPr="00185691" w:rsidRDefault="00D81B44" w:rsidP="00185691">
            <w:pPr>
              <w:pStyle w:val="a7"/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5691">
              <w:rPr>
                <w:rFonts w:ascii="Times New Roman" w:hAnsi="Times New Roman" w:cs="Times New Roman"/>
                <w:sz w:val="22"/>
                <w:szCs w:val="22"/>
              </w:rPr>
              <w:t>0.441</w:t>
            </w:r>
          </w:p>
        </w:tc>
      </w:tr>
    </w:tbl>
    <w:p w:rsidR="00D81B44" w:rsidRPr="00185691" w:rsidRDefault="00D81B44" w:rsidP="00185691">
      <w:pPr>
        <w:spacing w:line="48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185691">
        <w:rPr>
          <w:rStyle w:val="highlight"/>
          <w:rFonts w:ascii="Times New Roman" w:eastAsia="宋体" w:hAnsi="Times New Roman" w:cs="Times New Roman"/>
          <w:b/>
          <w:bCs/>
          <w:kern w:val="0"/>
          <w:sz w:val="22"/>
          <w:szCs w:val="22"/>
        </w:rPr>
        <w:t xml:space="preserve">Abbreviations: </w:t>
      </w:r>
      <w:r w:rsidRPr="00185691">
        <w:rPr>
          <w:rStyle w:val="highlight"/>
          <w:rFonts w:ascii="Times New Roman" w:eastAsia="宋体" w:hAnsi="Times New Roman" w:cs="Times New Roman"/>
          <w:kern w:val="0"/>
          <w:sz w:val="22"/>
          <w:szCs w:val="22"/>
        </w:rPr>
        <w:t>CR, complete response; PR, partial response; SD, stable response; ORR, objective response rate; PD, progressive disease; DCR, disease control rate.</w:t>
      </w:r>
    </w:p>
    <w:p w:rsidR="00D81B44" w:rsidRPr="00185691" w:rsidRDefault="00D81B44" w:rsidP="00185691">
      <w:pPr>
        <w:widowControl/>
        <w:spacing w:line="480" w:lineRule="auto"/>
        <w:jc w:val="left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185691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br w:type="page"/>
      </w:r>
    </w:p>
    <w:p w:rsidR="00D81B44" w:rsidRPr="00185691" w:rsidRDefault="00D81B44" w:rsidP="00185691">
      <w:pPr>
        <w:spacing w:line="480" w:lineRule="auto"/>
        <w:jc w:val="left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185691"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7C3F4F74" wp14:editId="23D810B3">
            <wp:extent cx="5274310" cy="3492164"/>
            <wp:effectExtent l="0" t="0" r="2540" b="0"/>
            <wp:docPr id="129496358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B44" w:rsidRPr="00185691" w:rsidRDefault="00D81B44" w:rsidP="00185691">
      <w:pPr>
        <w:spacing w:line="480" w:lineRule="auto"/>
        <w:jc w:val="left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185691">
        <w:rPr>
          <w:rFonts w:ascii="Times New Roman" w:hAnsi="Times New Roman" w:cs="Times New Roman"/>
          <w:b/>
          <w:bCs/>
          <w:sz w:val="22"/>
          <w:szCs w:val="22"/>
        </w:rPr>
        <w:t>Supplementary Figure 1.</w:t>
      </w:r>
      <w:r w:rsidRPr="00185691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Cutoff point of SMI defined via maximally selected log rank statistics. The cutoff value for </w:t>
      </w:r>
      <w:r w:rsidRPr="00185691">
        <w:rPr>
          <w:rStyle w:val="highlight"/>
          <w:rFonts w:ascii="Times New Roman" w:hAnsi="Times New Roman" w:cs="Times New Roman"/>
          <w:color w:val="000000" w:themeColor="text1"/>
          <w:sz w:val="22"/>
          <w:szCs w:val="22"/>
        </w:rPr>
        <w:t>ΔSMI</w:t>
      </w:r>
      <w:r w:rsidRPr="00185691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was </w:t>
      </w:r>
      <w:r w:rsidRPr="00185691">
        <w:rPr>
          <w:rFonts w:ascii="Times New Roman" w:hAnsi="Times New Roman" w:cs="Times New Roman"/>
          <w:sz w:val="22"/>
          <w:szCs w:val="22"/>
          <w:shd w:val="clear" w:color="auto" w:fill="FFFFFF"/>
        </w:rPr>
        <w:t>0.03%.</w:t>
      </w:r>
    </w:p>
    <w:p w:rsidR="00D81B44" w:rsidRPr="00185691" w:rsidRDefault="00D81B44" w:rsidP="00185691">
      <w:pPr>
        <w:widowControl/>
        <w:spacing w:line="480" w:lineRule="auto"/>
        <w:jc w:val="left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185691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br w:type="page"/>
      </w:r>
    </w:p>
    <w:p w:rsidR="00D81B44" w:rsidRPr="00185691" w:rsidRDefault="00D81B44" w:rsidP="00185691">
      <w:pPr>
        <w:widowControl/>
        <w:spacing w:line="480" w:lineRule="auto"/>
        <w:jc w:val="left"/>
        <w:rPr>
          <w:rStyle w:val="highlight"/>
          <w:rFonts w:ascii="Times New Roman" w:hAnsi="Times New Roman" w:cs="Times New Roman"/>
          <w:sz w:val="22"/>
          <w:szCs w:val="22"/>
        </w:rPr>
      </w:pPr>
      <w:r w:rsidRPr="00185691">
        <w:rPr>
          <w:rFonts w:ascii="Times New Roman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33056ABC" wp14:editId="71DC819D">
            <wp:extent cx="5174901" cy="4357482"/>
            <wp:effectExtent l="0" t="0" r="0" b="0"/>
            <wp:docPr id="2576762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76215" name="图片 2576762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282" cy="439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991" w:rsidRPr="00185691" w:rsidRDefault="00D81B44" w:rsidP="00185691">
      <w:pPr>
        <w:spacing w:line="480" w:lineRule="auto"/>
        <w:jc w:val="left"/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</w:pPr>
      <w:r w:rsidRPr="00185691">
        <w:rPr>
          <w:rFonts w:ascii="Times New Roman" w:hAnsi="Times New Roman" w:cs="Times New Roman"/>
          <w:b/>
          <w:bCs/>
          <w:sz w:val="22"/>
          <w:szCs w:val="22"/>
        </w:rPr>
        <w:t>Supplementary Figure 2.</w:t>
      </w:r>
      <w:r w:rsidRPr="00185691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Graphs after triple therapy in patients with muscle maintain group show time-course changes of (a) skeletal muscle area (SMA), (b) skeletal muscle index (SMI), (c) subcutaneous fat area (SFA). Graphs after triple therapy in patients with muscle down group show time-course changes of (d) mean skeletal muscle area (SMA), (e) skeletal muscle index (SMI), (f) subcutaneous fat area (SFA).</w:t>
      </w:r>
    </w:p>
    <w:sectPr w:rsidR="003C5991" w:rsidRPr="0018569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480D" w:rsidRDefault="007E480D" w:rsidP="00C77365">
      <w:r>
        <w:separator/>
      </w:r>
    </w:p>
  </w:endnote>
  <w:endnote w:type="continuationSeparator" w:id="0">
    <w:p w:rsidR="007E480D" w:rsidRDefault="007E480D" w:rsidP="00C7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5"/>
      </w:rPr>
      <w:id w:val="706304142"/>
      <w:docPartObj>
        <w:docPartGallery w:val="Page Numbers (Bottom of Page)"/>
        <w:docPartUnique/>
      </w:docPartObj>
    </w:sdtPr>
    <w:sdtContent>
      <w:p w:rsidR="00C77365" w:rsidRDefault="00C77365" w:rsidP="005703EC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C77365" w:rsidRDefault="00C77365" w:rsidP="00C7736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5"/>
      </w:rPr>
      <w:id w:val="-1476067535"/>
      <w:docPartObj>
        <w:docPartGallery w:val="Page Numbers (Bottom of Page)"/>
        <w:docPartUnique/>
      </w:docPartObj>
    </w:sdtPr>
    <w:sdtContent>
      <w:p w:rsidR="00C77365" w:rsidRDefault="00C77365" w:rsidP="005703EC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C77365" w:rsidRDefault="00C77365" w:rsidP="00C773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480D" w:rsidRDefault="007E480D" w:rsidP="00C77365">
      <w:r>
        <w:separator/>
      </w:r>
    </w:p>
  </w:footnote>
  <w:footnote w:type="continuationSeparator" w:id="0">
    <w:p w:rsidR="007E480D" w:rsidRDefault="007E480D" w:rsidP="00C77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A9"/>
    <w:rsid w:val="00021480"/>
    <w:rsid w:val="00105FD2"/>
    <w:rsid w:val="00185691"/>
    <w:rsid w:val="001B2F70"/>
    <w:rsid w:val="002851FF"/>
    <w:rsid w:val="002C72C9"/>
    <w:rsid w:val="003035FF"/>
    <w:rsid w:val="003C5991"/>
    <w:rsid w:val="004C1144"/>
    <w:rsid w:val="00605FA9"/>
    <w:rsid w:val="006F009B"/>
    <w:rsid w:val="007E480D"/>
    <w:rsid w:val="00832673"/>
    <w:rsid w:val="00A272B2"/>
    <w:rsid w:val="00AA4C63"/>
    <w:rsid w:val="00AE4129"/>
    <w:rsid w:val="00B74371"/>
    <w:rsid w:val="00C77365"/>
    <w:rsid w:val="00D363AD"/>
    <w:rsid w:val="00D81B44"/>
    <w:rsid w:val="00F8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720B936-D341-4E4A-A9EB-6F33A83A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7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77365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C77365"/>
  </w:style>
  <w:style w:type="character" w:customStyle="1" w:styleId="highlight">
    <w:name w:val="highlight"/>
    <w:basedOn w:val="a0"/>
    <w:autoRedefine/>
    <w:qFormat/>
    <w:rsid w:val="00D81B44"/>
  </w:style>
  <w:style w:type="table" w:styleId="a6">
    <w:name w:val="Table Grid"/>
    <w:basedOn w:val="a1"/>
    <w:uiPriority w:val="39"/>
    <w:rsid w:val="00D81B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35"/>
    <w:unhideWhenUsed/>
    <w:qFormat/>
    <w:rsid w:val="00D81B44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 Qingquan</dc:creator>
  <cp:keywords/>
  <dc:description/>
  <cp:lastModifiedBy>zu</cp:lastModifiedBy>
  <cp:revision>9</cp:revision>
  <dcterms:created xsi:type="dcterms:W3CDTF">2022-11-12T13:54:00Z</dcterms:created>
  <dcterms:modified xsi:type="dcterms:W3CDTF">2024-11-13T08:36:00Z</dcterms:modified>
</cp:coreProperties>
</file>