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33E9C" w:rsidRDefault="00000000">
      <w:pPr>
        <w:rPr>
          <w:rFonts w:cs="Arial"/>
          <w:b/>
          <w:bCs/>
          <w:szCs w:val="20"/>
        </w:rPr>
      </w:pPr>
      <w:r>
        <w:rPr>
          <w:rFonts w:cs="Arial"/>
          <w:b/>
          <w:bCs/>
          <w:szCs w:val="20"/>
        </w:rPr>
        <w:t>Supplementary materials</w:t>
      </w:r>
    </w:p>
    <w:p w:rsidR="00A3716A" w:rsidRDefault="00A3716A" w:rsidP="00747ADE">
      <w:pPr>
        <w:jc w:val="center"/>
        <w:rPr>
          <w:rFonts w:cs="Arial"/>
          <w:color w:val="FF0000"/>
          <w:szCs w:val="20"/>
        </w:rPr>
      </w:pPr>
    </w:p>
    <w:p w:rsidR="00E33E9C" w:rsidRDefault="00747ADE" w:rsidP="00747ADE">
      <w:pPr>
        <w:jc w:val="center"/>
        <w:rPr>
          <w:rFonts w:cs="Arial"/>
          <w:color w:val="FF0000"/>
          <w:szCs w:val="20"/>
        </w:rPr>
      </w:pPr>
      <w:r>
        <w:rPr>
          <w:rFonts w:cs="Arial"/>
          <w:noProof/>
          <w:color w:val="FF0000"/>
          <w:szCs w:val="20"/>
        </w:rPr>
        <w:drawing>
          <wp:inline distT="0" distB="0" distL="0" distR="0">
            <wp:extent cx="5040000" cy="3797461"/>
            <wp:effectExtent l="12700" t="12700" r="14605" b="12700"/>
            <wp:docPr id="517655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55935" name="图片 517655935"/>
                    <pic:cNvPicPr/>
                  </pic:nvPicPr>
                  <pic:blipFill rotWithShape="1">
                    <a:blip r:embed="rId7">
                      <a:extLst>
                        <a:ext uri="{28A0092B-C50C-407E-A947-70E740481C1C}">
                          <a14:useLocalDpi xmlns:a14="http://schemas.microsoft.com/office/drawing/2010/main" val="0"/>
                        </a:ext>
                      </a:extLst>
                    </a:blip>
                    <a:srcRect l="2128" t="1474" r="2834" b="48951"/>
                    <a:stretch/>
                  </pic:blipFill>
                  <pic:spPr bwMode="auto">
                    <a:xfrm>
                      <a:off x="0" y="0"/>
                      <a:ext cx="5040000" cy="37974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33E9C" w:rsidRDefault="006C262A">
      <w:pPr>
        <w:rPr>
          <w:rFonts w:cs="Arial"/>
          <w:color w:val="000000" w:themeColor="text1"/>
          <w:szCs w:val="20"/>
        </w:rPr>
      </w:pPr>
      <w:r>
        <w:rPr>
          <w:rFonts w:cs="Arial"/>
          <w:b/>
          <w:bCs/>
          <w:szCs w:val="20"/>
        </w:rPr>
        <w:t>Supplementary</w:t>
      </w:r>
      <w:r>
        <w:rPr>
          <w:rFonts w:cs="Arial"/>
          <w:b/>
          <w:bCs/>
          <w:color w:val="000000" w:themeColor="text1"/>
          <w:szCs w:val="20"/>
        </w:rPr>
        <w:t xml:space="preserve"> Figure </w:t>
      </w:r>
      <w:r>
        <w:rPr>
          <w:rFonts w:cs="Arial" w:hint="eastAsia"/>
          <w:b/>
          <w:bCs/>
          <w:color w:val="000000" w:themeColor="text1"/>
          <w:szCs w:val="20"/>
          <w:lang w:eastAsia="zh-CN"/>
        </w:rPr>
        <w:t>1</w:t>
      </w:r>
      <w:r w:rsidR="00747ADE">
        <w:rPr>
          <w:rFonts w:cs="Arial"/>
          <w:color w:val="000000" w:themeColor="text1"/>
          <w:szCs w:val="20"/>
        </w:rPr>
        <w:t xml:space="preserve"> </w:t>
      </w:r>
      <w:r w:rsidR="00747ADE" w:rsidRPr="00747ADE">
        <w:rPr>
          <w:rFonts w:cs="Arial"/>
          <w:color w:val="000000" w:themeColor="text1"/>
          <w:szCs w:val="20"/>
        </w:rPr>
        <w:t>Evaluation of native vascular tissue before and after decellularization.</w:t>
      </w:r>
      <w:r w:rsidR="00747ADE">
        <w:rPr>
          <w:rFonts w:cs="Arial"/>
          <w:color w:val="000000" w:themeColor="text1"/>
          <w:szCs w:val="20"/>
        </w:rPr>
        <w:t xml:space="preserve"> </w:t>
      </w:r>
      <w:r w:rsidR="00747ADE" w:rsidRPr="00747ADE">
        <w:rPr>
          <w:rFonts w:cs="Arial"/>
          <w:color w:val="000000" w:themeColor="text1"/>
          <w:szCs w:val="20"/>
        </w:rPr>
        <w:t>HE and DAPI fluorescence staining were used to assess the decellularization status of native vascular tissue. In the DAPI group, the region between the two white dashed lines represents the vascular wall. Scale bar: 50</w:t>
      </w:r>
      <w:r w:rsidR="00747ADE">
        <w:rPr>
          <w:rFonts w:cs="Arial"/>
          <w:color w:val="000000" w:themeColor="text1"/>
          <w:szCs w:val="20"/>
        </w:rPr>
        <w:t xml:space="preserve"> </w:t>
      </w:r>
      <w:r w:rsidR="00747ADE" w:rsidRPr="00747ADE">
        <w:rPr>
          <w:rFonts w:cs="Arial"/>
          <w:color w:val="000000" w:themeColor="text1"/>
          <w:szCs w:val="20"/>
        </w:rPr>
        <w:t>µm</w:t>
      </w:r>
      <w:r w:rsidR="00747ADE">
        <w:rPr>
          <w:rFonts w:cs="Arial"/>
          <w:color w:val="000000" w:themeColor="text1"/>
          <w:szCs w:val="20"/>
        </w:rPr>
        <w:t>.</w:t>
      </w:r>
      <w:r>
        <w:rPr>
          <w:rFonts w:cs="Arial"/>
          <w:color w:val="000000" w:themeColor="text1"/>
          <w:szCs w:val="20"/>
        </w:rPr>
        <w:t xml:space="preserve"> </w:t>
      </w:r>
    </w:p>
    <w:p w:rsidR="00747ADE" w:rsidRDefault="00747ADE" w:rsidP="00747ADE">
      <w:pPr>
        <w:jc w:val="center"/>
        <w:rPr>
          <w:rFonts w:cs="Arial"/>
          <w:color w:val="000000" w:themeColor="text1"/>
          <w:szCs w:val="20"/>
        </w:rPr>
      </w:pPr>
    </w:p>
    <w:p w:rsidR="00747ADE" w:rsidRDefault="00747ADE" w:rsidP="00747ADE">
      <w:pPr>
        <w:jc w:val="center"/>
        <w:rPr>
          <w:rFonts w:cs="Arial"/>
          <w:color w:val="000000" w:themeColor="text1"/>
          <w:szCs w:val="20"/>
        </w:rPr>
      </w:pPr>
    </w:p>
    <w:p w:rsidR="00747ADE" w:rsidRDefault="00747ADE" w:rsidP="00747ADE">
      <w:pPr>
        <w:jc w:val="center"/>
        <w:rPr>
          <w:rFonts w:cs="Arial"/>
          <w:color w:val="000000" w:themeColor="text1"/>
          <w:szCs w:val="20"/>
        </w:rPr>
      </w:pPr>
    </w:p>
    <w:p w:rsidR="00747ADE" w:rsidRDefault="00747ADE" w:rsidP="00747ADE">
      <w:pPr>
        <w:jc w:val="center"/>
        <w:rPr>
          <w:rFonts w:cs="Arial"/>
          <w:color w:val="000000" w:themeColor="text1"/>
          <w:szCs w:val="20"/>
        </w:rPr>
      </w:pPr>
    </w:p>
    <w:p w:rsidR="00747ADE" w:rsidRDefault="00747ADE" w:rsidP="00747ADE">
      <w:pPr>
        <w:jc w:val="center"/>
        <w:rPr>
          <w:rFonts w:cs="Arial"/>
          <w:color w:val="000000" w:themeColor="text1"/>
          <w:szCs w:val="20"/>
        </w:rPr>
      </w:pPr>
    </w:p>
    <w:p w:rsidR="00747ADE" w:rsidRDefault="00747ADE" w:rsidP="00747ADE">
      <w:pPr>
        <w:jc w:val="center"/>
        <w:rPr>
          <w:rFonts w:cs="Arial"/>
          <w:color w:val="000000" w:themeColor="text1"/>
          <w:szCs w:val="20"/>
        </w:rPr>
      </w:pPr>
    </w:p>
    <w:p w:rsidR="003911EA" w:rsidRDefault="003911EA">
      <w:pPr>
        <w:rPr>
          <w:rFonts w:cs="Arial"/>
          <w:color w:val="000000" w:themeColor="text1"/>
          <w:szCs w:val="20"/>
        </w:rPr>
      </w:pPr>
      <w:r>
        <w:rPr>
          <w:rFonts w:cs="Arial"/>
          <w:color w:val="000000" w:themeColor="text1"/>
          <w:szCs w:val="20"/>
        </w:rPr>
        <w:br w:type="page"/>
      </w:r>
    </w:p>
    <w:p w:rsidR="00747ADE" w:rsidRDefault="00747ADE" w:rsidP="00747ADE">
      <w:pPr>
        <w:jc w:val="center"/>
        <w:rPr>
          <w:rFonts w:cs="Arial"/>
          <w:color w:val="000000" w:themeColor="text1"/>
          <w:szCs w:val="20"/>
        </w:rPr>
      </w:pPr>
      <w:r>
        <w:rPr>
          <w:rFonts w:cs="Arial"/>
          <w:noProof/>
          <w:color w:val="000000" w:themeColor="text1"/>
          <w:szCs w:val="20"/>
        </w:rPr>
        <w:lastRenderedPageBreak/>
        <w:drawing>
          <wp:inline distT="0" distB="0" distL="0" distR="0">
            <wp:extent cx="5040000" cy="4501287"/>
            <wp:effectExtent l="12700" t="12700" r="14605" b="7620"/>
            <wp:docPr id="10347593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59348" name="图片 1034759348"/>
                    <pic:cNvPicPr/>
                  </pic:nvPicPr>
                  <pic:blipFill rotWithShape="1">
                    <a:blip r:embed="rId8">
                      <a:extLst>
                        <a:ext uri="{28A0092B-C50C-407E-A947-70E740481C1C}">
                          <a14:useLocalDpi xmlns:a14="http://schemas.microsoft.com/office/drawing/2010/main" val="0"/>
                        </a:ext>
                      </a:extLst>
                    </a:blip>
                    <a:srcRect l="18077" t="1473" r="23956" b="62686"/>
                    <a:stretch/>
                  </pic:blipFill>
                  <pic:spPr bwMode="auto">
                    <a:xfrm>
                      <a:off x="0" y="0"/>
                      <a:ext cx="5040000" cy="450128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47ADE" w:rsidRPr="00747ADE" w:rsidRDefault="00747ADE" w:rsidP="00747ADE">
      <w:pPr>
        <w:rPr>
          <w:rFonts w:cs="Arial"/>
          <w:color w:val="000000" w:themeColor="text1"/>
          <w:szCs w:val="20"/>
        </w:rPr>
      </w:pPr>
      <w:r>
        <w:rPr>
          <w:rFonts w:cs="Arial"/>
          <w:b/>
          <w:bCs/>
          <w:szCs w:val="20"/>
        </w:rPr>
        <w:t>Supplementary</w:t>
      </w:r>
      <w:r>
        <w:rPr>
          <w:rFonts w:cs="Arial"/>
          <w:b/>
          <w:bCs/>
          <w:color w:val="000000" w:themeColor="text1"/>
          <w:szCs w:val="20"/>
        </w:rPr>
        <w:t xml:space="preserve"> Figure </w:t>
      </w:r>
      <w:r>
        <w:rPr>
          <w:rFonts w:cs="Arial"/>
          <w:b/>
          <w:bCs/>
          <w:color w:val="000000" w:themeColor="text1"/>
          <w:szCs w:val="20"/>
          <w:lang w:eastAsia="zh-CN"/>
        </w:rPr>
        <w:t xml:space="preserve">2 </w:t>
      </w:r>
      <w:r w:rsidRPr="00747ADE">
        <w:rPr>
          <w:rFonts w:cs="Arial"/>
          <w:color w:val="000000" w:themeColor="text1"/>
          <w:szCs w:val="20"/>
          <w:lang w:eastAsia="zh-CN"/>
        </w:rPr>
        <w:t>Effect of different mass concentrations of nanoparticles (NPs) on</w:t>
      </w:r>
      <w:r>
        <w:rPr>
          <w:rFonts w:cs="Arial"/>
          <w:color w:val="000000" w:themeColor="text1"/>
          <w:szCs w:val="20"/>
          <w:lang w:eastAsia="zh-CN"/>
        </w:rPr>
        <w:t xml:space="preserve"> </w:t>
      </w:r>
      <w:r w:rsidRPr="00747ADE">
        <w:rPr>
          <w:rFonts w:cs="Arial"/>
          <w:color w:val="000000" w:themeColor="text1"/>
          <w:szCs w:val="20"/>
          <w:lang w:eastAsia="zh-CN"/>
        </w:rPr>
        <w:t>macrophage activity in vitro. Experimental groups: Control (blank control), PNPs, and Qu@PNPs. Quantitative analysis of cell viability changes in rat BMDMs after 24 h of intervention with gradient mass concentrations of NPs, as determined by the CCK-8 assay (n=5). Data are presented as mean value ± standard error of the mean;</w:t>
      </w:r>
      <w:r w:rsidR="00741507">
        <w:rPr>
          <w:rFonts w:cs="Arial"/>
          <w:color w:val="000000" w:themeColor="text1"/>
          <w:szCs w:val="20"/>
          <w:lang w:eastAsia="zh-CN"/>
        </w:rPr>
        <w:t xml:space="preserve"> </w:t>
      </w:r>
      <w:r w:rsidRPr="00747ADE">
        <w:rPr>
          <w:rFonts w:cs="Arial"/>
          <w:color w:val="000000" w:themeColor="text1"/>
          <w:szCs w:val="20"/>
          <w:lang w:eastAsia="zh-CN"/>
        </w:rPr>
        <w:t>ns: not</w:t>
      </w:r>
      <w:r>
        <w:rPr>
          <w:rFonts w:cs="Arial"/>
          <w:color w:val="000000" w:themeColor="text1"/>
          <w:szCs w:val="20"/>
          <w:lang w:eastAsia="zh-CN"/>
        </w:rPr>
        <w:t xml:space="preserve"> </w:t>
      </w:r>
      <w:r w:rsidRPr="00747ADE">
        <w:rPr>
          <w:rFonts w:cs="Arial"/>
          <w:color w:val="000000" w:themeColor="text1"/>
          <w:szCs w:val="20"/>
          <w:lang w:eastAsia="zh-CN"/>
        </w:rPr>
        <w:t>significant (not shown in the figure)</w:t>
      </w:r>
      <w:r>
        <w:rPr>
          <w:rFonts w:cs="Arial"/>
          <w:color w:val="000000" w:themeColor="text1"/>
          <w:szCs w:val="20"/>
          <w:lang w:eastAsia="zh-CN"/>
        </w:rPr>
        <w:t>.</w:t>
      </w:r>
    </w:p>
    <w:p w:rsidR="00E33E9C" w:rsidRDefault="00E33E9C" w:rsidP="00A3716A">
      <w:pPr>
        <w:rPr>
          <w:rFonts w:cs="Arial"/>
          <w:b/>
          <w:bCs/>
          <w:szCs w:val="20"/>
          <w:lang w:eastAsia="zh-CN"/>
        </w:rPr>
      </w:pPr>
    </w:p>
    <w:p w:rsidR="00A3716A" w:rsidRDefault="00A3716A">
      <w:pPr>
        <w:jc w:val="center"/>
        <w:rPr>
          <w:rFonts w:cs="Arial"/>
          <w:b/>
          <w:bCs/>
          <w:szCs w:val="20"/>
          <w:lang w:eastAsia="zh-CN"/>
        </w:rPr>
      </w:pPr>
    </w:p>
    <w:p w:rsidR="003911EA" w:rsidRDefault="003911EA">
      <w:pPr>
        <w:rPr>
          <w:rFonts w:cs="Arial"/>
          <w:b/>
          <w:bCs/>
          <w:szCs w:val="20"/>
          <w:lang w:eastAsia="zh-CN"/>
        </w:rPr>
      </w:pPr>
      <w:r>
        <w:rPr>
          <w:rFonts w:cs="Arial"/>
          <w:b/>
          <w:bCs/>
          <w:szCs w:val="20"/>
          <w:lang w:eastAsia="zh-CN"/>
        </w:rPr>
        <w:br w:type="page"/>
      </w:r>
    </w:p>
    <w:p w:rsidR="00A3716A" w:rsidRDefault="00A3716A" w:rsidP="00A3716A">
      <w:pPr>
        <w:jc w:val="center"/>
        <w:rPr>
          <w:rFonts w:cs="Arial"/>
          <w:b/>
          <w:bCs/>
          <w:szCs w:val="20"/>
          <w:lang w:eastAsia="zh-CN"/>
        </w:rPr>
      </w:pPr>
      <w:r>
        <w:rPr>
          <w:rFonts w:cs="Arial"/>
          <w:b/>
          <w:bCs/>
          <w:noProof/>
          <w:szCs w:val="20"/>
          <w:lang w:eastAsia="zh-CN"/>
        </w:rPr>
        <w:lastRenderedPageBreak/>
        <w:drawing>
          <wp:inline distT="0" distB="0" distL="0" distR="0">
            <wp:extent cx="5400000" cy="1670233"/>
            <wp:effectExtent l="12700" t="12700" r="10795" b="6350"/>
            <wp:docPr id="2937733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73358" name="图片 293773358"/>
                    <pic:cNvPicPr/>
                  </pic:nvPicPr>
                  <pic:blipFill rotWithShape="1">
                    <a:blip r:embed="rId9">
                      <a:extLst>
                        <a:ext uri="{28A0092B-C50C-407E-A947-70E740481C1C}">
                          <a14:useLocalDpi xmlns:a14="http://schemas.microsoft.com/office/drawing/2010/main" val="0"/>
                        </a:ext>
                      </a:extLst>
                    </a:blip>
                    <a:srcRect l="6998" t="1654" r="8003" b="80145"/>
                    <a:stretch/>
                  </pic:blipFill>
                  <pic:spPr bwMode="auto">
                    <a:xfrm>
                      <a:off x="0" y="0"/>
                      <a:ext cx="5400000" cy="16702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33E9C" w:rsidRDefault="00A3716A">
      <w:pPr>
        <w:rPr>
          <w:rFonts w:cs="Arial"/>
          <w:b/>
          <w:bCs/>
          <w:color w:val="000000" w:themeColor="text1"/>
          <w:szCs w:val="20"/>
        </w:rPr>
      </w:pPr>
      <w:r>
        <w:rPr>
          <w:rFonts w:cs="Arial"/>
          <w:b/>
          <w:bCs/>
          <w:szCs w:val="20"/>
        </w:rPr>
        <w:t>Supplementary</w:t>
      </w:r>
      <w:r>
        <w:rPr>
          <w:rFonts w:cs="Arial"/>
          <w:b/>
          <w:bCs/>
          <w:color w:val="000000" w:themeColor="text1"/>
          <w:szCs w:val="20"/>
        </w:rPr>
        <w:t xml:space="preserve"> Figure 3 </w:t>
      </w:r>
      <w:r w:rsidRPr="00A3716A">
        <w:rPr>
          <w:rFonts w:cs="Arial"/>
          <w:color w:val="000000" w:themeColor="text1"/>
          <w:szCs w:val="20"/>
        </w:rPr>
        <w:t>Presence of nanoparticles in modified dTEVG in the AVG model.</w:t>
      </w:r>
      <w:r>
        <w:rPr>
          <w:rFonts w:cs="Arial"/>
          <w:color w:val="000000" w:themeColor="text1"/>
          <w:szCs w:val="20"/>
        </w:rPr>
        <w:t xml:space="preserve"> </w:t>
      </w:r>
      <w:r w:rsidRPr="00A3716A">
        <w:rPr>
          <w:rFonts w:cs="Arial"/>
          <w:color w:val="000000" w:themeColor="text1"/>
          <w:szCs w:val="20"/>
        </w:rPr>
        <w:t>Fluorescence distribution of RB@PNPs (red under fluorescence microscopy) in modified dTEVG at 0 h, 24 h, and 72 h post-implantation. Blue indicates cell nuclei. L (lumen side), M (media), and A (adventitia) are labeled. The area between the white dashed lines represents the graft interior. Scale bar: 50 µm</w:t>
      </w:r>
      <w:r>
        <w:rPr>
          <w:rFonts w:cs="Arial"/>
          <w:color w:val="000000" w:themeColor="text1"/>
          <w:szCs w:val="20"/>
        </w:rPr>
        <w:t>.</w:t>
      </w:r>
    </w:p>
    <w:p w:rsidR="003911EA" w:rsidRDefault="003911EA">
      <w:pPr>
        <w:rPr>
          <w:rFonts w:cs="Arial"/>
          <w:b/>
          <w:bCs/>
          <w:szCs w:val="20"/>
        </w:rPr>
      </w:pPr>
      <w:r>
        <w:rPr>
          <w:rFonts w:cs="Arial"/>
          <w:b/>
          <w:bCs/>
          <w:szCs w:val="20"/>
        </w:rPr>
        <w:br w:type="page"/>
      </w:r>
    </w:p>
    <w:p w:rsidR="00275D21" w:rsidRDefault="00347A86" w:rsidP="00347A86">
      <w:pPr>
        <w:jc w:val="center"/>
        <w:rPr>
          <w:rFonts w:cs="Arial"/>
        </w:rPr>
      </w:pPr>
      <w:r>
        <w:rPr>
          <w:rFonts w:cs="Arial"/>
          <w:noProof/>
        </w:rPr>
        <w:lastRenderedPageBreak/>
        <w:drawing>
          <wp:inline distT="0" distB="0" distL="0" distR="0">
            <wp:extent cx="5400000" cy="3126972"/>
            <wp:effectExtent l="12700" t="12700" r="10795" b="10160"/>
            <wp:docPr id="17950970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97042" name="图片 1795097042"/>
                    <pic:cNvPicPr/>
                  </pic:nvPicPr>
                  <pic:blipFill rotWithShape="1">
                    <a:blip r:embed="rId10">
                      <a:extLst>
                        <a:ext uri="{28A0092B-C50C-407E-A947-70E740481C1C}">
                          <a14:useLocalDpi xmlns:a14="http://schemas.microsoft.com/office/drawing/2010/main" val="0"/>
                        </a:ext>
                      </a:extLst>
                    </a:blip>
                    <a:srcRect l="1149" t="1476" r="1457" b="59479"/>
                    <a:stretch/>
                  </pic:blipFill>
                  <pic:spPr bwMode="auto">
                    <a:xfrm>
                      <a:off x="0" y="0"/>
                      <a:ext cx="5400000" cy="31269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47A86" w:rsidRDefault="00347A86" w:rsidP="00347A86">
      <w:pPr>
        <w:rPr>
          <w:rFonts w:cs="Arial"/>
          <w:color w:val="000000" w:themeColor="text1"/>
          <w:szCs w:val="20"/>
        </w:rPr>
      </w:pPr>
      <w:r>
        <w:rPr>
          <w:rFonts w:cs="Arial"/>
          <w:b/>
          <w:bCs/>
          <w:szCs w:val="20"/>
        </w:rPr>
        <w:t>Supplementary</w:t>
      </w:r>
      <w:r>
        <w:rPr>
          <w:rFonts w:cs="Arial"/>
          <w:b/>
          <w:bCs/>
          <w:color w:val="000000" w:themeColor="text1"/>
          <w:szCs w:val="20"/>
        </w:rPr>
        <w:t xml:space="preserve"> Figure 4</w:t>
      </w:r>
      <w:r w:rsidR="006302C8">
        <w:rPr>
          <w:rFonts w:cs="Arial"/>
          <w:b/>
          <w:bCs/>
          <w:color w:val="000000" w:themeColor="text1"/>
          <w:szCs w:val="20"/>
        </w:rPr>
        <w:t xml:space="preserve"> </w:t>
      </w:r>
      <w:r w:rsidR="006302C8" w:rsidRPr="006302C8">
        <w:rPr>
          <w:rFonts w:cs="Arial"/>
          <w:color w:val="000000" w:themeColor="text1"/>
          <w:szCs w:val="20"/>
        </w:rPr>
        <w:t>Effect of modified dTEVG on rat organ tissues in the AVG model.</w:t>
      </w:r>
      <w:r w:rsidR="006302C8">
        <w:rPr>
          <w:rFonts w:cs="Arial"/>
          <w:color w:val="000000" w:themeColor="text1"/>
          <w:szCs w:val="20"/>
        </w:rPr>
        <w:t xml:space="preserve"> </w:t>
      </w:r>
      <w:r w:rsidR="006302C8" w:rsidRPr="006302C8">
        <w:rPr>
          <w:rFonts w:cs="Arial"/>
          <w:color w:val="000000" w:themeColor="text1"/>
          <w:szCs w:val="20"/>
        </w:rPr>
        <w:t>Experimental groups: Control (unmodified dTEVG), PNPs (PNPs-dTEVG), Qu (Qu-dTEVG), and Qu@PNPs (Qu@PNPs-dTEVG).</w:t>
      </w:r>
      <w:r w:rsidR="006302C8">
        <w:rPr>
          <w:rFonts w:cs="Arial"/>
          <w:color w:val="000000" w:themeColor="text1"/>
          <w:szCs w:val="20"/>
        </w:rPr>
        <w:t xml:space="preserve"> </w:t>
      </w:r>
      <w:r w:rsidR="006302C8" w:rsidRPr="006302C8">
        <w:rPr>
          <w:rFonts w:cs="Arial"/>
          <w:color w:val="000000" w:themeColor="text1"/>
          <w:szCs w:val="20"/>
        </w:rPr>
        <w:t>HE staining was used to detect morphological changes in the liver, kidney, and spleen of rats at day 21.</w:t>
      </w:r>
      <w:r w:rsidR="006302C8">
        <w:rPr>
          <w:rFonts w:cs="Arial"/>
          <w:color w:val="000000" w:themeColor="text1"/>
          <w:szCs w:val="20"/>
        </w:rPr>
        <w:t xml:space="preserve"> </w:t>
      </w:r>
      <w:r w:rsidR="006302C8" w:rsidRPr="006302C8">
        <w:rPr>
          <w:rFonts w:cs="Arial"/>
          <w:color w:val="000000" w:themeColor="text1"/>
          <w:szCs w:val="20"/>
        </w:rPr>
        <w:t>Scale bar: 50 µm.</w:t>
      </w:r>
    </w:p>
    <w:p w:rsidR="003911EA" w:rsidRDefault="003911EA">
      <w:pPr>
        <w:rPr>
          <w:rFonts w:cs="Arial"/>
        </w:rPr>
      </w:pPr>
      <w:r>
        <w:rPr>
          <w:rFonts w:cs="Arial"/>
        </w:rPr>
        <w:br w:type="page"/>
      </w:r>
    </w:p>
    <w:p w:rsidR="006302C8" w:rsidRDefault="002025D9" w:rsidP="002025D9">
      <w:pPr>
        <w:jc w:val="center"/>
        <w:rPr>
          <w:rFonts w:cs="Arial"/>
        </w:rPr>
      </w:pPr>
      <w:r>
        <w:rPr>
          <w:rFonts w:cs="Arial"/>
          <w:noProof/>
        </w:rPr>
        <w:lastRenderedPageBreak/>
        <w:drawing>
          <wp:inline distT="0" distB="0" distL="0" distR="0">
            <wp:extent cx="5400000" cy="1398512"/>
            <wp:effectExtent l="12700" t="12700" r="10795" b="11430"/>
            <wp:docPr id="15923285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28520" name="图片 1592328520"/>
                    <pic:cNvPicPr/>
                  </pic:nvPicPr>
                  <pic:blipFill rotWithShape="1">
                    <a:blip r:embed="rId11">
                      <a:extLst>
                        <a:ext uri="{28A0092B-C50C-407E-A947-70E740481C1C}">
                          <a14:useLocalDpi xmlns:a14="http://schemas.microsoft.com/office/drawing/2010/main" val="0"/>
                        </a:ext>
                      </a:extLst>
                    </a:blip>
                    <a:srcRect l="1805" t="1921" r="1225" b="80692"/>
                    <a:stretch/>
                  </pic:blipFill>
                  <pic:spPr bwMode="auto">
                    <a:xfrm>
                      <a:off x="0" y="0"/>
                      <a:ext cx="5400000" cy="13985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A5462" w:rsidRPr="00FA5462" w:rsidRDefault="00FA5462" w:rsidP="00FA5462">
      <w:pPr>
        <w:rPr>
          <w:rFonts w:cs="Arial"/>
        </w:rPr>
      </w:pPr>
      <w:r>
        <w:rPr>
          <w:rFonts w:cs="Arial"/>
          <w:b/>
          <w:bCs/>
          <w:szCs w:val="20"/>
        </w:rPr>
        <w:t>Supplementary</w:t>
      </w:r>
      <w:r>
        <w:rPr>
          <w:rFonts w:cs="Arial"/>
          <w:b/>
          <w:bCs/>
          <w:color w:val="000000" w:themeColor="text1"/>
          <w:szCs w:val="20"/>
        </w:rPr>
        <w:t xml:space="preserve"> Figure 5 </w:t>
      </w:r>
      <w:r w:rsidRPr="00FA5462">
        <w:rPr>
          <w:rFonts w:cs="Arial"/>
          <w:color w:val="000000" w:themeColor="text1"/>
          <w:szCs w:val="20"/>
        </w:rPr>
        <w:t>Recellularization of grafts in the AVG model.</w:t>
      </w:r>
      <w:r>
        <w:rPr>
          <w:rFonts w:cs="Arial"/>
          <w:color w:val="000000" w:themeColor="text1"/>
          <w:szCs w:val="20"/>
        </w:rPr>
        <w:t xml:space="preserve"> </w:t>
      </w:r>
      <w:r w:rsidRPr="00FA5462">
        <w:rPr>
          <w:rFonts w:cs="Arial"/>
          <w:color w:val="000000" w:themeColor="text1"/>
          <w:szCs w:val="20"/>
        </w:rPr>
        <w:t>Experimental groups:</w:t>
      </w:r>
      <w:r>
        <w:rPr>
          <w:rFonts w:cs="Arial"/>
          <w:color w:val="000000" w:themeColor="text1"/>
          <w:szCs w:val="20"/>
        </w:rPr>
        <w:t xml:space="preserve"> </w:t>
      </w:r>
      <w:r w:rsidRPr="00FA5462">
        <w:rPr>
          <w:rFonts w:cs="Arial"/>
          <w:color w:val="000000" w:themeColor="text1"/>
          <w:szCs w:val="20"/>
        </w:rPr>
        <w:t>Control (unmodified dTEVG), PNPs (PNPs-dTEVG), Qu (Qu-dTEVG), and Qu@PNPs (Qu@PNPs</w:t>
      </w:r>
      <w:r>
        <w:rPr>
          <w:rFonts w:cs="Arial"/>
          <w:color w:val="000000" w:themeColor="text1"/>
          <w:szCs w:val="20"/>
        </w:rPr>
        <w:t>-</w:t>
      </w:r>
      <w:r w:rsidRPr="00FA5462">
        <w:rPr>
          <w:rFonts w:cs="Arial"/>
          <w:color w:val="000000" w:themeColor="text1"/>
          <w:szCs w:val="20"/>
        </w:rPr>
        <w:t>dTEVG).</w:t>
      </w:r>
      <w:r>
        <w:rPr>
          <w:rFonts w:cs="Arial"/>
          <w:color w:val="000000" w:themeColor="text1"/>
          <w:szCs w:val="20"/>
        </w:rPr>
        <w:t xml:space="preserve"> </w:t>
      </w:r>
      <w:r w:rsidRPr="00FA5462">
        <w:rPr>
          <w:rFonts w:cs="Arial"/>
          <w:color w:val="000000" w:themeColor="text1"/>
          <w:szCs w:val="20"/>
        </w:rPr>
        <w:t>Immunofluorescence staining of CD31+ (green) and α-SMA+ (red) cells in grafts at day 21.</w:t>
      </w:r>
      <w:r>
        <w:rPr>
          <w:rFonts w:cs="Arial"/>
          <w:color w:val="000000" w:themeColor="text1"/>
          <w:szCs w:val="20"/>
        </w:rPr>
        <w:t xml:space="preserve"> </w:t>
      </w:r>
      <w:r w:rsidRPr="00FA5462">
        <w:rPr>
          <w:rFonts w:cs="Arial"/>
          <w:color w:val="000000" w:themeColor="text1"/>
          <w:szCs w:val="20"/>
        </w:rPr>
        <w:t>The area between the white dashed lines indicates the graft interior. White arrows denote α-SMA+ cells, and blue represents cell nuclei. Scale bar:</w:t>
      </w:r>
      <w:r>
        <w:rPr>
          <w:rFonts w:cs="Arial"/>
          <w:color w:val="000000" w:themeColor="text1"/>
          <w:szCs w:val="20"/>
        </w:rPr>
        <w:t xml:space="preserve"> </w:t>
      </w:r>
      <w:r w:rsidRPr="00FA5462">
        <w:rPr>
          <w:rFonts w:cs="Arial"/>
          <w:color w:val="000000" w:themeColor="text1"/>
          <w:szCs w:val="20"/>
        </w:rPr>
        <w:t>50 µm</w:t>
      </w:r>
      <w:r>
        <w:rPr>
          <w:rFonts w:cs="Arial"/>
          <w:color w:val="000000" w:themeColor="text1"/>
          <w:szCs w:val="20"/>
        </w:rPr>
        <w:t>.</w:t>
      </w:r>
    </w:p>
    <w:sectPr w:rsidR="00FA5462" w:rsidRPr="00FA5462">
      <w:footerReference w:type="even" r:id="rId12"/>
      <w:footerReference w:type="default" r:id="rId13"/>
      <w:footerReference w:type="first" r:id="rId14"/>
      <w:pgSz w:w="12240" w:h="15840"/>
      <w:pgMar w:top="1701" w:right="1701" w:bottom="1701" w:left="1701" w:header="720" w:footer="72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53639" w:rsidRDefault="00F53639">
      <w:pPr>
        <w:spacing w:line="240" w:lineRule="auto"/>
      </w:pPr>
      <w:r>
        <w:separator/>
      </w:r>
    </w:p>
  </w:endnote>
  <w:endnote w:type="continuationSeparator" w:id="0">
    <w:p w:rsidR="00F53639" w:rsidRDefault="00F536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33E9C" w:rsidRDefault="00000000">
    <w:pPr>
      <w:pStyle w:val="a5"/>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E33E9C" w:rsidRDefault="00E33E9C">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33E9C" w:rsidRDefault="00000000">
    <w:pPr>
      <w:pStyle w:val="a5"/>
      <w:framePr w:wrap="around" w:vAnchor="text" w:hAnchor="margin" w:xAlign="center" w:y="1"/>
      <w:rPr>
        <w:rStyle w:val="aa"/>
      </w:rPr>
    </w:pPr>
    <w:r>
      <w:rPr>
        <w:noProof/>
        <w:lang w:eastAsia="zh-CN"/>
      </w:rPr>
      <mc:AlternateContent>
        <mc:Choice Requires="wps">
          <w:drawing>
            <wp:anchor distT="0" distB="0" distL="114300" distR="114300" simplePos="0" relativeHeight="251659264" behindDoc="0" locked="0" layoutInCell="0" allowOverlap="1">
              <wp:simplePos x="0" y="0"/>
              <wp:positionH relativeFrom="page">
                <wp:posOffset>0</wp:posOffset>
              </wp:positionH>
              <wp:positionV relativeFrom="page">
                <wp:posOffset>9603740</wp:posOffset>
              </wp:positionV>
              <wp:extent cx="7772400" cy="264160"/>
              <wp:effectExtent l="0" t="2540" r="0" b="0"/>
              <wp:wrapNone/>
              <wp:docPr id="622757308" name="MSIPCM8ef54de2a7a4d03c423a990a" descr="{&quot;HashCode&quot;:-1348403003,&quot;Height&quot;:792.0,&quot;Width&quot;:612.0,&quot;Placement&quot;:&quot;Foot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64160"/>
                      </a:xfrm>
                      <a:prstGeom prst="rect">
                        <a:avLst/>
                      </a:prstGeom>
                      <a:noFill/>
                      <a:ln>
                        <a:noFill/>
                      </a:ln>
                    </wps:spPr>
                    <wps:txbx>
                      <w:txbxContent>
                        <w:p w:rsidR="00E33E9C" w:rsidRDefault="00000000">
                          <w:pPr>
                            <w:rPr>
                              <w:rFonts w:ascii="Rockwell" w:hAnsi="Rockwell"/>
                              <w:color w:val="0078D7"/>
                              <w:sz w:val="18"/>
                            </w:rPr>
                          </w:pPr>
                          <w:r>
                            <w:rPr>
                              <w:rFonts w:ascii="Rockwell" w:hAnsi="Rockwell"/>
                              <w:color w:val="0078D7"/>
                              <w:sz w:val="18"/>
                            </w:rPr>
                            <w:t>Information Classification: General</w:t>
                          </w:r>
                        </w:p>
                      </w:txbxContent>
                    </wps:txbx>
                    <wps:bodyPr rot="0" vert="horz" wrap="square" lIns="254000" tIns="0" rIns="91440" bIns="0" anchor="b" anchorCtr="0" upright="1"/>
                  </wps:wsp>
                </a:graphicData>
              </a:graphic>
            </wp:anchor>
          </w:drawing>
        </mc:Choice>
        <mc:Fallback xmlns:w16du="http://schemas.microsoft.com/office/word/2023/wordml/word16du" xmlns:w16sdtfl="http://schemas.microsoft.com/office/word/2024/wordml/sdtformatlock">
          <w:pict>
            <v:shapetype id="_x0000_t202" coordsize="21600,21600" o:spt="202" path="m,l,21600r21600,l21600,xe">
              <v:stroke joinstyle="miter"/>
              <v:path gradientshapeok="t" o:connecttype="rect"/>
            </v:shapetype>
            <v:shape id="MSIPCM8ef54de2a7a4d03c423a990a" o:spid="_x0000_s1026" type="#_x0000_t202" alt="{&quot;HashCode&quot;:-1348403003,&quot;Height&quot;:792.0,&quot;Width&quot;:612.0,&quot;Placement&quot;:&quot;Footer&quot;,&quot;Index&quot;:&quot;Primary&quot;,&quot;Section&quot;:1,&quot;Top&quot;:0.0,&quot;Left&quot;:0.0}" style="position:absolute;margin-left:0;margin-top:756.2pt;width:612pt;height:20.8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" o:allowincell="f" filled="f" stroked="f">
              <v:textbox inset="20pt,0,,0">
                <w:txbxContent>
                  <w:p w:rsidR="00E33E9C" w:rsidRDefault="00000000">
                    <w:pPr>
                      <w:rPr>
                        <w:rFonts w:ascii="Rockwell" w:hAnsi="Rockwell"/>
                        <w:color w:val="0078D7"/>
                        <w:sz w:val="18"/>
                      </w:rPr>
                    </w:pPr>
                    <w:r>
                      <w:rPr>
                        <w:rFonts w:ascii="Rockwell" w:hAnsi="Rockwell"/>
                        <w:color w:val="0078D7"/>
                        <w:sz w:val="18"/>
                      </w:rPr>
                      <w:t>Information Classification: General</w:t>
                    </w:r>
                  </w:p>
                </w:txbxContent>
              </v:textbox>
              <w10:wrap anchorx="page" anchory="page"/>
            </v:shape>
          </w:pict>
        </mc:Fallback>
      </mc:AlternateContent>
    </w:r>
    <w:r>
      <w:rPr>
        <w:rStyle w:val="aa"/>
      </w:rPr>
      <w:fldChar w:fldCharType="begin"/>
    </w:r>
    <w:r>
      <w:rPr>
        <w:rStyle w:val="aa"/>
      </w:rPr>
      <w:instrText xml:space="preserve">PAGE  </w:instrText>
    </w:r>
    <w:r>
      <w:rPr>
        <w:rStyle w:val="aa"/>
      </w:rPr>
      <w:fldChar w:fldCharType="separate"/>
    </w:r>
    <w:r>
      <w:rPr>
        <w:rStyle w:val="aa"/>
      </w:rPr>
      <w:t>3</w:t>
    </w:r>
    <w:r>
      <w:rPr>
        <w:rStyle w:val="aa"/>
      </w:rPr>
      <w:fldChar w:fldCharType="end"/>
    </w:r>
  </w:p>
  <w:p w:rsidR="00E33E9C" w:rsidRDefault="00E33E9C">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33E9C" w:rsidRDefault="00000000">
    <w:pPr>
      <w:pStyle w:val="a5"/>
    </w:pPr>
    <w:r>
      <w:rPr>
        <w:noProof/>
        <w:lang w:eastAsia="zh-CN"/>
      </w:rPr>
      <mc:AlternateContent>
        <mc:Choice Requires="wps">
          <w:drawing>
            <wp:anchor distT="0" distB="0" distL="114300" distR="114300" simplePos="0" relativeHeight="251660288" behindDoc="0" locked="0" layoutInCell="0" allowOverlap="1">
              <wp:simplePos x="0" y="0"/>
              <wp:positionH relativeFrom="page">
                <wp:posOffset>0</wp:posOffset>
              </wp:positionH>
              <wp:positionV relativeFrom="page">
                <wp:posOffset>9603740</wp:posOffset>
              </wp:positionV>
              <wp:extent cx="7772400" cy="264160"/>
              <wp:effectExtent l="0" t="2540" r="0" b="0"/>
              <wp:wrapNone/>
              <wp:docPr id="1861909695" name="MSIPCM71df4afb82ef22201046dfa6" descr="{&quot;HashCode&quot;:-1348403003,&quot;Height&quot;:792.0,&quot;Width&quot;:612.0,&quot;Placement&quot;:&quot;Footer&quot;,&quot;Index&quot;:&quot;FirstPage&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64160"/>
                      </a:xfrm>
                      <a:prstGeom prst="rect">
                        <a:avLst/>
                      </a:prstGeom>
                      <a:noFill/>
                      <a:ln>
                        <a:noFill/>
                      </a:ln>
                    </wps:spPr>
                    <wps:txbx>
                      <w:txbxContent>
                        <w:p w:rsidR="00E33E9C" w:rsidRDefault="00000000">
                          <w:pPr>
                            <w:rPr>
                              <w:rFonts w:ascii="Rockwell" w:hAnsi="Rockwell"/>
                              <w:color w:val="0078D7"/>
                              <w:sz w:val="18"/>
                            </w:rPr>
                          </w:pPr>
                          <w:r>
                            <w:rPr>
                              <w:rFonts w:ascii="Rockwell" w:hAnsi="Rockwell"/>
                              <w:color w:val="0078D7"/>
                              <w:sz w:val="18"/>
                            </w:rPr>
                            <w:t>Information Classification: General</w:t>
                          </w:r>
                        </w:p>
                      </w:txbxContent>
                    </wps:txbx>
                    <wps:bodyPr rot="0" vert="horz" wrap="square" lIns="254000" tIns="0" rIns="91440" bIns="0" anchor="b" anchorCtr="0" upright="1"/>
                  </wps:wsp>
                </a:graphicData>
              </a:graphic>
            </wp:anchor>
          </w:drawing>
        </mc:Choice>
        <mc:Fallback xmlns:w16du="http://schemas.microsoft.com/office/word/2023/wordml/word16du" xmlns:w16sdtfl="http://schemas.microsoft.com/office/word/2024/wordml/sdtformatlock">
          <w:pict>
            <v:shapetype id="_x0000_t202" coordsize="21600,21600" o:spt="202" path="m,l,21600r21600,l21600,xe">
              <v:stroke joinstyle="miter"/>
              <v:path gradientshapeok="t" o:connecttype="rect"/>
            </v:shapetype>
            <v:shape id="MSIPCM71df4afb82ef22201046dfa6" o:spid="_x0000_s1027" type="#_x0000_t202" alt="{&quot;HashCode&quot;:-1348403003,&quot;Height&quot;:792.0,&quot;Width&quot;:612.0,&quot;Placement&quot;:&quot;Footer&quot;,&quot;Index&quot;:&quot;FirstPage&quot;,&quot;Section&quot;:1,&quot;Top&quot;:0.0,&quot;Left&quot;:0.0}" style="position:absolute;margin-left:0;margin-top:756.2pt;width:612pt;height:20.8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" o:allowincell="f" filled="f" stroked="f">
              <v:textbox inset="20pt,0,,0">
                <w:txbxContent>
                  <w:p w:rsidR="00E33E9C" w:rsidRDefault="00000000">
                    <w:pPr>
                      <w:rPr>
                        <w:rFonts w:ascii="Rockwell" w:hAnsi="Rockwell"/>
                        <w:color w:val="0078D7"/>
                        <w:sz w:val="18"/>
                      </w:rPr>
                    </w:pPr>
                    <w:r>
                      <w:rPr>
                        <w:rFonts w:ascii="Rockwell" w:hAnsi="Rockwell"/>
                        <w:color w:val="0078D7"/>
                        <w:sz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53639" w:rsidRDefault="00F53639">
      <w:r>
        <w:separator/>
      </w:r>
    </w:p>
  </w:footnote>
  <w:footnote w:type="continuationSeparator" w:id="0">
    <w:p w:rsidR="00F53639" w:rsidRDefault="00F5363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zAxNzA1MTMxNzQ2NLZU0lEKTi0uzszPAykwrAUA4okS9iwAAAA="/>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zppwzdr6r5ex9e02tl5f05gpzdfsvswvave&quot;&gt;我的EndNote库-Converted&lt;record-ids&gt;&lt;item&gt;542&lt;/item&gt;&lt;item&gt;577&lt;/item&gt;&lt;item&gt;634&lt;/item&gt;&lt;item&gt;637&lt;/item&gt;&lt;item&gt;648&lt;/item&gt;&lt;item&gt;649&lt;/item&gt;&lt;item&gt;683&lt;/item&gt;&lt;item&gt;712&lt;/item&gt;&lt;item&gt;717&lt;/item&gt;&lt;item&gt;718&lt;/item&gt;&lt;item&gt;733&lt;/item&gt;&lt;item&gt;739&lt;/item&gt;&lt;item&gt;740&lt;/item&gt;&lt;item&gt;742&lt;/item&gt;&lt;item&gt;743&lt;/item&gt;&lt;item&gt;744&lt;/item&gt;&lt;item&gt;745&lt;/item&gt;&lt;item&gt;747&lt;/item&gt;&lt;item&gt;748&lt;/item&gt;&lt;item&gt;749&lt;/item&gt;&lt;item&gt;750&lt;/item&gt;&lt;item&gt;753&lt;/item&gt;&lt;item&gt;757&lt;/item&gt;&lt;item&gt;758&lt;/item&gt;&lt;item&gt;760&lt;/item&gt;&lt;item&gt;761&lt;/item&gt;&lt;item&gt;762&lt;/item&gt;&lt;item&gt;767&lt;/item&gt;&lt;item&gt;769&lt;/item&gt;&lt;item&gt;770&lt;/item&gt;&lt;item&gt;771&lt;/item&gt;&lt;item&gt;772&lt;/item&gt;&lt;item&gt;773&lt;/item&gt;&lt;item&gt;774&lt;/item&gt;&lt;item&gt;775&lt;/item&gt;&lt;item&gt;776&lt;/item&gt;&lt;item&gt;778&lt;/item&gt;&lt;item&gt;779&lt;/item&gt;&lt;item&gt;783&lt;/item&gt;&lt;item&gt;784&lt;/item&gt;&lt;item&gt;785&lt;/item&gt;&lt;item&gt;786&lt;/item&gt;&lt;item&gt;787&lt;/item&gt;&lt;item&gt;788&lt;/item&gt;&lt;item&gt;789&lt;/item&gt;&lt;item&gt;790&lt;/item&gt;&lt;item&gt;791&lt;/item&gt;&lt;item&gt;792&lt;/item&gt;&lt;item&gt;794&lt;/item&gt;&lt;item&gt;795&lt;/item&gt;&lt;item&gt;797&lt;/item&gt;&lt;item&gt;798&lt;/item&gt;&lt;item&gt;799&lt;/item&gt;&lt;item&gt;800&lt;/item&gt;&lt;item&gt;801&lt;/item&gt;&lt;item&gt;803&lt;/item&gt;&lt;item&gt;809&lt;/item&gt;&lt;item&gt;810&lt;/item&gt;&lt;item&gt;811&lt;/item&gt;&lt;item&gt;812&lt;/item&gt;&lt;item&gt;813&lt;/item&gt;&lt;item&gt;817&lt;/item&gt;&lt;item&gt;818&lt;/item&gt;&lt;item&gt;820&lt;/item&gt;&lt;item&gt;821&lt;/item&gt;&lt;item&gt;822&lt;/item&gt;&lt;item&gt;823&lt;/item&gt;&lt;item&gt;843&lt;/item&gt;&lt;item&gt;844&lt;/item&gt;&lt;item&gt;847&lt;/item&gt;&lt;item&gt;849&lt;/item&gt;&lt;item&gt;850&lt;/item&gt;&lt;item&gt;853&lt;/item&gt;&lt;item&gt;854&lt;/item&gt;&lt;item&gt;855&lt;/item&gt;&lt;item&gt;856&lt;/item&gt;&lt;item&gt;868&lt;/item&gt;&lt;/record-ids&gt;&lt;/item&gt;&lt;/Libraries&gt;"/>
  </w:docVars>
  <w:rsids>
    <w:rsidRoot w:val="00B30BC3"/>
    <w:rsid w:val="BDA87537"/>
    <w:rsid w:val="00003BB6"/>
    <w:rsid w:val="00006E2A"/>
    <w:rsid w:val="000121A7"/>
    <w:rsid w:val="00014E60"/>
    <w:rsid w:val="000179F5"/>
    <w:rsid w:val="000222EB"/>
    <w:rsid w:val="00033695"/>
    <w:rsid w:val="000342A0"/>
    <w:rsid w:val="00035CCC"/>
    <w:rsid w:val="0003646D"/>
    <w:rsid w:val="000364A3"/>
    <w:rsid w:val="00043C1E"/>
    <w:rsid w:val="00050766"/>
    <w:rsid w:val="0005257A"/>
    <w:rsid w:val="00054361"/>
    <w:rsid w:val="00062025"/>
    <w:rsid w:val="0006272B"/>
    <w:rsid w:val="000666AF"/>
    <w:rsid w:val="0007252D"/>
    <w:rsid w:val="000774B1"/>
    <w:rsid w:val="00077987"/>
    <w:rsid w:val="0008401B"/>
    <w:rsid w:val="00084A8C"/>
    <w:rsid w:val="00087F9B"/>
    <w:rsid w:val="00095183"/>
    <w:rsid w:val="000A20B1"/>
    <w:rsid w:val="000A339D"/>
    <w:rsid w:val="000A4388"/>
    <w:rsid w:val="000B2BC9"/>
    <w:rsid w:val="000B69C7"/>
    <w:rsid w:val="000C3210"/>
    <w:rsid w:val="000C58B8"/>
    <w:rsid w:val="000C59ED"/>
    <w:rsid w:val="000D3E37"/>
    <w:rsid w:val="000D4B7D"/>
    <w:rsid w:val="000D4F83"/>
    <w:rsid w:val="000D5360"/>
    <w:rsid w:val="000E6B48"/>
    <w:rsid w:val="000E7758"/>
    <w:rsid w:val="000F27AA"/>
    <w:rsid w:val="000F2E5A"/>
    <w:rsid w:val="000F3098"/>
    <w:rsid w:val="00111FED"/>
    <w:rsid w:val="001130F9"/>
    <w:rsid w:val="00114802"/>
    <w:rsid w:val="00117777"/>
    <w:rsid w:val="001264CE"/>
    <w:rsid w:val="00127CD5"/>
    <w:rsid w:val="001314C7"/>
    <w:rsid w:val="001337FB"/>
    <w:rsid w:val="00141DD7"/>
    <w:rsid w:val="00144A9A"/>
    <w:rsid w:val="00145E0D"/>
    <w:rsid w:val="0015279F"/>
    <w:rsid w:val="00153EEB"/>
    <w:rsid w:val="001633AE"/>
    <w:rsid w:val="00163A16"/>
    <w:rsid w:val="00164D98"/>
    <w:rsid w:val="0016640F"/>
    <w:rsid w:val="00166F74"/>
    <w:rsid w:val="0017004E"/>
    <w:rsid w:val="00170F20"/>
    <w:rsid w:val="00173279"/>
    <w:rsid w:val="001871C3"/>
    <w:rsid w:val="00191F49"/>
    <w:rsid w:val="001C06FF"/>
    <w:rsid w:val="001C4375"/>
    <w:rsid w:val="001D04AC"/>
    <w:rsid w:val="001D201E"/>
    <w:rsid w:val="001E4BF6"/>
    <w:rsid w:val="001E5704"/>
    <w:rsid w:val="001E7479"/>
    <w:rsid w:val="001F2F97"/>
    <w:rsid w:val="001F32B8"/>
    <w:rsid w:val="002025D9"/>
    <w:rsid w:val="00203209"/>
    <w:rsid w:val="0021129C"/>
    <w:rsid w:val="00212E22"/>
    <w:rsid w:val="00214E29"/>
    <w:rsid w:val="00217D65"/>
    <w:rsid w:val="002237E0"/>
    <w:rsid w:val="0022632E"/>
    <w:rsid w:val="00240E76"/>
    <w:rsid w:val="00246A32"/>
    <w:rsid w:val="00247C15"/>
    <w:rsid w:val="002606C2"/>
    <w:rsid w:val="00261E1A"/>
    <w:rsid w:val="00263834"/>
    <w:rsid w:val="00264335"/>
    <w:rsid w:val="00270A96"/>
    <w:rsid w:val="00272487"/>
    <w:rsid w:val="00272E42"/>
    <w:rsid w:val="00275D21"/>
    <w:rsid w:val="00276237"/>
    <w:rsid w:val="00280968"/>
    <w:rsid w:val="00285503"/>
    <w:rsid w:val="00285F67"/>
    <w:rsid w:val="00286E82"/>
    <w:rsid w:val="00287BCB"/>
    <w:rsid w:val="00294CB0"/>
    <w:rsid w:val="002A2D9E"/>
    <w:rsid w:val="002B1B9F"/>
    <w:rsid w:val="002C78A7"/>
    <w:rsid w:val="002C7F77"/>
    <w:rsid w:val="002D1A3E"/>
    <w:rsid w:val="002E0188"/>
    <w:rsid w:val="002E4534"/>
    <w:rsid w:val="002E7D5C"/>
    <w:rsid w:val="002F1EBA"/>
    <w:rsid w:val="002F3F4B"/>
    <w:rsid w:val="002F4012"/>
    <w:rsid w:val="00302402"/>
    <w:rsid w:val="00307279"/>
    <w:rsid w:val="003155A1"/>
    <w:rsid w:val="00317F65"/>
    <w:rsid w:val="00320521"/>
    <w:rsid w:val="003212B0"/>
    <w:rsid w:val="00322E3A"/>
    <w:rsid w:val="00324666"/>
    <w:rsid w:val="00336B95"/>
    <w:rsid w:val="003419D7"/>
    <w:rsid w:val="00342717"/>
    <w:rsid w:val="00343E34"/>
    <w:rsid w:val="00347A86"/>
    <w:rsid w:val="00352126"/>
    <w:rsid w:val="0035777F"/>
    <w:rsid w:val="00361A74"/>
    <w:rsid w:val="0036322F"/>
    <w:rsid w:val="00364AA6"/>
    <w:rsid w:val="0037212B"/>
    <w:rsid w:val="003834F4"/>
    <w:rsid w:val="00384088"/>
    <w:rsid w:val="0038528D"/>
    <w:rsid w:val="0038573C"/>
    <w:rsid w:val="0038598C"/>
    <w:rsid w:val="0038682A"/>
    <w:rsid w:val="00386B81"/>
    <w:rsid w:val="00387A05"/>
    <w:rsid w:val="0039041E"/>
    <w:rsid w:val="003911EA"/>
    <w:rsid w:val="00391ADC"/>
    <w:rsid w:val="003948EC"/>
    <w:rsid w:val="003A076E"/>
    <w:rsid w:val="003A09D1"/>
    <w:rsid w:val="003A137E"/>
    <w:rsid w:val="003A352E"/>
    <w:rsid w:val="003A4CE7"/>
    <w:rsid w:val="003A6F39"/>
    <w:rsid w:val="003B2CE2"/>
    <w:rsid w:val="003B4083"/>
    <w:rsid w:val="003B7DF0"/>
    <w:rsid w:val="003C0C2A"/>
    <w:rsid w:val="003C24D9"/>
    <w:rsid w:val="003C5B69"/>
    <w:rsid w:val="003D1144"/>
    <w:rsid w:val="003D63F6"/>
    <w:rsid w:val="003D69BD"/>
    <w:rsid w:val="003E0CBE"/>
    <w:rsid w:val="003E7613"/>
    <w:rsid w:val="003F26AF"/>
    <w:rsid w:val="00410570"/>
    <w:rsid w:val="00411796"/>
    <w:rsid w:val="00416C1A"/>
    <w:rsid w:val="00421FAA"/>
    <w:rsid w:val="00424AB7"/>
    <w:rsid w:val="0042633D"/>
    <w:rsid w:val="00431388"/>
    <w:rsid w:val="00431FFC"/>
    <w:rsid w:val="00432774"/>
    <w:rsid w:val="004400DF"/>
    <w:rsid w:val="00441D51"/>
    <w:rsid w:val="00451769"/>
    <w:rsid w:val="00453132"/>
    <w:rsid w:val="00460F77"/>
    <w:rsid w:val="00473BF1"/>
    <w:rsid w:val="004754C9"/>
    <w:rsid w:val="00481A1A"/>
    <w:rsid w:val="004823E1"/>
    <w:rsid w:val="004B11AF"/>
    <w:rsid w:val="004B52C5"/>
    <w:rsid w:val="004C2C62"/>
    <w:rsid w:val="004C2F39"/>
    <w:rsid w:val="004C3B29"/>
    <w:rsid w:val="004C5313"/>
    <w:rsid w:val="004C5DB2"/>
    <w:rsid w:val="004C6450"/>
    <w:rsid w:val="004D2B01"/>
    <w:rsid w:val="004E0368"/>
    <w:rsid w:val="004E28B4"/>
    <w:rsid w:val="004E2F6D"/>
    <w:rsid w:val="004E782D"/>
    <w:rsid w:val="004F134E"/>
    <w:rsid w:val="004F7C7D"/>
    <w:rsid w:val="00502367"/>
    <w:rsid w:val="00503471"/>
    <w:rsid w:val="00510338"/>
    <w:rsid w:val="00511DB2"/>
    <w:rsid w:val="00514A3F"/>
    <w:rsid w:val="00525098"/>
    <w:rsid w:val="0054424E"/>
    <w:rsid w:val="00546BBF"/>
    <w:rsid w:val="00550854"/>
    <w:rsid w:val="00553800"/>
    <w:rsid w:val="00556F09"/>
    <w:rsid w:val="0056176C"/>
    <w:rsid w:val="00563752"/>
    <w:rsid w:val="00565970"/>
    <w:rsid w:val="005716F0"/>
    <w:rsid w:val="0057591B"/>
    <w:rsid w:val="00585B52"/>
    <w:rsid w:val="00586586"/>
    <w:rsid w:val="00590BE6"/>
    <w:rsid w:val="0059350D"/>
    <w:rsid w:val="0059578C"/>
    <w:rsid w:val="005A2C65"/>
    <w:rsid w:val="005A6431"/>
    <w:rsid w:val="005A7CDC"/>
    <w:rsid w:val="005B4548"/>
    <w:rsid w:val="005C3E2B"/>
    <w:rsid w:val="005D5FBB"/>
    <w:rsid w:val="005E1ECB"/>
    <w:rsid w:val="005E2E0C"/>
    <w:rsid w:val="005E5228"/>
    <w:rsid w:val="005F2F5F"/>
    <w:rsid w:val="005F5D6C"/>
    <w:rsid w:val="006004EB"/>
    <w:rsid w:val="00600B5C"/>
    <w:rsid w:val="0060400B"/>
    <w:rsid w:val="006048E7"/>
    <w:rsid w:val="00605B45"/>
    <w:rsid w:val="00611C5F"/>
    <w:rsid w:val="006162D9"/>
    <w:rsid w:val="00616A5D"/>
    <w:rsid w:val="0062140C"/>
    <w:rsid w:val="0062217F"/>
    <w:rsid w:val="00623E77"/>
    <w:rsid w:val="0062733A"/>
    <w:rsid w:val="006302C8"/>
    <w:rsid w:val="0064604B"/>
    <w:rsid w:val="0064622E"/>
    <w:rsid w:val="00646CF0"/>
    <w:rsid w:val="0065540D"/>
    <w:rsid w:val="00655552"/>
    <w:rsid w:val="00660CBE"/>
    <w:rsid w:val="00661C2D"/>
    <w:rsid w:val="00662E52"/>
    <w:rsid w:val="006640A2"/>
    <w:rsid w:val="00664525"/>
    <w:rsid w:val="00667BDF"/>
    <w:rsid w:val="006728B0"/>
    <w:rsid w:val="00674CC5"/>
    <w:rsid w:val="006775D7"/>
    <w:rsid w:val="00680193"/>
    <w:rsid w:val="00682118"/>
    <w:rsid w:val="006848C8"/>
    <w:rsid w:val="00684C46"/>
    <w:rsid w:val="00691FE5"/>
    <w:rsid w:val="0069212C"/>
    <w:rsid w:val="00692E29"/>
    <w:rsid w:val="00696066"/>
    <w:rsid w:val="00696A48"/>
    <w:rsid w:val="006A6C22"/>
    <w:rsid w:val="006A7A6E"/>
    <w:rsid w:val="006B7DCE"/>
    <w:rsid w:val="006C262A"/>
    <w:rsid w:val="006C5368"/>
    <w:rsid w:val="006C53AB"/>
    <w:rsid w:val="006C574F"/>
    <w:rsid w:val="006C58F2"/>
    <w:rsid w:val="006C6722"/>
    <w:rsid w:val="006C6E88"/>
    <w:rsid w:val="006D0474"/>
    <w:rsid w:val="006D142F"/>
    <w:rsid w:val="006D4AC5"/>
    <w:rsid w:val="006D61B9"/>
    <w:rsid w:val="006D7890"/>
    <w:rsid w:val="006E2409"/>
    <w:rsid w:val="006E7713"/>
    <w:rsid w:val="006F30F3"/>
    <w:rsid w:val="00702B0E"/>
    <w:rsid w:val="00702F71"/>
    <w:rsid w:val="00710278"/>
    <w:rsid w:val="00711171"/>
    <w:rsid w:val="00723455"/>
    <w:rsid w:val="007243E2"/>
    <w:rsid w:val="007265D3"/>
    <w:rsid w:val="007300E9"/>
    <w:rsid w:val="0073583A"/>
    <w:rsid w:val="00740F67"/>
    <w:rsid w:val="00741507"/>
    <w:rsid w:val="00745C2A"/>
    <w:rsid w:val="00747ADE"/>
    <w:rsid w:val="00747F8F"/>
    <w:rsid w:val="00753E6B"/>
    <w:rsid w:val="00756781"/>
    <w:rsid w:val="007643F5"/>
    <w:rsid w:val="00776A7C"/>
    <w:rsid w:val="0077788A"/>
    <w:rsid w:val="00780A29"/>
    <w:rsid w:val="00787439"/>
    <w:rsid w:val="007900DA"/>
    <w:rsid w:val="00793CAF"/>
    <w:rsid w:val="007A1BDB"/>
    <w:rsid w:val="007A2AB8"/>
    <w:rsid w:val="007A3BEE"/>
    <w:rsid w:val="007A4FF3"/>
    <w:rsid w:val="007B56FD"/>
    <w:rsid w:val="007C206D"/>
    <w:rsid w:val="007C30BC"/>
    <w:rsid w:val="007E39E1"/>
    <w:rsid w:val="007E5D6F"/>
    <w:rsid w:val="007F32DA"/>
    <w:rsid w:val="007F3E8B"/>
    <w:rsid w:val="007F70F6"/>
    <w:rsid w:val="00806C5C"/>
    <w:rsid w:val="008107AD"/>
    <w:rsid w:val="008215EB"/>
    <w:rsid w:val="00824B9C"/>
    <w:rsid w:val="00827FC5"/>
    <w:rsid w:val="00834A64"/>
    <w:rsid w:val="00845B27"/>
    <w:rsid w:val="00852799"/>
    <w:rsid w:val="00855F36"/>
    <w:rsid w:val="00862BF5"/>
    <w:rsid w:val="00866BF2"/>
    <w:rsid w:val="00872BF6"/>
    <w:rsid w:val="0088598F"/>
    <w:rsid w:val="00887016"/>
    <w:rsid w:val="00891DCB"/>
    <w:rsid w:val="008955DF"/>
    <w:rsid w:val="00897A67"/>
    <w:rsid w:val="008A08C0"/>
    <w:rsid w:val="008A4036"/>
    <w:rsid w:val="008A52A5"/>
    <w:rsid w:val="008B4AAC"/>
    <w:rsid w:val="008B4B02"/>
    <w:rsid w:val="008B5FC9"/>
    <w:rsid w:val="008B697C"/>
    <w:rsid w:val="008B7AD5"/>
    <w:rsid w:val="008C361E"/>
    <w:rsid w:val="008C7944"/>
    <w:rsid w:val="008D062C"/>
    <w:rsid w:val="008D0DCA"/>
    <w:rsid w:val="008D3B32"/>
    <w:rsid w:val="008D574D"/>
    <w:rsid w:val="008E3153"/>
    <w:rsid w:val="008E3EA8"/>
    <w:rsid w:val="008E451E"/>
    <w:rsid w:val="008E46B1"/>
    <w:rsid w:val="008E73F0"/>
    <w:rsid w:val="008E78CC"/>
    <w:rsid w:val="008F2205"/>
    <w:rsid w:val="008F6E42"/>
    <w:rsid w:val="00900663"/>
    <w:rsid w:val="00901244"/>
    <w:rsid w:val="00903CA6"/>
    <w:rsid w:val="00905C16"/>
    <w:rsid w:val="0091401F"/>
    <w:rsid w:val="009147B3"/>
    <w:rsid w:val="00920BE8"/>
    <w:rsid w:val="00920E5E"/>
    <w:rsid w:val="009210FB"/>
    <w:rsid w:val="00922849"/>
    <w:rsid w:val="0092315E"/>
    <w:rsid w:val="0092777A"/>
    <w:rsid w:val="00927DE6"/>
    <w:rsid w:val="009345FC"/>
    <w:rsid w:val="00937F3D"/>
    <w:rsid w:val="009443FE"/>
    <w:rsid w:val="00946800"/>
    <w:rsid w:val="00952D3D"/>
    <w:rsid w:val="00956211"/>
    <w:rsid w:val="009563F4"/>
    <w:rsid w:val="00956C4D"/>
    <w:rsid w:val="00960FAF"/>
    <w:rsid w:val="00964039"/>
    <w:rsid w:val="00966993"/>
    <w:rsid w:val="00972990"/>
    <w:rsid w:val="009828D3"/>
    <w:rsid w:val="00985806"/>
    <w:rsid w:val="009860A8"/>
    <w:rsid w:val="00987C59"/>
    <w:rsid w:val="00992CB9"/>
    <w:rsid w:val="009A0ABF"/>
    <w:rsid w:val="009A1F5A"/>
    <w:rsid w:val="009A3534"/>
    <w:rsid w:val="009A4057"/>
    <w:rsid w:val="009A4DFD"/>
    <w:rsid w:val="009B1D49"/>
    <w:rsid w:val="009B2CAD"/>
    <w:rsid w:val="009C215E"/>
    <w:rsid w:val="009C3E62"/>
    <w:rsid w:val="009C4E0F"/>
    <w:rsid w:val="009C5ACF"/>
    <w:rsid w:val="009C7C70"/>
    <w:rsid w:val="009D3AD0"/>
    <w:rsid w:val="009D4465"/>
    <w:rsid w:val="009D5796"/>
    <w:rsid w:val="00A06800"/>
    <w:rsid w:val="00A10913"/>
    <w:rsid w:val="00A152D4"/>
    <w:rsid w:val="00A20FFB"/>
    <w:rsid w:val="00A24FCD"/>
    <w:rsid w:val="00A30F77"/>
    <w:rsid w:val="00A32EEA"/>
    <w:rsid w:val="00A3716A"/>
    <w:rsid w:val="00A3756A"/>
    <w:rsid w:val="00A445D7"/>
    <w:rsid w:val="00A45340"/>
    <w:rsid w:val="00A46111"/>
    <w:rsid w:val="00A47866"/>
    <w:rsid w:val="00A526C7"/>
    <w:rsid w:val="00A6170F"/>
    <w:rsid w:val="00A63CD7"/>
    <w:rsid w:val="00A67985"/>
    <w:rsid w:val="00A70251"/>
    <w:rsid w:val="00A734E6"/>
    <w:rsid w:val="00A83B43"/>
    <w:rsid w:val="00A96094"/>
    <w:rsid w:val="00AA1E2C"/>
    <w:rsid w:val="00AA3616"/>
    <w:rsid w:val="00AB389E"/>
    <w:rsid w:val="00AB47E4"/>
    <w:rsid w:val="00AC1F93"/>
    <w:rsid w:val="00AC40EE"/>
    <w:rsid w:val="00AC5480"/>
    <w:rsid w:val="00AD76B0"/>
    <w:rsid w:val="00AE5062"/>
    <w:rsid w:val="00AF295D"/>
    <w:rsid w:val="00B003F5"/>
    <w:rsid w:val="00B00E21"/>
    <w:rsid w:val="00B26A6E"/>
    <w:rsid w:val="00B30BC3"/>
    <w:rsid w:val="00B36442"/>
    <w:rsid w:val="00B408E9"/>
    <w:rsid w:val="00B43759"/>
    <w:rsid w:val="00B47F11"/>
    <w:rsid w:val="00B52F93"/>
    <w:rsid w:val="00B54876"/>
    <w:rsid w:val="00B60668"/>
    <w:rsid w:val="00B60AD3"/>
    <w:rsid w:val="00B7570E"/>
    <w:rsid w:val="00B81F3F"/>
    <w:rsid w:val="00B82724"/>
    <w:rsid w:val="00B86FEB"/>
    <w:rsid w:val="00B915E4"/>
    <w:rsid w:val="00B92991"/>
    <w:rsid w:val="00B96017"/>
    <w:rsid w:val="00BA0A4C"/>
    <w:rsid w:val="00BA0CFF"/>
    <w:rsid w:val="00BA6EF8"/>
    <w:rsid w:val="00BB027B"/>
    <w:rsid w:val="00BB242E"/>
    <w:rsid w:val="00BB4672"/>
    <w:rsid w:val="00BD3996"/>
    <w:rsid w:val="00BD6666"/>
    <w:rsid w:val="00BE154D"/>
    <w:rsid w:val="00BF06DC"/>
    <w:rsid w:val="00BF260A"/>
    <w:rsid w:val="00BF53A9"/>
    <w:rsid w:val="00C022C8"/>
    <w:rsid w:val="00C05010"/>
    <w:rsid w:val="00C13BDE"/>
    <w:rsid w:val="00C27B5D"/>
    <w:rsid w:val="00C3138E"/>
    <w:rsid w:val="00C3541C"/>
    <w:rsid w:val="00C43B3D"/>
    <w:rsid w:val="00C52EAE"/>
    <w:rsid w:val="00C548FC"/>
    <w:rsid w:val="00C6654A"/>
    <w:rsid w:val="00C700D9"/>
    <w:rsid w:val="00C701F9"/>
    <w:rsid w:val="00C7688D"/>
    <w:rsid w:val="00C8380D"/>
    <w:rsid w:val="00C90D44"/>
    <w:rsid w:val="00C9162A"/>
    <w:rsid w:val="00C935C0"/>
    <w:rsid w:val="00C94612"/>
    <w:rsid w:val="00CA14EC"/>
    <w:rsid w:val="00CA4135"/>
    <w:rsid w:val="00CA5836"/>
    <w:rsid w:val="00CB0023"/>
    <w:rsid w:val="00CB04C3"/>
    <w:rsid w:val="00CB26AF"/>
    <w:rsid w:val="00CB6923"/>
    <w:rsid w:val="00CC12AD"/>
    <w:rsid w:val="00CC1ADF"/>
    <w:rsid w:val="00CD2708"/>
    <w:rsid w:val="00CD758F"/>
    <w:rsid w:val="00CE7971"/>
    <w:rsid w:val="00CE79D7"/>
    <w:rsid w:val="00CE7DDC"/>
    <w:rsid w:val="00CF32BE"/>
    <w:rsid w:val="00D00B4B"/>
    <w:rsid w:val="00D10823"/>
    <w:rsid w:val="00D11AFE"/>
    <w:rsid w:val="00D20F53"/>
    <w:rsid w:val="00D228DA"/>
    <w:rsid w:val="00D2295C"/>
    <w:rsid w:val="00D24F81"/>
    <w:rsid w:val="00D26C56"/>
    <w:rsid w:val="00D403BC"/>
    <w:rsid w:val="00D41C0A"/>
    <w:rsid w:val="00D43B73"/>
    <w:rsid w:val="00D45AA4"/>
    <w:rsid w:val="00D50641"/>
    <w:rsid w:val="00D5092B"/>
    <w:rsid w:val="00D51863"/>
    <w:rsid w:val="00D523B7"/>
    <w:rsid w:val="00D52852"/>
    <w:rsid w:val="00D54100"/>
    <w:rsid w:val="00D55093"/>
    <w:rsid w:val="00D578A6"/>
    <w:rsid w:val="00D64579"/>
    <w:rsid w:val="00D700C3"/>
    <w:rsid w:val="00D7204D"/>
    <w:rsid w:val="00D7792E"/>
    <w:rsid w:val="00D81B3E"/>
    <w:rsid w:val="00D82CEA"/>
    <w:rsid w:val="00D94F22"/>
    <w:rsid w:val="00DA182D"/>
    <w:rsid w:val="00DB0A0D"/>
    <w:rsid w:val="00DB423B"/>
    <w:rsid w:val="00DB460D"/>
    <w:rsid w:val="00DC3563"/>
    <w:rsid w:val="00DE4E27"/>
    <w:rsid w:val="00DE5F42"/>
    <w:rsid w:val="00DE77D9"/>
    <w:rsid w:val="00DF1499"/>
    <w:rsid w:val="00DF3C81"/>
    <w:rsid w:val="00DF4C7F"/>
    <w:rsid w:val="00DF6A1F"/>
    <w:rsid w:val="00E018A5"/>
    <w:rsid w:val="00E021BA"/>
    <w:rsid w:val="00E031E1"/>
    <w:rsid w:val="00E1216B"/>
    <w:rsid w:val="00E12F0A"/>
    <w:rsid w:val="00E1328D"/>
    <w:rsid w:val="00E225F8"/>
    <w:rsid w:val="00E32410"/>
    <w:rsid w:val="00E33E9C"/>
    <w:rsid w:val="00E35EF2"/>
    <w:rsid w:val="00E3756C"/>
    <w:rsid w:val="00E454AB"/>
    <w:rsid w:val="00E45ED2"/>
    <w:rsid w:val="00E460EF"/>
    <w:rsid w:val="00E560D2"/>
    <w:rsid w:val="00E60E31"/>
    <w:rsid w:val="00E61FEE"/>
    <w:rsid w:val="00E731B4"/>
    <w:rsid w:val="00E75520"/>
    <w:rsid w:val="00E80807"/>
    <w:rsid w:val="00E84E40"/>
    <w:rsid w:val="00E858BE"/>
    <w:rsid w:val="00E90F41"/>
    <w:rsid w:val="00E91C22"/>
    <w:rsid w:val="00E95815"/>
    <w:rsid w:val="00E96D45"/>
    <w:rsid w:val="00EC0D75"/>
    <w:rsid w:val="00EC3CD8"/>
    <w:rsid w:val="00ED0FAC"/>
    <w:rsid w:val="00ED4D96"/>
    <w:rsid w:val="00EE0017"/>
    <w:rsid w:val="00EE078A"/>
    <w:rsid w:val="00EE2FBA"/>
    <w:rsid w:val="00EE5FDB"/>
    <w:rsid w:val="00EE6B41"/>
    <w:rsid w:val="00EF0983"/>
    <w:rsid w:val="00F03012"/>
    <w:rsid w:val="00F05A9C"/>
    <w:rsid w:val="00F05E46"/>
    <w:rsid w:val="00F127F0"/>
    <w:rsid w:val="00F16121"/>
    <w:rsid w:val="00F210A1"/>
    <w:rsid w:val="00F24210"/>
    <w:rsid w:val="00F412B1"/>
    <w:rsid w:val="00F41860"/>
    <w:rsid w:val="00F41D51"/>
    <w:rsid w:val="00F424C5"/>
    <w:rsid w:val="00F47F37"/>
    <w:rsid w:val="00F511F3"/>
    <w:rsid w:val="00F51424"/>
    <w:rsid w:val="00F53639"/>
    <w:rsid w:val="00F55343"/>
    <w:rsid w:val="00F56A5E"/>
    <w:rsid w:val="00F56D78"/>
    <w:rsid w:val="00F60BDC"/>
    <w:rsid w:val="00F67733"/>
    <w:rsid w:val="00F751B6"/>
    <w:rsid w:val="00F775D7"/>
    <w:rsid w:val="00F77B89"/>
    <w:rsid w:val="00F77D5C"/>
    <w:rsid w:val="00F816A0"/>
    <w:rsid w:val="00F82795"/>
    <w:rsid w:val="00F857D5"/>
    <w:rsid w:val="00F87EFE"/>
    <w:rsid w:val="00F91124"/>
    <w:rsid w:val="00F94399"/>
    <w:rsid w:val="00F9503E"/>
    <w:rsid w:val="00FA0223"/>
    <w:rsid w:val="00FA2EA1"/>
    <w:rsid w:val="00FA5352"/>
    <w:rsid w:val="00FA5462"/>
    <w:rsid w:val="00FB1550"/>
    <w:rsid w:val="00FB34AB"/>
    <w:rsid w:val="00FB5A89"/>
    <w:rsid w:val="00FC05F2"/>
    <w:rsid w:val="00FD2C81"/>
    <w:rsid w:val="00FD4807"/>
    <w:rsid w:val="00FD6CD0"/>
    <w:rsid w:val="00FE01BE"/>
    <w:rsid w:val="00FF1230"/>
    <w:rsid w:val="00FF2660"/>
    <w:rsid w:val="00FF4942"/>
    <w:rsid w:val="00FF6EA8"/>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950011"/>
  <w15:docId w15:val="{826ECCAF-4771-FC4F-97C9-BC54796BD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pPr>
        <w:spacing w:line="480"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semiHidden="1"/>
    <w:lsdException w:name="caption" w:semiHidden="1" w:unhideWhenUsed="1" w:qFormat="1"/>
    <w:lsdException w:name="annotation reference" w:semiHidden="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ascii="Arial" w:hAnsi="Arial"/>
      <w:szCs w:val="24"/>
      <w:lang w:eastAsia="en-US"/>
    </w:rPr>
  </w:style>
  <w:style w:type="paragraph" w:styleId="1">
    <w:name w:val="heading 1"/>
    <w:basedOn w:val="a"/>
    <w:next w:val="a"/>
    <w:link w:val="10"/>
    <w:qFormat/>
    <w:pPr>
      <w:keepNext/>
      <w:spacing w:before="240" w:after="60"/>
      <w:outlineLvl w:val="0"/>
    </w:pPr>
    <w:rPr>
      <w:rFonts w:cs="Arial"/>
      <w:b/>
      <w:bCs/>
      <w:kern w:val="32"/>
      <w:sz w:val="32"/>
      <w:szCs w:val="32"/>
    </w:rPr>
  </w:style>
  <w:style w:type="paragraph" w:styleId="2">
    <w:name w:val="heading 2"/>
    <w:basedOn w:val="a"/>
    <w:next w:val="a"/>
    <w:link w:val="20"/>
    <w:qFormat/>
    <w:pPr>
      <w:keepNext/>
      <w:spacing w:before="240" w:after="60"/>
      <w:outlineLvl w:val="1"/>
    </w:pPr>
    <w:rPr>
      <w:rFonts w:cs="Arial"/>
      <w:b/>
      <w:bCs/>
      <w:i/>
      <w:iCs/>
      <w:sz w:val="28"/>
      <w:szCs w:val="28"/>
    </w:rPr>
  </w:style>
  <w:style w:type="paragraph" w:styleId="3">
    <w:name w:val="heading 3"/>
    <w:basedOn w:val="a"/>
    <w:next w:val="a"/>
    <w:qFormat/>
    <w:pPr>
      <w:keepNext/>
      <w:spacing w:before="240" w:after="60"/>
      <w:outlineLvl w:val="2"/>
    </w:pPr>
    <w:rPr>
      <w:rFonts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semiHidden/>
    <w:rPr>
      <w:szCs w:val="20"/>
    </w:rPr>
  </w:style>
  <w:style w:type="paragraph" w:styleId="a4">
    <w:name w:val="Balloon Text"/>
    <w:basedOn w:val="a"/>
    <w:semiHidden/>
    <w:rPr>
      <w:rFonts w:ascii="Tahoma" w:hAnsi="Tahoma" w:cs="Tahoma"/>
      <w:sz w:val="16"/>
      <w:szCs w:val="16"/>
    </w:rPr>
  </w:style>
  <w:style w:type="paragraph" w:styleId="a5">
    <w:name w:val="footer"/>
    <w:basedOn w:val="a"/>
    <w:pPr>
      <w:tabs>
        <w:tab w:val="center" w:pos="4320"/>
        <w:tab w:val="right" w:pos="8640"/>
      </w:tabs>
    </w:pPr>
  </w:style>
  <w:style w:type="paragraph" w:styleId="a6">
    <w:name w:val="header"/>
    <w:basedOn w:val="a"/>
    <w:link w:val="a7"/>
    <w:pPr>
      <w:tabs>
        <w:tab w:val="center" w:pos="4680"/>
        <w:tab w:val="right" w:pos="9360"/>
      </w:tabs>
    </w:pPr>
  </w:style>
  <w:style w:type="paragraph" w:styleId="a8">
    <w:name w:val="annotation subject"/>
    <w:basedOn w:val="a3"/>
    <w:next w:val="a3"/>
    <w:semiHidden/>
    <w:rPr>
      <w:b/>
      <w:bCs/>
    </w:rPr>
  </w:style>
  <w:style w:type="table" w:styleId="a9">
    <w:name w:val="Table Grid"/>
    <w:basedOn w:val="a1"/>
    <w:uiPriority w:val="39"/>
    <w:rPr>
      <w:rFonts w:asciiTheme="minorHAnsi"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age number"/>
    <w:basedOn w:val="a0"/>
  </w:style>
  <w:style w:type="character" w:styleId="ab">
    <w:name w:val="FollowedHyperlink"/>
    <w:basedOn w:val="a0"/>
    <w:rPr>
      <w:color w:val="954F72" w:themeColor="followedHyperlink"/>
      <w:u w:val="single"/>
    </w:rPr>
  </w:style>
  <w:style w:type="character" w:styleId="ac">
    <w:name w:val="Emphasis"/>
    <w:qFormat/>
    <w:rPr>
      <w:b/>
      <w:bCs/>
    </w:rPr>
  </w:style>
  <w:style w:type="character" w:styleId="ad">
    <w:name w:val="line number"/>
  </w:style>
  <w:style w:type="character" w:styleId="ae">
    <w:name w:val="Hyperlink"/>
    <w:rPr>
      <w:color w:val="0000FF"/>
      <w:u w:val="single"/>
    </w:rPr>
  </w:style>
  <w:style w:type="character" w:styleId="af">
    <w:name w:val="annotation reference"/>
    <w:semiHidden/>
    <w:rPr>
      <w:sz w:val="16"/>
      <w:szCs w:val="16"/>
    </w:rPr>
  </w:style>
  <w:style w:type="character" w:customStyle="1" w:styleId="a7">
    <w:name w:val="页眉 字符"/>
    <w:link w:val="a6"/>
    <w:rPr>
      <w:rFonts w:ascii="Arial" w:hAnsi="Arial"/>
      <w:szCs w:val="24"/>
      <w:lang w:val="en-US" w:eastAsia="en-US"/>
    </w:rPr>
  </w:style>
  <w:style w:type="paragraph" w:customStyle="1" w:styleId="11">
    <w:name w:val="修订1"/>
    <w:hidden/>
    <w:uiPriority w:val="99"/>
    <w:semiHidden/>
    <w:rPr>
      <w:rFonts w:ascii="Arial" w:hAnsi="Arial"/>
      <w:szCs w:val="24"/>
      <w:lang w:eastAsia="en-US"/>
    </w:rPr>
  </w:style>
  <w:style w:type="character" w:customStyle="1" w:styleId="UnresolvedMention1">
    <w:name w:val="Unresolved Mention1"/>
    <w:basedOn w:val="a0"/>
    <w:uiPriority w:val="99"/>
    <w:semiHidden/>
    <w:unhideWhenUsed/>
    <w:rPr>
      <w:color w:val="605E5C"/>
      <w:shd w:val="clear" w:color="auto" w:fill="E1DFDD"/>
    </w:rPr>
  </w:style>
  <w:style w:type="character" w:customStyle="1" w:styleId="cf01">
    <w:name w:val="cf01"/>
    <w:basedOn w:val="a0"/>
    <w:rPr>
      <w:rFonts w:ascii="Segoe UI" w:hAnsi="Segoe UI" w:cs="Segoe UI" w:hint="default"/>
      <w:sz w:val="18"/>
      <w:szCs w:val="18"/>
    </w:rPr>
  </w:style>
  <w:style w:type="paragraph" w:styleId="af0">
    <w:name w:val="List Paragraph"/>
    <w:basedOn w:val="a"/>
    <w:uiPriority w:val="34"/>
    <w:qFormat/>
    <w:pPr>
      <w:widowControl w:val="0"/>
      <w:spacing w:line="240" w:lineRule="auto"/>
      <w:ind w:firstLineChars="200" w:firstLine="420"/>
      <w:jc w:val="both"/>
    </w:pPr>
    <w:rPr>
      <w:rFonts w:asciiTheme="minorHAnsi" w:hAnsiTheme="minorHAnsi" w:cstheme="minorBidi"/>
      <w:kern w:val="2"/>
      <w:sz w:val="21"/>
      <w:szCs w:val="22"/>
      <w:lang w:eastAsia="zh-CN"/>
    </w:rPr>
  </w:style>
  <w:style w:type="paragraph" w:customStyle="1" w:styleId="EndNoteBibliographyTitle">
    <w:name w:val="EndNote Bibliography Title"/>
    <w:basedOn w:val="a"/>
    <w:link w:val="EndNoteBibliographyTitle0"/>
    <w:pPr>
      <w:jc w:val="center"/>
    </w:pPr>
    <w:rPr>
      <w:rFonts w:cs="Arial"/>
    </w:rPr>
  </w:style>
  <w:style w:type="character" w:customStyle="1" w:styleId="EndNoteBibliographyTitle0">
    <w:name w:val="EndNote Bibliography Title 字符"/>
    <w:basedOn w:val="a0"/>
    <w:link w:val="EndNoteBibliographyTitle"/>
    <w:rPr>
      <w:rFonts w:ascii="Arial" w:hAnsi="Arial" w:cs="Arial"/>
      <w:szCs w:val="24"/>
    </w:rPr>
  </w:style>
  <w:style w:type="paragraph" w:customStyle="1" w:styleId="EndNoteBibliography">
    <w:name w:val="EndNote Bibliography"/>
    <w:basedOn w:val="a"/>
    <w:link w:val="EndNoteBibliography0"/>
    <w:pPr>
      <w:spacing w:line="240" w:lineRule="auto"/>
      <w:jc w:val="both"/>
    </w:pPr>
    <w:rPr>
      <w:rFonts w:cs="Arial"/>
    </w:rPr>
  </w:style>
  <w:style w:type="character" w:customStyle="1" w:styleId="EndNoteBibliography0">
    <w:name w:val="EndNote Bibliography 字符"/>
    <w:basedOn w:val="a0"/>
    <w:link w:val="EndNoteBibliography"/>
    <w:rPr>
      <w:rFonts w:ascii="Arial" w:hAnsi="Arial" w:cs="Arial"/>
      <w:szCs w:val="24"/>
    </w:rPr>
  </w:style>
  <w:style w:type="character" w:customStyle="1" w:styleId="20">
    <w:name w:val="标题 2 字符"/>
    <w:basedOn w:val="a0"/>
    <w:link w:val="2"/>
    <w:rPr>
      <w:rFonts w:ascii="Arial" w:hAnsi="Arial" w:cs="Arial"/>
      <w:b/>
      <w:bCs/>
      <w:i/>
      <w:iCs/>
      <w:sz w:val="28"/>
      <w:szCs w:val="28"/>
    </w:rPr>
  </w:style>
  <w:style w:type="character" w:customStyle="1" w:styleId="10">
    <w:name w:val="标题 1 字符"/>
    <w:basedOn w:val="a0"/>
    <w:link w:val="1"/>
    <w:rPr>
      <w:rFonts w:ascii="Arial" w:hAnsi="Arial" w:cs="Arial"/>
      <w:b/>
      <w:bCs/>
      <w:kern w:val="32"/>
      <w:sz w:val="32"/>
      <w:szCs w:val="32"/>
    </w:rPr>
  </w:style>
  <w:style w:type="character" w:customStyle="1" w:styleId="12">
    <w:name w:val="未处理的提及1"/>
    <w:basedOn w:val="a0"/>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9786739">
      <w:bodyDiv w:val="1"/>
      <w:marLeft w:val="0"/>
      <w:marRight w:val="0"/>
      <w:marTop w:val="0"/>
      <w:marBottom w:val="0"/>
      <w:divBdr>
        <w:top w:val="none" w:sz="0" w:space="0" w:color="auto"/>
        <w:left w:val="none" w:sz="0" w:space="0" w:color="auto"/>
        <w:bottom w:val="none" w:sz="0" w:space="0" w:color="auto"/>
        <w:right w:val="none" w:sz="0" w:space="0" w:color="auto"/>
      </w:divBdr>
    </w:div>
    <w:div w:id="1598097902">
      <w:bodyDiv w:val="1"/>
      <w:marLeft w:val="0"/>
      <w:marRight w:val="0"/>
      <w:marTop w:val="0"/>
      <w:marBottom w:val="0"/>
      <w:divBdr>
        <w:top w:val="none" w:sz="0" w:space="0" w:color="auto"/>
        <w:left w:val="none" w:sz="0" w:space="0" w:color="auto"/>
        <w:bottom w:val="none" w:sz="0" w:space="0" w:color="auto"/>
        <w:right w:val="none" w:sz="0" w:space="0" w:color="auto"/>
      </w:divBdr>
    </w:div>
    <w:div w:id="18322135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Pages>
  <Words>294</Words>
  <Characters>1682</Characters>
  <Application>Microsoft Office Word</Application>
  <DocSecurity>0</DocSecurity>
  <Lines>14</Lines>
  <Paragraphs>3</Paragraphs>
  <ScaleCrop>false</ScaleCrop>
  <Company>Dove Medical Press</Company>
  <LinksUpToDate>false</LinksUpToDate>
  <CharactersWithSpaces>1973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Manuscript template</dc:title>
  <dc:creator>Angela Jones</dc:creator>
  <cp:lastModifiedBy>Microsoft Office User</cp:lastModifiedBy>
  <cp:revision>3</cp:revision>
  <cp:lastPrinted>2009-01-08T05:57:00Z</cp:lastPrinted>
  <dcterms:created xsi:type="dcterms:W3CDTF">2025-02-11T01:27:00Z</dcterms:created>
  <dcterms:modified xsi:type="dcterms:W3CDTF">2025-02-18T23:57:00Z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ActionId">
    <vt:lpwstr>0936c748-9820-4e4e-a7fa-9383c967e889</vt:lpwstr>
  </property>
  <property fmtid="{D5CDD505-2E9C-101B-9397-08002B2CF9AE}" pid="3" name="MSIP_Label_2bbab825-a111-45e4-86a1-18cee0005896_ContentBits">
    <vt:lpwstr>2</vt:lpwstr>
  </property>
  <property fmtid="{D5CDD505-2E9C-101B-9397-08002B2CF9AE}" pid="4" name="MSIP_Label_2bbab825-a111-45e4-86a1-18cee0005896_Enabled">
    <vt:lpwstr>true</vt:lpwstr>
  </property>
  <property fmtid="{D5CDD505-2E9C-101B-9397-08002B2CF9AE}" pid="5" name="MSIP_Label_2bbab825-a111-45e4-86a1-18cee0005896_Method">
    <vt:lpwstr>Standard</vt:lpwstr>
  </property>
  <property fmtid="{D5CDD505-2E9C-101B-9397-08002B2CF9AE}" pid="6" name="MSIP_Label_2bbab825-a111-45e4-86a1-18cee0005896_Name">
    <vt:lpwstr>2bbab825-a111-45e4-86a1-18cee0005896</vt:lpwstr>
  </property>
  <property fmtid="{D5CDD505-2E9C-101B-9397-08002B2CF9AE}" pid="7" name="MSIP_Label_2bbab825-a111-45e4-86a1-18cee0005896_SetDate">
    <vt:lpwstr>2022-06-22T01:38:32Z</vt:lpwstr>
  </property>
  <property fmtid="{D5CDD505-2E9C-101B-9397-08002B2CF9AE}" pid="8" name="MSIP_Label_2bbab825-a111-45e4-86a1-18cee0005896_SiteId">
    <vt:lpwstr>2567d566-604c-408a-8a60-55d0dc9d9d6b</vt:lpwstr>
  </property>
  <property fmtid="{D5CDD505-2E9C-101B-9397-08002B2CF9AE}" pid="9" name="KSOProductBuildVer">
    <vt:lpwstr>2052-6.14.0.8924</vt:lpwstr>
  </property>
  <property fmtid="{D5CDD505-2E9C-101B-9397-08002B2CF9AE}" pid="10" name="ICV">
    <vt:lpwstr>65A6EB3BD268D1565675A8679E17DD8C_42</vt:lpwstr>
  </property>
</Properties>
</file>