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3C2F9">
      <w:pPr>
        <w:rPr>
          <w:rFonts w:hAnsi="Cambria"/>
          <w:b/>
          <w:color w:val="000000" w:themeColor="text1"/>
          <w:kern w:val="24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Ansi="Cambria"/>
          <w:b/>
          <w:color w:val="000000" w:themeColor="text1"/>
          <w:kern w:val="24"/>
          <w:sz w:val="24"/>
          <w:szCs w:val="22"/>
          <w14:textFill>
            <w14:solidFill>
              <w14:schemeClr w14:val="tx1"/>
            </w14:solidFill>
          </w14:textFill>
        </w:rPr>
        <w:t>Table S1: Outcome of patients with delirium in relation to the admission time.</w:t>
      </w:r>
    </w:p>
    <w:tbl>
      <w:tblPr>
        <w:tblStyle w:val="3"/>
        <w:tblW w:w="109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3"/>
        <w:gridCol w:w="2795"/>
        <w:gridCol w:w="2847"/>
        <w:gridCol w:w="895"/>
      </w:tblGrid>
      <w:tr w14:paraId="62E34122">
        <w:trPr>
          <w:trHeight w:val="320" w:hRule="atLeast"/>
          <w:jc w:val="center"/>
        </w:trPr>
        <w:tc>
          <w:tcPr>
            <w:tcW w:w="4413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3DA1B744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Outcome</w:t>
            </w:r>
          </w:p>
        </w:tc>
        <w:tc>
          <w:tcPr>
            <w:tcW w:w="2795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4124CF7F">
            <w:pPr>
              <w:widowControl/>
              <w:jc w:val="left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hint="eastAsia"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ddimision</w:t>
            </w: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≤24 Hours (n=33)</w:t>
            </w:r>
          </w:p>
        </w:tc>
        <w:tc>
          <w:tcPr>
            <w:tcW w:w="2847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7EBBFB70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hint="eastAsia"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ddimision</w:t>
            </w: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&gt;24 Hours (n=41)</w:t>
            </w:r>
          </w:p>
        </w:tc>
        <w:tc>
          <w:tcPr>
            <w:tcW w:w="895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254D6009">
            <w:pPr>
              <w:widowControl/>
              <w:jc w:val="center"/>
              <w:textAlignment w:val="center"/>
              <w:rPr>
                <w:rFonts w:ascii="Arial Italic" w:hAnsi="Arial Italic" w:eastAsia="Arial Italic" w:cs="Arial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Italic" w:hAnsi="Arial Italic" w:eastAsia="Arial Italic" w:cs="Arial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Arial" w:hAnsi="Arial" w:eastAsia="Arial Italic" w:cs="Arial"/>
                <w:color w:val="000000"/>
                <w:kern w:val="0"/>
                <w:sz w:val="20"/>
                <w:szCs w:val="20"/>
                <w:lang w:bidi="ar"/>
              </w:rPr>
              <w:t>-value</w:t>
            </w:r>
          </w:p>
        </w:tc>
      </w:tr>
      <w:tr w14:paraId="647DB66D">
        <w:trPr>
          <w:trHeight w:val="320" w:hRule="atLeast"/>
          <w:jc w:val="center"/>
        </w:trPr>
        <w:tc>
          <w:tcPr>
            <w:tcW w:w="0" w:type="auto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4B2A3995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Discharge NIHSS score</w:t>
            </w:r>
          </w:p>
        </w:tc>
        <w:tc>
          <w:tcPr>
            <w:tcW w:w="0" w:type="auto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0A1C07CA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6.00 [3.50, 13.00]</w:t>
            </w:r>
          </w:p>
        </w:tc>
        <w:tc>
          <w:tcPr>
            <w:tcW w:w="0" w:type="auto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6BF39CF4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6.00 [2.00, 9.00]</w:t>
            </w:r>
          </w:p>
        </w:tc>
        <w:tc>
          <w:tcPr>
            <w:tcW w:w="895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0B51229F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</w:tr>
      <w:tr w14:paraId="3CFF284E">
        <w:trPr>
          <w:trHeight w:val="311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BC4334C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Discharge mRS score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95E8DAA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4.00 [3.00, 4.00]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2E44982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3.00 [2.00, 4.00]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3C90FB8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</w:tr>
      <w:tr w14:paraId="3C7B2A0B">
        <w:trPr>
          <w:trHeight w:val="311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0893813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Adverse prognosis at discharge(mRS&gt;2), n (%)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9FB85B6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26 (78.8)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713524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28 (68.3)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C8B0F59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</w:tr>
      <w:tr w14:paraId="410BE154">
        <w:trPr>
          <w:trHeight w:val="311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AE274CA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3-month mRS score at discharge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D112F9A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3.00 [1.00, 5.00]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0A2E132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3.00 [1.00, 4.00]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020ECAE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</w:tr>
      <w:tr w14:paraId="3014AB7A">
        <w:trPr>
          <w:trHeight w:val="311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9704525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3-month outcome (mRS &gt; 1), n (%)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D33CEC2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24 (72.7)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F98C754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28 (68.3)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AB1A258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0.874</w:t>
            </w:r>
          </w:p>
        </w:tc>
      </w:tr>
      <w:tr w14:paraId="143E33B7">
        <w:trPr>
          <w:trHeight w:val="311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ABA559C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3-month outcome (mRS &gt; 2), n (%)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E3FEBCC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20 (60.6)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798189E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23 (56.1)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B58C1F5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0.878</w:t>
            </w:r>
          </w:p>
        </w:tc>
      </w:tr>
      <w:tr w14:paraId="0CD07B10">
        <w:trPr>
          <w:trHeight w:val="311" w:hRule="atLeast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8FD0986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3-month outcome (mRS &gt; 3), n (%)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0031D0C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14 (42.4) 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24C9F86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18 (43.9) </w:t>
            </w:r>
          </w:p>
        </w:tc>
        <w:tc>
          <w:tcPr>
            <w:tcW w:w="895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FA0F228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14:paraId="6BBD2EE2">
        <w:trPr>
          <w:trHeight w:val="320" w:hRule="atLeast"/>
          <w:jc w:val="center"/>
        </w:trPr>
        <w:tc>
          <w:tcPr>
            <w:tcW w:w="0" w:type="auto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BE7E6F4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3-month mortality, n (%)</w:t>
            </w:r>
          </w:p>
        </w:tc>
        <w:tc>
          <w:tcPr>
            <w:tcW w:w="0" w:type="auto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CE967E5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 2 (6.1) </w:t>
            </w:r>
          </w:p>
        </w:tc>
        <w:tc>
          <w:tcPr>
            <w:tcW w:w="0" w:type="auto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1DA539E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 2 (4.9) </w:t>
            </w:r>
          </w:p>
        </w:tc>
        <w:tc>
          <w:tcPr>
            <w:tcW w:w="895" w:type="dxa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AB43519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14:paraId="45B2478B">
      <w:r>
        <w:rPr>
          <w:rFonts w:hint="eastAsia"/>
        </w:rPr>
        <w:t>Notes: Comparing the 3-month prognosis of patients with delirium occurring</w:t>
      </w:r>
      <w:r>
        <w:rPr>
          <w:rFonts w:hint="default"/>
          <w:lang w:val="en-US"/>
        </w:rPr>
        <w:t xml:space="preserve"> </w:t>
      </w:r>
      <w:bookmarkStart w:id="0" w:name="_GoBack"/>
      <w:bookmarkEnd w:id="0"/>
      <w:r>
        <w:rPr>
          <w:rFonts w:hint="eastAsia"/>
        </w:rPr>
        <w:t>≤24 hours after admission and &gt;24 hours after admission</w:t>
      </w:r>
      <w:r>
        <w:t xml:space="preserve">. </w:t>
      </w:r>
    </w:p>
    <w:p w14:paraId="636F88EB">
      <w:r>
        <w:t>Abbreviations: NIHSS, National insti_x0002_tutes of health stroke scale; mRS, Modified rankin scale.</w:t>
      </w:r>
    </w:p>
    <w:p w14:paraId="564AB889">
      <w:pPr>
        <w:widowControl/>
        <w:jc w:val="left"/>
        <w:rPr>
          <w:rFonts w:ascii="Arial Regular" w:hAnsi="Arial Regular" w:cs="Arial Regular"/>
          <w:sz w:val="15"/>
          <w:szCs w:val="18"/>
        </w:rPr>
      </w:pPr>
    </w:p>
    <w:p w14:paraId="1C7D8F3C">
      <w:pPr>
        <w:widowControl/>
        <w:jc w:val="left"/>
        <w:rPr>
          <w:rFonts w:ascii="Arial Regular" w:hAnsi="Arial Regular" w:cs="Arial Regular"/>
          <w:sz w:val="15"/>
          <w:szCs w:val="18"/>
        </w:rPr>
      </w:pPr>
    </w:p>
    <w:p w14:paraId="6F831F47">
      <w:pPr>
        <w:widowControl/>
        <w:jc w:val="left"/>
        <w:rPr>
          <w:rFonts w:ascii="Arial Regular" w:hAnsi="Arial Regular" w:cs="Arial Regular"/>
          <w:sz w:val="15"/>
          <w:szCs w:val="18"/>
        </w:rPr>
      </w:pPr>
    </w:p>
    <w:p w14:paraId="6D67E922">
      <w:pPr>
        <w:widowControl/>
        <w:jc w:val="left"/>
        <w:rPr>
          <w:rFonts w:ascii="Arial Regular" w:hAnsi="Arial Regular" w:cs="Arial Regular"/>
          <w:sz w:val="15"/>
          <w:szCs w:val="18"/>
        </w:rPr>
      </w:pPr>
    </w:p>
    <w:p w14:paraId="104DD6E6">
      <w:pPr>
        <w:widowControl/>
        <w:jc w:val="left"/>
        <w:rPr>
          <w:rFonts w:ascii="Arial Regular" w:hAnsi="Arial Regular" w:cs="Arial Regular"/>
          <w:sz w:val="15"/>
          <w:szCs w:val="18"/>
        </w:rPr>
      </w:pPr>
    </w:p>
    <w:p w14:paraId="68015CD8">
      <w:pPr>
        <w:widowControl/>
        <w:jc w:val="left"/>
        <w:rPr>
          <w:rFonts w:ascii="Arial Regular" w:hAnsi="Arial Regular" w:cs="Arial Regular"/>
          <w:sz w:val="18"/>
          <w:szCs w:val="21"/>
        </w:rPr>
      </w:pPr>
    </w:p>
    <w:p w14:paraId="048A5A8C">
      <w:pPr>
        <w:rPr>
          <w:rFonts w:hAnsi="Cambria"/>
          <w:b/>
          <w:color w:val="000000" w:themeColor="text1"/>
          <w:kern w:val="24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Ansi="Cambria"/>
          <w:b/>
          <w:color w:val="000000" w:themeColor="text1"/>
          <w:kern w:val="24"/>
          <w:sz w:val="24"/>
          <w:szCs w:val="22"/>
          <w14:textFill>
            <w14:solidFill>
              <w14:schemeClr w14:val="tx1"/>
            </w14:solidFill>
          </w14:textFill>
        </w:rPr>
        <w:t>Table S2: Prognosis of each subtype of delirium.</w:t>
      </w:r>
    </w:p>
    <w:tbl>
      <w:tblPr>
        <w:tblStyle w:val="3"/>
        <w:tblW w:w="110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6"/>
        <w:gridCol w:w="2000"/>
        <w:gridCol w:w="1861"/>
        <w:gridCol w:w="1913"/>
        <w:gridCol w:w="927"/>
      </w:tblGrid>
      <w:tr w14:paraId="6931E51A">
        <w:trPr>
          <w:trHeight w:val="347" w:hRule="atLeast"/>
          <w:jc w:val="center"/>
        </w:trPr>
        <w:tc>
          <w:tcPr>
            <w:tcW w:w="4376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19E57304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Outcome </w:t>
            </w:r>
          </w:p>
        </w:tc>
        <w:tc>
          <w:tcPr>
            <w:tcW w:w="2000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127A1D86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Hyperactive (n=41)</w:t>
            </w:r>
          </w:p>
        </w:tc>
        <w:tc>
          <w:tcPr>
            <w:tcW w:w="1861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71CB5294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Hypoactive (n=17)</w:t>
            </w:r>
          </w:p>
        </w:tc>
        <w:tc>
          <w:tcPr>
            <w:tcW w:w="1913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202BDAC0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Mixed (n=16)</w:t>
            </w:r>
          </w:p>
        </w:tc>
        <w:tc>
          <w:tcPr>
            <w:tcW w:w="927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4D73A947">
            <w:pPr>
              <w:widowControl/>
              <w:jc w:val="center"/>
              <w:textAlignment w:val="center"/>
              <w:rPr>
                <w:rFonts w:ascii="Arial Italic" w:hAnsi="Arial Italic" w:eastAsia="Arial Italic" w:cs="Arial Italic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 Italic" w:hAnsi="Arial Italic" w:eastAsia="Arial Italic" w:cs="Arial Italic"/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P</w:t>
            </w: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-value</w:t>
            </w:r>
          </w:p>
        </w:tc>
      </w:tr>
      <w:tr w14:paraId="2DAC8F2A">
        <w:trPr>
          <w:trHeight w:val="336" w:hRule="atLeast"/>
          <w:jc w:val="center"/>
        </w:trPr>
        <w:tc>
          <w:tcPr>
            <w:tcW w:w="4376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3A2F0E42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Discharge NIHSS score</w:t>
            </w:r>
          </w:p>
        </w:tc>
        <w:tc>
          <w:tcPr>
            <w:tcW w:w="2000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3A42BE76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6.00 [4.00, 9.00]</w:t>
            </w:r>
          </w:p>
        </w:tc>
        <w:tc>
          <w:tcPr>
            <w:tcW w:w="1861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2D918F75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7.50 [2.50, 17.00]</w:t>
            </w:r>
          </w:p>
        </w:tc>
        <w:tc>
          <w:tcPr>
            <w:tcW w:w="1913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44394622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5.50 [3.00, 12.00]</w:t>
            </w:r>
          </w:p>
        </w:tc>
        <w:tc>
          <w:tcPr>
            <w:tcW w:w="927" w:type="dxa"/>
            <w:tcBorders>
              <w:top w:val="single" w:color="000000" w:sz="4" w:space="0"/>
              <w:bottom w:val="nil"/>
            </w:tcBorders>
            <w:shd w:val="clear" w:color="auto" w:fill="auto"/>
            <w:noWrap/>
            <w:vAlign w:val="center"/>
          </w:tcPr>
          <w:p w14:paraId="64445CE4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0.677</w:t>
            </w:r>
          </w:p>
        </w:tc>
      </w:tr>
      <w:tr w14:paraId="380977CF">
        <w:trPr>
          <w:trHeight w:val="317" w:hRule="atLeast"/>
          <w:jc w:val="center"/>
        </w:trPr>
        <w:tc>
          <w:tcPr>
            <w:tcW w:w="43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FFD0D28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Discharge mRS score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9EE9BA3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4.00 [3.00, 4.00]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1D58978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4.00 [3.00, 4.00]</w:t>
            </w:r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8077E7C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3.50 [2.00, 4.00]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28C363C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0.727</w:t>
            </w:r>
          </w:p>
        </w:tc>
      </w:tr>
      <w:tr w14:paraId="475CB9A5">
        <w:trPr>
          <w:trHeight w:val="327" w:hRule="atLeast"/>
          <w:jc w:val="center"/>
        </w:trPr>
        <w:tc>
          <w:tcPr>
            <w:tcW w:w="43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E461C22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Adverse prognosis at discharge(mRS&gt;2), n(%)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2B23FAF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31 (75.6) 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B41F5AA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13 (76.5) </w:t>
            </w:r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C7A5379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10 (62.5) 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BE12532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</w:tr>
      <w:tr w14:paraId="311A99AE">
        <w:trPr>
          <w:trHeight w:val="317" w:hRule="atLeast"/>
          <w:jc w:val="center"/>
        </w:trPr>
        <w:tc>
          <w:tcPr>
            <w:tcW w:w="43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B4AB78C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3-month mRS score at discharge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C705014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3.00 [1.00, 4.00]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BBCB70D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4.00 [1.00, 5.00]</w:t>
            </w:r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1C758DF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3.00 [1.75, 5.00]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7A9331B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</w:tr>
      <w:tr w14:paraId="1DA3A14A">
        <w:trPr>
          <w:trHeight w:val="317" w:hRule="atLeast"/>
          <w:jc w:val="center"/>
        </w:trPr>
        <w:tc>
          <w:tcPr>
            <w:tcW w:w="43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4868040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3-month outcome (mRS &gt; 1), n (%)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6F30180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28 (68.3) 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38D54B5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12 (70.6) </w:t>
            </w:r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FF768FC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12 (75.0) 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1838575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0.883</w:t>
            </w:r>
          </w:p>
        </w:tc>
      </w:tr>
      <w:tr w14:paraId="00B6269F">
        <w:trPr>
          <w:trHeight w:val="317" w:hRule="atLeast"/>
          <w:jc w:val="center"/>
        </w:trPr>
        <w:tc>
          <w:tcPr>
            <w:tcW w:w="43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96F47CF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3-month outcome (mRS &gt; 2), n (%)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D22A552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22 (53.7) 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52CFB74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12 (70.6) </w:t>
            </w:r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9B7619D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 9 (56.2) 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B28A106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</w:tr>
      <w:tr w14:paraId="362B8E93">
        <w:trPr>
          <w:trHeight w:val="317" w:hRule="atLeast"/>
          <w:jc w:val="center"/>
        </w:trPr>
        <w:tc>
          <w:tcPr>
            <w:tcW w:w="43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6F44128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3-month outcome (mRS &gt; 3), n (%)</w:t>
            </w:r>
          </w:p>
        </w:tc>
        <w:tc>
          <w:tcPr>
            <w:tcW w:w="20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374797E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14 (34.1) </w:t>
            </w:r>
          </w:p>
        </w:tc>
        <w:tc>
          <w:tcPr>
            <w:tcW w:w="18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665B388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11 (64.7) </w:t>
            </w:r>
          </w:p>
        </w:tc>
        <w:tc>
          <w:tcPr>
            <w:tcW w:w="191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6A563A9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 7 (43.8) </w:t>
            </w:r>
          </w:p>
        </w:tc>
        <w:tc>
          <w:tcPr>
            <w:tcW w:w="92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1ED42E0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</w:tr>
      <w:tr w14:paraId="4F0432C8">
        <w:trPr>
          <w:trHeight w:val="336" w:hRule="atLeast"/>
          <w:jc w:val="center"/>
        </w:trPr>
        <w:tc>
          <w:tcPr>
            <w:tcW w:w="4376" w:type="dxa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0097957">
            <w:pPr>
              <w:widowControl/>
              <w:jc w:val="left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3-month mortality, n (%)</w:t>
            </w:r>
          </w:p>
        </w:tc>
        <w:tc>
          <w:tcPr>
            <w:tcW w:w="2000" w:type="dxa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680D393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 1 (2.4) </w:t>
            </w:r>
          </w:p>
        </w:tc>
        <w:tc>
          <w:tcPr>
            <w:tcW w:w="1861" w:type="dxa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741877E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 2 (11.8) </w:t>
            </w:r>
          </w:p>
        </w:tc>
        <w:tc>
          <w:tcPr>
            <w:tcW w:w="1913" w:type="dxa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7F7C57E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 xml:space="preserve">   1 (6.2) </w:t>
            </w:r>
          </w:p>
        </w:tc>
        <w:tc>
          <w:tcPr>
            <w:tcW w:w="927" w:type="dxa"/>
            <w:tcBorders>
              <w:top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76028A6">
            <w:pPr>
              <w:widowControl/>
              <w:jc w:val="center"/>
              <w:textAlignment w:val="center"/>
              <w:rPr>
                <w:rFonts w:ascii="Arial Regular" w:hAnsi="Arial Regular" w:eastAsia="Arial Regular" w:cs="Arial Regular"/>
                <w:color w:val="000000"/>
                <w:sz w:val="20"/>
                <w:szCs w:val="20"/>
              </w:rPr>
            </w:pPr>
            <w:r>
              <w:rPr>
                <w:rFonts w:ascii="Arial Regular" w:hAnsi="Arial Regular" w:eastAsia="Arial Regular" w:cs="Arial Regular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</w:tr>
    </w:tbl>
    <w:p w14:paraId="6CC9D690">
      <w:r>
        <w:t xml:space="preserve">Notes: Comparing the 3-month prognosis of patients with different subtypes of delirium. </w:t>
      </w:r>
    </w:p>
    <w:p w14:paraId="7D7E83AF">
      <w:r>
        <w:t>Abbreviations: NIHSS, National insti_x0002_tutes of health stroke scale; mRS, Modified rankin scale.</w:t>
      </w:r>
    </w:p>
    <w:p w14:paraId="5305A05A">
      <w:pPr>
        <w:widowControl/>
        <w:jc w:val="left"/>
        <w:rPr>
          <w:rFonts w:ascii="Arial Regular" w:hAnsi="Arial Regular" w:cs="Arial Regular"/>
          <w:sz w:val="15"/>
          <w:szCs w:val="18"/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Arial Italic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OGY1OTcwMDJkMWQ0YzIwOGEyNzAwOTZkZDdiZjAifQ=="/>
  </w:docVars>
  <w:rsids>
    <w:rsidRoot w:val="55FFD501"/>
    <w:rsid w:val="00240530"/>
    <w:rsid w:val="002E5F5C"/>
    <w:rsid w:val="00476441"/>
    <w:rsid w:val="00615D2F"/>
    <w:rsid w:val="00653AA3"/>
    <w:rsid w:val="006C5EE7"/>
    <w:rsid w:val="00A27F2B"/>
    <w:rsid w:val="00A519CB"/>
    <w:rsid w:val="00BE0522"/>
    <w:rsid w:val="00BF63DB"/>
    <w:rsid w:val="00C14F4C"/>
    <w:rsid w:val="00E531F1"/>
    <w:rsid w:val="00F76AAB"/>
    <w:rsid w:val="00FE7B50"/>
    <w:rsid w:val="1DFE7EF1"/>
    <w:rsid w:val="1EF7E6BB"/>
    <w:rsid w:val="1F6DEC3B"/>
    <w:rsid w:val="1F77F765"/>
    <w:rsid w:val="1FFDCD24"/>
    <w:rsid w:val="27DBD99E"/>
    <w:rsid w:val="2FFD5239"/>
    <w:rsid w:val="333DDD90"/>
    <w:rsid w:val="3B9A22BB"/>
    <w:rsid w:val="3DC70346"/>
    <w:rsid w:val="3DFC22E9"/>
    <w:rsid w:val="3DFDBE4B"/>
    <w:rsid w:val="3FD21C9F"/>
    <w:rsid w:val="3FD35E9F"/>
    <w:rsid w:val="3FFD6197"/>
    <w:rsid w:val="43FF334A"/>
    <w:rsid w:val="4FF75D1C"/>
    <w:rsid w:val="54F7F548"/>
    <w:rsid w:val="55FFD501"/>
    <w:rsid w:val="59DF7A9A"/>
    <w:rsid w:val="5BB7E148"/>
    <w:rsid w:val="5BBE3F95"/>
    <w:rsid w:val="5BDD077F"/>
    <w:rsid w:val="5BFFC303"/>
    <w:rsid w:val="5C7EE990"/>
    <w:rsid w:val="5EA7D0E7"/>
    <w:rsid w:val="5EFF1F45"/>
    <w:rsid w:val="5FAF6E1D"/>
    <w:rsid w:val="5FCFB6BD"/>
    <w:rsid w:val="5FDF21AA"/>
    <w:rsid w:val="60EF623B"/>
    <w:rsid w:val="62F32810"/>
    <w:rsid w:val="63FD640C"/>
    <w:rsid w:val="6B8A537C"/>
    <w:rsid w:val="6E9A7767"/>
    <w:rsid w:val="6EFDC0ED"/>
    <w:rsid w:val="6F2FC44C"/>
    <w:rsid w:val="6F3FEB10"/>
    <w:rsid w:val="6F7F22A7"/>
    <w:rsid w:val="6FDA7DE9"/>
    <w:rsid w:val="6FF384D7"/>
    <w:rsid w:val="74FF7671"/>
    <w:rsid w:val="756E9252"/>
    <w:rsid w:val="76FF8680"/>
    <w:rsid w:val="7778F8B6"/>
    <w:rsid w:val="778D3B61"/>
    <w:rsid w:val="77AE8E3C"/>
    <w:rsid w:val="78575F7A"/>
    <w:rsid w:val="79FF4FB2"/>
    <w:rsid w:val="7BAFE640"/>
    <w:rsid w:val="7BD5AA96"/>
    <w:rsid w:val="7BFB6063"/>
    <w:rsid w:val="7BFB97CC"/>
    <w:rsid w:val="7BFD781F"/>
    <w:rsid w:val="7CEA6B8A"/>
    <w:rsid w:val="7DFF2A7C"/>
    <w:rsid w:val="7DFFED9A"/>
    <w:rsid w:val="7E6E525D"/>
    <w:rsid w:val="7E9B1CDD"/>
    <w:rsid w:val="7ECD47E5"/>
    <w:rsid w:val="7F3F988D"/>
    <w:rsid w:val="7FBB7E84"/>
    <w:rsid w:val="7FF4234C"/>
    <w:rsid w:val="7FF7C43C"/>
    <w:rsid w:val="8F6E75E3"/>
    <w:rsid w:val="9DDB9FED"/>
    <w:rsid w:val="A777E289"/>
    <w:rsid w:val="A7F75B0C"/>
    <w:rsid w:val="ACDBD782"/>
    <w:rsid w:val="AF771B04"/>
    <w:rsid w:val="B76406F4"/>
    <w:rsid w:val="B777F212"/>
    <w:rsid w:val="B7BD6795"/>
    <w:rsid w:val="B87F4CAC"/>
    <w:rsid w:val="B9FCA3CF"/>
    <w:rsid w:val="BADC0F3E"/>
    <w:rsid w:val="BFBD0D9D"/>
    <w:rsid w:val="BFEFED5A"/>
    <w:rsid w:val="C67F517B"/>
    <w:rsid w:val="C7BD1D0F"/>
    <w:rsid w:val="C7FDC8DA"/>
    <w:rsid w:val="CB7F6CEF"/>
    <w:rsid w:val="D6F34CF9"/>
    <w:rsid w:val="DAFB6930"/>
    <w:rsid w:val="DBEF5312"/>
    <w:rsid w:val="DBFE6109"/>
    <w:rsid w:val="DED7D6A8"/>
    <w:rsid w:val="DF7F1925"/>
    <w:rsid w:val="DFA5DEFC"/>
    <w:rsid w:val="DFDD36BC"/>
    <w:rsid w:val="DFE51BE6"/>
    <w:rsid w:val="DFEF7C29"/>
    <w:rsid w:val="E4FD9D82"/>
    <w:rsid w:val="E796401F"/>
    <w:rsid w:val="EBBFE676"/>
    <w:rsid w:val="EBE9722F"/>
    <w:rsid w:val="EDDF9CCA"/>
    <w:rsid w:val="EDF79F35"/>
    <w:rsid w:val="EEBA5519"/>
    <w:rsid w:val="EEFFBA83"/>
    <w:rsid w:val="EFBF21B3"/>
    <w:rsid w:val="EFDDD08F"/>
    <w:rsid w:val="EFDF2DFE"/>
    <w:rsid w:val="F0EDB13A"/>
    <w:rsid w:val="F1BE106E"/>
    <w:rsid w:val="F4FFFFEB"/>
    <w:rsid w:val="F5FF8252"/>
    <w:rsid w:val="F6FFB2B9"/>
    <w:rsid w:val="F7FFF41D"/>
    <w:rsid w:val="F874D9A7"/>
    <w:rsid w:val="F9E4CB43"/>
    <w:rsid w:val="FAAFAE72"/>
    <w:rsid w:val="FAB18D84"/>
    <w:rsid w:val="FB7FC71A"/>
    <w:rsid w:val="FBCF3BEE"/>
    <w:rsid w:val="FBF7D637"/>
    <w:rsid w:val="FCFC95BA"/>
    <w:rsid w:val="FD793205"/>
    <w:rsid w:val="FE576C0D"/>
    <w:rsid w:val="FEF974BF"/>
    <w:rsid w:val="FF6F3D49"/>
    <w:rsid w:val="FFBD9DBD"/>
    <w:rsid w:val="FFEFE866"/>
    <w:rsid w:val="FFFDB4F0"/>
    <w:rsid w:val="FFFF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11"/>
    <w:basedOn w:val="4"/>
    <w:uiPriority w:val="0"/>
    <w:rPr>
      <w:rFonts w:hint="default" w:ascii="Arial Regular" w:hAnsi="Arial Regular" w:eastAsia="Arial Regular" w:cs="Arial Regular"/>
      <w:color w:val="000000"/>
      <w:sz w:val="24"/>
      <w:szCs w:val="24"/>
      <w:u w:val="none"/>
    </w:rPr>
  </w:style>
  <w:style w:type="character" w:customStyle="1" w:styleId="6">
    <w:name w:val="font21"/>
    <w:basedOn w:val="4"/>
    <w:uiPriority w:val="0"/>
    <w:rPr>
      <w:rFonts w:hint="default" w:ascii="Arial Regular" w:hAnsi="Arial Regular" w:eastAsia="Arial Regular" w:cs="Arial Regular"/>
      <w:color w:val="000000"/>
      <w:sz w:val="24"/>
      <w:szCs w:val="24"/>
      <w:u w:val="none"/>
      <w:vertAlign w:val="superscript"/>
    </w:rPr>
  </w:style>
  <w:style w:type="character" w:customStyle="1" w:styleId="7">
    <w:name w:val="font3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Pages>1</Pages>
  <Words>280</Words>
  <Characters>1599</Characters>
  <Lines>13</Lines>
  <Paragraphs>3</Paragraphs>
  <TotalTime>30</TotalTime>
  <ScaleCrop>false</ScaleCrop>
  <LinksUpToDate>false</LinksUpToDate>
  <CharactersWithSpaces>1876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2024-07-21T13:48:00Z</dcterms:created>
  <dc:creator>Titanium</dc:creator>
  <cp:lastModifiedBy>Titanium</cp:lastModifiedBy>
  <dcterms:modified xsi:type="dcterms:W3CDTF">2025-01-24T22:37:19Z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858B92733A6EF186AE289566464356DC_41</vt:lpwstr>
  </property>
</Properties>
</file>