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0E898" w14:textId="1AAA81D5" w:rsidR="00FC0D3A" w:rsidRPr="00193866" w:rsidRDefault="00FC0D3A" w:rsidP="00193866">
      <w:pPr>
        <w:spacing w:line="480" w:lineRule="auto"/>
        <w:rPr>
          <w:rFonts w:ascii="Arial" w:hAnsi="Arial" w:cs="Arial"/>
          <w:sz w:val="20"/>
          <w:szCs w:val="20"/>
        </w:rPr>
      </w:pPr>
      <w:r w:rsidRPr="00193866">
        <w:rPr>
          <w:rFonts w:ascii="Arial" w:hAnsi="Arial" w:cs="Arial"/>
          <w:b/>
          <w:bCs/>
          <w:sz w:val="20"/>
          <w:szCs w:val="20"/>
        </w:rPr>
        <w:t>Supplemental Table 1</w:t>
      </w:r>
      <w:r w:rsidR="00193866">
        <w:rPr>
          <w:rFonts w:ascii="Arial" w:hAnsi="Arial" w:cs="Arial"/>
          <w:sz w:val="20"/>
          <w:szCs w:val="20"/>
        </w:rPr>
        <w:t xml:space="preserve"> </w:t>
      </w:r>
      <w:r w:rsidRPr="00193866">
        <w:rPr>
          <w:rFonts w:ascii="Arial" w:hAnsi="Arial" w:cs="Arial"/>
          <w:sz w:val="20"/>
          <w:szCs w:val="20"/>
        </w:rPr>
        <w:t>Primer sequences.</w:t>
      </w:r>
    </w:p>
    <w:tbl>
      <w:tblPr>
        <w:tblStyle w:val="aa"/>
        <w:tblW w:w="5038" w:type="pct"/>
        <w:tblLook w:val="04A0" w:firstRow="1" w:lastRow="0" w:firstColumn="1" w:lastColumn="0" w:noHBand="0" w:noVBand="1"/>
      </w:tblPr>
      <w:tblGrid>
        <w:gridCol w:w="1272"/>
        <w:gridCol w:w="3544"/>
        <w:gridCol w:w="3543"/>
      </w:tblGrid>
      <w:tr w:rsidR="00FC0D3A" w:rsidRPr="00193866" w14:paraId="1D566FBA" w14:textId="77777777" w:rsidTr="00193866">
        <w:trPr>
          <w:trHeight w:val="743"/>
        </w:trPr>
        <w:tc>
          <w:tcPr>
            <w:tcW w:w="760" w:type="pct"/>
            <w:vAlign w:val="center"/>
          </w:tcPr>
          <w:p w14:paraId="19380289" w14:textId="77777777" w:rsidR="00FC0D3A" w:rsidRPr="00193866" w:rsidRDefault="00FC0D3A" w:rsidP="0019386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66">
              <w:rPr>
                <w:rFonts w:ascii="Arial" w:hAnsi="Arial" w:cs="Arial"/>
                <w:sz w:val="20"/>
                <w:szCs w:val="20"/>
              </w:rPr>
              <w:t>Primer</w:t>
            </w:r>
          </w:p>
        </w:tc>
        <w:tc>
          <w:tcPr>
            <w:tcW w:w="2120" w:type="pct"/>
            <w:vAlign w:val="center"/>
          </w:tcPr>
          <w:p w14:paraId="14C60A3A" w14:textId="77777777" w:rsidR="00FC0D3A" w:rsidRPr="00193866" w:rsidRDefault="00FC0D3A" w:rsidP="0019386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66">
              <w:rPr>
                <w:rFonts w:ascii="Arial" w:hAnsi="Arial" w:cs="Arial"/>
                <w:sz w:val="20"/>
                <w:szCs w:val="20"/>
              </w:rPr>
              <w:t>Forward ( 3’− 5’)</w:t>
            </w:r>
          </w:p>
        </w:tc>
        <w:tc>
          <w:tcPr>
            <w:tcW w:w="2119" w:type="pct"/>
            <w:vAlign w:val="center"/>
          </w:tcPr>
          <w:p w14:paraId="0C831F5A" w14:textId="77777777" w:rsidR="00FC0D3A" w:rsidRPr="00193866" w:rsidRDefault="00FC0D3A" w:rsidP="0019386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66">
              <w:rPr>
                <w:rFonts w:ascii="Arial" w:hAnsi="Arial" w:cs="Arial"/>
                <w:sz w:val="20"/>
                <w:szCs w:val="20"/>
              </w:rPr>
              <w:t>Reverse ( 3’− 5’)</w:t>
            </w:r>
          </w:p>
        </w:tc>
      </w:tr>
      <w:tr w:rsidR="00FC0D3A" w:rsidRPr="00193866" w14:paraId="46D856A5" w14:textId="77777777" w:rsidTr="00193866">
        <w:trPr>
          <w:trHeight w:val="757"/>
        </w:trPr>
        <w:tc>
          <w:tcPr>
            <w:tcW w:w="760" w:type="pct"/>
            <w:vAlign w:val="center"/>
          </w:tcPr>
          <w:p w14:paraId="1808F69C" w14:textId="77777777" w:rsidR="00FC0D3A" w:rsidRPr="00193866" w:rsidRDefault="00FC0D3A" w:rsidP="0019386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66">
              <w:rPr>
                <w:rFonts w:ascii="Arial" w:hAnsi="Arial" w:cs="Arial"/>
                <w:sz w:val="20"/>
                <w:szCs w:val="20"/>
              </w:rPr>
              <w:t>H-IL-1β</w:t>
            </w:r>
          </w:p>
        </w:tc>
        <w:tc>
          <w:tcPr>
            <w:tcW w:w="2120" w:type="pct"/>
            <w:vAlign w:val="center"/>
          </w:tcPr>
          <w:p w14:paraId="2AE96F74" w14:textId="77777777" w:rsidR="00FC0D3A" w:rsidRPr="00193866" w:rsidRDefault="00FC0D3A" w:rsidP="0019386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66">
              <w:rPr>
                <w:rFonts w:ascii="Arial" w:hAnsi="Arial" w:cs="Arial"/>
                <w:sz w:val="20"/>
                <w:szCs w:val="20"/>
              </w:rPr>
              <w:t>AGCTACGAATCTCCGACCAC</w:t>
            </w:r>
          </w:p>
        </w:tc>
        <w:tc>
          <w:tcPr>
            <w:tcW w:w="2119" w:type="pct"/>
            <w:vAlign w:val="center"/>
          </w:tcPr>
          <w:p w14:paraId="58657222" w14:textId="77777777" w:rsidR="00FC0D3A" w:rsidRPr="00193866" w:rsidRDefault="00FC0D3A" w:rsidP="0019386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66">
              <w:rPr>
                <w:rFonts w:ascii="Arial" w:hAnsi="Arial" w:cs="Arial"/>
                <w:sz w:val="20"/>
                <w:szCs w:val="20"/>
              </w:rPr>
              <w:t>CGTTATCCCATGTGTCGAAGAA</w:t>
            </w:r>
          </w:p>
        </w:tc>
      </w:tr>
      <w:tr w:rsidR="00FC0D3A" w:rsidRPr="00193866" w14:paraId="72625D2E" w14:textId="77777777" w:rsidTr="00193866">
        <w:trPr>
          <w:trHeight w:val="743"/>
        </w:trPr>
        <w:tc>
          <w:tcPr>
            <w:tcW w:w="760" w:type="pct"/>
            <w:vAlign w:val="center"/>
          </w:tcPr>
          <w:p w14:paraId="7480DF0A" w14:textId="77777777" w:rsidR="00FC0D3A" w:rsidRPr="00193866" w:rsidRDefault="00FC0D3A" w:rsidP="0019386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66">
              <w:rPr>
                <w:rFonts w:ascii="Arial" w:hAnsi="Arial" w:cs="Arial"/>
                <w:sz w:val="20"/>
                <w:szCs w:val="20"/>
              </w:rPr>
              <w:t>H-S100A7</w:t>
            </w:r>
          </w:p>
        </w:tc>
        <w:tc>
          <w:tcPr>
            <w:tcW w:w="2120" w:type="pct"/>
            <w:vAlign w:val="center"/>
          </w:tcPr>
          <w:p w14:paraId="0EF98071" w14:textId="77777777" w:rsidR="00FC0D3A" w:rsidRPr="00193866" w:rsidRDefault="00FC0D3A" w:rsidP="0019386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66">
              <w:rPr>
                <w:rFonts w:ascii="Arial" w:hAnsi="Arial" w:cs="Arial"/>
                <w:color w:val="000000"/>
                <w:sz w:val="20"/>
                <w:szCs w:val="20"/>
              </w:rPr>
              <w:t>ACGTGATGACAAGATTGACAAGC</w:t>
            </w:r>
          </w:p>
        </w:tc>
        <w:tc>
          <w:tcPr>
            <w:tcW w:w="2119" w:type="pct"/>
            <w:vAlign w:val="center"/>
          </w:tcPr>
          <w:p w14:paraId="5033E844" w14:textId="1E135FAC" w:rsidR="00FC0D3A" w:rsidRPr="00193866" w:rsidRDefault="00FC0D3A" w:rsidP="00193866">
            <w:pPr>
              <w:widowControl/>
              <w:spacing w:line="480" w:lineRule="auto"/>
              <w:jc w:val="center"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193866">
              <w:rPr>
                <w:rFonts w:ascii="Arial" w:hAnsi="Arial" w:cs="Arial"/>
                <w:color w:val="000000"/>
                <w:sz w:val="20"/>
                <w:szCs w:val="20"/>
              </w:rPr>
              <w:t>GCGAGGTAATTTGTGCCCTTT</w:t>
            </w:r>
          </w:p>
        </w:tc>
      </w:tr>
      <w:tr w:rsidR="00FC0D3A" w:rsidRPr="00193866" w14:paraId="26379DC1" w14:textId="77777777" w:rsidTr="00193866">
        <w:trPr>
          <w:trHeight w:val="757"/>
        </w:trPr>
        <w:tc>
          <w:tcPr>
            <w:tcW w:w="760" w:type="pct"/>
            <w:vAlign w:val="center"/>
          </w:tcPr>
          <w:p w14:paraId="429D9DCE" w14:textId="77777777" w:rsidR="00FC0D3A" w:rsidRPr="00193866" w:rsidRDefault="00FC0D3A" w:rsidP="0019386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66">
              <w:rPr>
                <w:rFonts w:ascii="Arial" w:hAnsi="Arial" w:cs="Arial"/>
                <w:sz w:val="20"/>
                <w:szCs w:val="20"/>
              </w:rPr>
              <w:t>H-CXCL2</w:t>
            </w:r>
          </w:p>
        </w:tc>
        <w:tc>
          <w:tcPr>
            <w:tcW w:w="2120" w:type="pct"/>
            <w:vAlign w:val="center"/>
          </w:tcPr>
          <w:p w14:paraId="437AED1C" w14:textId="684A002E" w:rsidR="00FC0D3A" w:rsidRPr="00193866" w:rsidRDefault="00FC0D3A" w:rsidP="00193866">
            <w:pPr>
              <w:widowControl/>
              <w:spacing w:line="480" w:lineRule="auto"/>
              <w:jc w:val="center"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193866">
              <w:rPr>
                <w:rFonts w:ascii="Arial" w:hAnsi="Arial" w:cs="Arial"/>
                <w:color w:val="000000"/>
                <w:sz w:val="20"/>
                <w:szCs w:val="20"/>
              </w:rPr>
              <w:t>CCCATGGTTAAGAAAATCATCG</w:t>
            </w:r>
          </w:p>
        </w:tc>
        <w:tc>
          <w:tcPr>
            <w:tcW w:w="2119" w:type="pct"/>
            <w:vAlign w:val="center"/>
          </w:tcPr>
          <w:p w14:paraId="05339068" w14:textId="39B3E348" w:rsidR="00FC0D3A" w:rsidRPr="00193866" w:rsidRDefault="00FC0D3A" w:rsidP="00193866">
            <w:pPr>
              <w:widowControl/>
              <w:spacing w:line="480" w:lineRule="auto"/>
              <w:jc w:val="center"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193866">
              <w:rPr>
                <w:rFonts w:ascii="Arial" w:hAnsi="Arial" w:cs="Arial"/>
                <w:color w:val="000000"/>
                <w:sz w:val="20"/>
                <w:szCs w:val="20"/>
              </w:rPr>
              <w:t>CTTCAGGAACAGCCACCAAT</w:t>
            </w:r>
          </w:p>
        </w:tc>
      </w:tr>
      <w:tr w:rsidR="00FC0D3A" w:rsidRPr="00193866" w14:paraId="23EDA8F6" w14:textId="77777777" w:rsidTr="00193866">
        <w:trPr>
          <w:trHeight w:val="743"/>
        </w:trPr>
        <w:tc>
          <w:tcPr>
            <w:tcW w:w="760" w:type="pct"/>
            <w:vAlign w:val="center"/>
          </w:tcPr>
          <w:p w14:paraId="3EABC2E4" w14:textId="77777777" w:rsidR="00FC0D3A" w:rsidRPr="00193866" w:rsidRDefault="00FC0D3A" w:rsidP="0019386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66">
              <w:rPr>
                <w:rFonts w:ascii="Arial" w:hAnsi="Arial" w:cs="Arial"/>
                <w:sz w:val="20"/>
                <w:szCs w:val="20"/>
              </w:rPr>
              <w:t>H-CXCL5</w:t>
            </w:r>
          </w:p>
        </w:tc>
        <w:tc>
          <w:tcPr>
            <w:tcW w:w="2120" w:type="pct"/>
            <w:vAlign w:val="center"/>
          </w:tcPr>
          <w:p w14:paraId="3447960E" w14:textId="6B6E413C" w:rsidR="00FC0D3A" w:rsidRPr="00193866" w:rsidRDefault="00FC0D3A" w:rsidP="00193866">
            <w:pPr>
              <w:widowControl/>
              <w:spacing w:line="480" w:lineRule="auto"/>
              <w:jc w:val="center"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193866">
              <w:rPr>
                <w:rFonts w:ascii="Arial" w:hAnsi="Arial" w:cs="Arial"/>
                <w:color w:val="000000"/>
                <w:sz w:val="20"/>
                <w:szCs w:val="20"/>
              </w:rPr>
              <w:t>AGCTGCGTTGCGTTTGTTTAC</w:t>
            </w:r>
          </w:p>
        </w:tc>
        <w:tc>
          <w:tcPr>
            <w:tcW w:w="2119" w:type="pct"/>
            <w:vAlign w:val="center"/>
          </w:tcPr>
          <w:p w14:paraId="7834FD7D" w14:textId="45230471" w:rsidR="00FC0D3A" w:rsidRPr="00193866" w:rsidRDefault="00FC0D3A" w:rsidP="00193866">
            <w:pPr>
              <w:widowControl/>
              <w:spacing w:line="480" w:lineRule="auto"/>
              <w:jc w:val="center"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193866">
              <w:rPr>
                <w:rFonts w:ascii="Arial" w:hAnsi="Arial" w:cs="Arial"/>
                <w:color w:val="000000"/>
                <w:sz w:val="20"/>
                <w:szCs w:val="20"/>
              </w:rPr>
              <w:t>TGGCGAACACTTGCAGATTAC</w:t>
            </w:r>
          </w:p>
        </w:tc>
      </w:tr>
      <w:tr w:rsidR="00FC0D3A" w:rsidRPr="00193866" w14:paraId="306FF97B" w14:textId="77777777" w:rsidTr="00193866">
        <w:trPr>
          <w:trHeight w:val="757"/>
        </w:trPr>
        <w:tc>
          <w:tcPr>
            <w:tcW w:w="760" w:type="pct"/>
            <w:vAlign w:val="center"/>
          </w:tcPr>
          <w:p w14:paraId="6F77A547" w14:textId="77777777" w:rsidR="00FC0D3A" w:rsidRPr="00193866" w:rsidRDefault="00FC0D3A" w:rsidP="0019386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66">
              <w:rPr>
                <w:rFonts w:ascii="Arial" w:hAnsi="Arial" w:cs="Arial"/>
                <w:sz w:val="20"/>
                <w:szCs w:val="20"/>
              </w:rPr>
              <w:t>H-CXCL8</w:t>
            </w:r>
          </w:p>
        </w:tc>
        <w:tc>
          <w:tcPr>
            <w:tcW w:w="2120" w:type="pct"/>
            <w:vAlign w:val="center"/>
          </w:tcPr>
          <w:p w14:paraId="5C0C92AC" w14:textId="77777777" w:rsidR="00FC0D3A" w:rsidRPr="00193866" w:rsidRDefault="00FC0D3A" w:rsidP="0019386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66">
              <w:rPr>
                <w:rFonts w:ascii="Arial" w:hAnsi="Arial" w:cs="Arial"/>
                <w:sz w:val="20"/>
                <w:szCs w:val="20"/>
              </w:rPr>
              <w:t>TTTTGCCAAGGAGTGCTAAAGA</w:t>
            </w:r>
          </w:p>
        </w:tc>
        <w:tc>
          <w:tcPr>
            <w:tcW w:w="2119" w:type="pct"/>
            <w:vAlign w:val="center"/>
          </w:tcPr>
          <w:p w14:paraId="6963B051" w14:textId="77777777" w:rsidR="00FC0D3A" w:rsidRPr="00193866" w:rsidRDefault="00FC0D3A" w:rsidP="0019386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66">
              <w:rPr>
                <w:rFonts w:ascii="Arial" w:hAnsi="Arial" w:cs="Arial"/>
                <w:sz w:val="20"/>
                <w:szCs w:val="20"/>
              </w:rPr>
              <w:t>AACCCTCTGCACCCAGTTTTC</w:t>
            </w:r>
          </w:p>
        </w:tc>
      </w:tr>
      <w:tr w:rsidR="00FC0D3A" w:rsidRPr="00193866" w14:paraId="1714805D" w14:textId="77777777" w:rsidTr="00193866">
        <w:trPr>
          <w:trHeight w:val="743"/>
        </w:trPr>
        <w:tc>
          <w:tcPr>
            <w:tcW w:w="760" w:type="pct"/>
            <w:vAlign w:val="center"/>
          </w:tcPr>
          <w:p w14:paraId="52C2A64B" w14:textId="77777777" w:rsidR="00FC0D3A" w:rsidRPr="00193866" w:rsidRDefault="00FC0D3A" w:rsidP="0019386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66">
              <w:rPr>
                <w:rFonts w:ascii="Arial" w:hAnsi="Arial" w:cs="Arial"/>
                <w:sz w:val="20"/>
                <w:szCs w:val="20"/>
              </w:rPr>
              <w:t>H-CCL3</w:t>
            </w:r>
          </w:p>
        </w:tc>
        <w:tc>
          <w:tcPr>
            <w:tcW w:w="2120" w:type="pct"/>
            <w:vAlign w:val="center"/>
          </w:tcPr>
          <w:p w14:paraId="10727772" w14:textId="77777777" w:rsidR="00FC0D3A" w:rsidRPr="00193866" w:rsidRDefault="00FC0D3A" w:rsidP="0019386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66">
              <w:rPr>
                <w:rFonts w:ascii="Arial" w:hAnsi="Arial" w:cs="Arial"/>
                <w:sz w:val="20"/>
                <w:szCs w:val="20"/>
              </w:rPr>
              <w:t>AGTTCTCTGCATCACTTGCTG</w:t>
            </w:r>
          </w:p>
        </w:tc>
        <w:tc>
          <w:tcPr>
            <w:tcW w:w="2119" w:type="pct"/>
            <w:vAlign w:val="center"/>
          </w:tcPr>
          <w:p w14:paraId="125D0EFB" w14:textId="77777777" w:rsidR="00FC0D3A" w:rsidRPr="00193866" w:rsidRDefault="00FC0D3A" w:rsidP="0019386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66">
              <w:rPr>
                <w:rFonts w:ascii="Arial" w:hAnsi="Arial" w:cs="Arial"/>
                <w:sz w:val="20"/>
                <w:szCs w:val="20"/>
              </w:rPr>
              <w:t>CGGCTTCGCTTGGTTAGGAA</w:t>
            </w:r>
          </w:p>
        </w:tc>
      </w:tr>
      <w:tr w:rsidR="00FC0D3A" w:rsidRPr="00193866" w14:paraId="6AD4D3BA" w14:textId="77777777" w:rsidTr="00193866">
        <w:trPr>
          <w:trHeight w:val="743"/>
        </w:trPr>
        <w:tc>
          <w:tcPr>
            <w:tcW w:w="760" w:type="pct"/>
            <w:vAlign w:val="center"/>
          </w:tcPr>
          <w:p w14:paraId="088D26B6" w14:textId="77777777" w:rsidR="00FC0D3A" w:rsidRPr="00193866" w:rsidRDefault="00FC0D3A" w:rsidP="0019386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66">
              <w:rPr>
                <w:rFonts w:ascii="Arial" w:hAnsi="Arial" w:cs="Arial"/>
                <w:sz w:val="20"/>
                <w:szCs w:val="20"/>
              </w:rPr>
              <w:t>H-RPLP0</w:t>
            </w:r>
          </w:p>
        </w:tc>
        <w:tc>
          <w:tcPr>
            <w:tcW w:w="2120" w:type="pct"/>
            <w:vAlign w:val="center"/>
          </w:tcPr>
          <w:p w14:paraId="2E51BA74" w14:textId="7FC980FF" w:rsidR="00FC0D3A" w:rsidRPr="00193866" w:rsidRDefault="00FC0D3A" w:rsidP="00193866">
            <w:pPr>
              <w:widowControl/>
              <w:spacing w:line="480" w:lineRule="auto"/>
              <w:jc w:val="center"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193866">
              <w:rPr>
                <w:rFonts w:ascii="Arial" w:hAnsi="Arial" w:cs="Arial"/>
                <w:color w:val="000000"/>
                <w:sz w:val="20"/>
                <w:szCs w:val="20"/>
              </w:rPr>
              <w:t>TGGTCATCCAGCAGGTGTTCGA</w:t>
            </w:r>
          </w:p>
        </w:tc>
        <w:tc>
          <w:tcPr>
            <w:tcW w:w="2119" w:type="pct"/>
            <w:vAlign w:val="center"/>
          </w:tcPr>
          <w:p w14:paraId="6784C05E" w14:textId="7066AD8C" w:rsidR="00FC0D3A" w:rsidRPr="00193866" w:rsidRDefault="00FC0D3A" w:rsidP="00193866">
            <w:pPr>
              <w:widowControl/>
              <w:spacing w:line="480" w:lineRule="auto"/>
              <w:jc w:val="center"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193866">
              <w:rPr>
                <w:rFonts w:ascii="Arial" w:hAnsi="Arial" w:cs="Arial"/>
                <w:color w:val="000000"/>
                <w:sz w:val="20"/>
                <w:szCs w:val="20"/>
              </w:rPr>
              <w:t>CAGACACTGGCAACATTGCGG</w:t>
            </w:r>
          </w:p>
        </w:tc>
      </w:tr>
    </w:tbl>
    <w:p w14:paraId="01CB70E6" w14:textId="77777777" w:rsidR="00FC0D3A" w:rsidRPr="00CC713F" w:rsidRDefault="00FC0D3A" w:rsidP="00FC0D3A">
      <w:pPr>
        <w:rPr>
          <w:rFonts w:ascii="Arial" w:hAnsi="Arial" w:cs="Arial"/>
          <w:sz w:val="24"/>
          <w:szCs w:val="24"/>
        </w:rPr>
      </w:pPr>
      <w:r w:rsidRPr="00CC713F">
        <w:rPr>
          <w:rFonts w:ascii="Arial" w:hAnsi="Arial" w:cs="Arial"/>
          <w:sz w:val="24"/>
          <w:szCs w:val="24"/>
        </w:rPr>
        <w:t xml:space="preserve"> </w:t>
      </w:r>
    </w:p>
    <w:p w14:paraId="37AF7DD1" w14:textId="77777777" w:rsidR="00FC0D3A" w:rsidRDefault="00FC0D3A">
      <w:pPr>
        <w:widowControl/>
        <w:jc w:val="left"/>
      </w:pPr>
      <w:r>
        <w:rPr>
          <w:rFonts w:hint="eastAsia"/>
        </w:rPr>
        <w:br w:type="page"/>
      </w:r>
    </w:p>
    <w:p w14:paraId="33A42544" w14:textId="28DCBF9C" w:rsidR="00023814" w:rsidRDefault="00823768">
      <w:r>
        <w:rPr>
          <w:noProof/>
        </w:rPr>
        <w:lastRenderedPageBreak/>
        <w:drawing>
          <wp:inline distT="0" distB="0" distL="0" distR="0" wp14:anchorId="779793A9" wp14:editId="1004685B">
            <wp:extent cx="5274310" cy="6447790"/>
            <wp:effectExtent l="0" t="0" r="2540" b="0"/>
            <wp:docPr id="1" name="图片 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示&#10;&#10;描述已自动生成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A3CD1" w14:textId="67F8601E" w:rsidR="00823768" w:rsidRPr="00823768" w:rsidRDefault="00823768" w:rsidP="00823768">
      <w:pPr>
        <w:rPr>
          <w:rFonts w:ascii="Arial" w:hAnsi="Arial" w:cs="Arial"/>
          <w:sz w:val="20"/>
          <w:szCs w:val="20"/>
        </w:rPr>
      </w:pPr>
      <w:r w:rsidRPr="00823768">
        <w:rPr>
          <w:rFonts w:ascii="Arial" w:hAnsi="Arial" w:cs="Arial"/>
          <w:b/>
          <w:bCs/>
          <w:sz w:val="20"/>
          <w:szCs w:val="20"/>
        </w:rPr>
        <w:t>Supplemental Figure 1</w:t>
      </w:r>
      <w:r w:rsidRPr="00823768">
        <w:rPr>
          <w:rFonts w:ascii="Arial" w:hAnsi="Arial" w:cs="Arial"/>
          <w:sz w:val="20"/>
          <w:szCs w:val="20"/>
        </w:rPr>
        <w:t xml:space="preserve"> Network Pharmacology Analysis. </w:t>
      </w:r>
    </w:p>
    <w:p w14:paraId="4A4C6D14" w14:textId="03EC9683" w:rsidR="00823768" w:rsidRDefault="00823768" w:rsidP="00823768">
      <w:pPr>
        <w:rPr>
          <w:rFonts w:ascii="Arial" w:hAnsi="Arial" w:cs="Arial"/>
          <w:sz w:val="20"/>
          <w:szCs w:val="20"/>
        </w:rPr>
      </w:pPr>
      <w:r w:rsidRPr="00823768">
        <w:rPr>
          <w:rFonts w:ascii="Arial" w:hAnsi="Arial" w:cs="Arial"/>
          <w:sz w:val="20"/>
          <w:szCs w:val="20"/>
        </w:rPr>
        <w:t>(A)The overlap between Tan-I targets and psoriasis pathogenic genes was analyzed by Venn diagram. (B-D)The DAVID database was utilized to conduct GO enrichment analysis to initially reveal the mechanism of Tan-I by the analysis of network pharmacology.</w:t>
      </w:r>
    </w:p>
    <w:p w14:paraId="2656C295" w14:textId="77777777" w:rsidR="00823768" w:rsidRDefault="00823768">
      <w:pPr>
        <w:widowControl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81AB709" w14:textId="4CCF5E98" w:rsidR="00823768" w:rsidRDefault="00823768" w:rsidP="008237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5832B653" wp14:editId="0A3921B9">
            <wp:extent cx="5274310" cy="1998980"/>
            <wp:effectExtent l="0" t="0" r="2540" b="1270"/>
            <wp:docPr id="2" name="图片 2" descr="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表&#10;&#10;描述已自动生成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2ABCA" w14:textId="77777777" w:rsidR="00823768" w:rsidRPr="00823768" w:rsidRDefault="00823768" w:rsidP="00823768">
      <w:pPr>
        <w:rPr>
          <w:rFonts w:ascii="Arial" w:hAnsi="Arial" w:cs="Arial"/>
          <w:sz w:val="20"/>
          <w:szCs w:val="20"/>
        </w:rPr>
      </w:pPr>
      <w:r w:rsidRPr="00823768">
        <w:rPr>
          <w:rFonts w:ascii="Arial" w:hAnsi="Arial" w:cs="Arial"/>
          <w:b/>
          <w:bCs/>
          <w:sz w:val="20"/>
          <w:szCs w:val="20"/>
        </w:rPr>
        <w:t>Supplemental Figure 2</w:t>
      </w:r>
      <w:r w:rsidRPr="00823768">
        <w:rPr>
          <w:rFonts w:ascii="Arial" w:hAnsi="Arial" w:cs="Arial"/>
          <w:sz w:val="20"/>
          <w:szCs w:val="20"/>
        </w:rPr>
        <w:t xml:space="preserve"> Effect of Tan-I on HaCaT cell viability at different time points. </w:t>
      </w:r>
    </w:p>
    <w:p w14:paraId="49A5257F" w14:textId="41E8009D" w:rsidR="00823768" w:rsidRPr="00823768" w:rsidRDefault="00823768" w:rsidP="00823768">
      <w:pPr>
        <w:rPr>
          <w:rFonts w:ascii="Arial" w:hAnsi="Arial" w:cs="Arial"/>
          <w:color w:val="FF0000"/>
          <w:sz w:val="20"/>
          <w:szCs w:val="20"/>
        </w:rPr>
      </w:pPr>
      <w:r w:rsidRPr="00823768">
        <w:rPr>
          <w:rFonts w:ascii="Arial" w:hAnsi="Arial" w:cs="Arial"/>
          <w:sz w:val="20"/>
          <w:szCs w:val="20"/>
        </w:rPr>
        <w:t>Cell viability of HaCaT cells treated with various concentrations of Tan-I for (A) 24 h, (B) 48, and (C) 72 h, as measured by CCK-8 assay</w:t>
      </w:r>
      <w:r>
        <w:rPr>
          <w:rFonts w:ascii="Arial" w:hAnsi="Arial" w:cs="Arial"/>
          <w:sz w:val="20"/>
          <w:szCs w:val="20"/>
        </w:rPr>
        <w:t xml:space="preserve"> </w:t>
      </w:r>
      <w:r w:rsidRPr="00823768">
        <w:rPr>
          <w:rFonts w:ascii="Arial" w:hAnsi="Arial" w:cs="Arial"/>
          <w:sz w:val="20"/>
          <w:szCs w:val="20"/>
        </w:rPr>
        <w:t>(The gray bars represent the negative control group, the blue bars represent the Tan-I treatment group, and each point in the graph represents a biological sample). Data are presented as mean ± SD. Statistical significance is indicated as *</w:t>
      </w:r>
      <w:r w:rsidRPr="00823768">
        <w:rPr>
          <w:rFonts w:ascii="Arial" w:hAnsi="Arial" w:cs="Arial"/>
          <w:i/>
          <w:iCs/>
          <w:sz w:val="20"/>
          <w:szCs w:val="20"/>
        </w:rPr>
        <w:t>P</w:t>
      </w:r>
      <w:r w:rsidRPr="00823768">
        <w:rPr>
          <w:rFonts w:ascii="Arial" w:hAnsi="Arial" w:cs="Arial"/>
          <w:sz w:val="20"/>
          <w:szCs w:val="20"/>
        </w:rPr>
        <w:t xml:space="preserve"> &lt;0.05, **</w:t>
      </w:r>
      <w:r w:rsidRPr="00823768">
        <w:rPr>
          <w:rFonts w:ascii="Arial" w:hAnsi="Arial" w:cs="Arial"/>
          <w:i/>
          <w:iCs/>
          <w:sz w:val="20"/>
          <w:szCs w:val="20"/>
        </w:rPr>
        <w:t>P</w:t>
      </w:r>
      <w:r w:rsidRPr="00823768">
        <w:rPr>
          <w:rFonts w:ascii="Arial" w:hAnsi="Arial" w:cs="Arial"/>
          <w:sz w:val="20"/>
          <w:szCs w:val="20"/>
        </w:rPr>
        <w:t xml:space="preserve"> &lt;0.01, ****</w:t>
      </w:r>
      <w:r w:rsidRPr="00823768">
        <w:rPr>
          <w:rFonts w:ascii="Arial" w:hAnsi="Arial" w:cs="Arial"/>
          <w:i/>
          <w:iCs/>
          <w:sz w:val="20"/>
          <w:szCs w:val="20"/>
        </w:rPr>
        <w:t xml:space="preserve"> P</w:t>
      </w:r>
      <w:r w:rsidRPr="00823768">
        <w:rPr>
          <w:rFonts w:ascii="Arial" w:hAnsi="Arial" w:cs="Arial"/>
          <w:sz w:val="20"/>
          <w:szCs w:val="20"/>
        </w:rPr>
        <w:t xml:space="preserve"> &lt;0.0001, ns = not significant.</w:t>
      </w:r>
    </w:p>
    <w:p w14:paraId="4A6CC363" w14:textId="77777777" w:rsidR="00823768" w:rsidRPr="00823768" w:rsidRDefault="00823768" w:rsidP="00823768">
      <w:pPr>
        <w:rPr>
          <w:rFonts w:ascii="Arial" w:hAnsi="Arial" w:cs="Arial"/>
          <w:sz w:val="20"/>
          <w:szCs w:val="20"/>
        </w:rPr>
      </w:pPr>
    </w:p>
    <w:sectPr w:rsidR="00823768" w:rsidRPr="00823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C78D9B" w14:textId="77777777" w:rsidR="00272841" w:rsidRDefault="00272841" w:rsidP="00FC0D3A">
      <w:r>
        <w:separator/>
      </w:r>
    </w:p>
  </w:endnote>
  <w:endnote w:type="continuationSeparator" w:id="0">
    <w:p w14:paraId="7FBB1C24" w14:textId="77777777" w:rsidR="00272841" w:rsidRDefault="00272841" w:rsidP="00FC0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D457D" w14:textId="77777777" w:rsidR="00272841" w:rsidRDefault="00272841" w:rsidP="00FC0D3A">
      <w:r>
        <w:separator/>
      </w:r>
    </w:p>
  </w:footnote>
  <w:footnote w:type="continuationSeparator" w:id="0">
    <w:p w14:paraId="5F048870" w14:textId="77777777" w:rsidR="00272841" w:rsidRDefault="00272841" w:rsidP="00FC0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68"/>
    <w:rsid w:val="00023814"/>
    <w:rsid w:val="00085F9C"/>
    <w:rsid w:val="00160274"/>
    <w:rsid w:val="00193866"/>
    <w:rsid w:val="00272841"/>
    <w:rsid w:val="002941F3"/>
    <w:rsid w:val="003E78DE"/>
    <w:rsid w:val="00411933"/>
    <w:rsid w:val="00745B2D"/>
    <w:rsid w:val="00823768"/>
    <w:rsid w:val="00B96A8D"/>
    <w:rsid w:val="00FB70E0"/>
    <w:rsid w:val="00FC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27444"/>
  <w15:chartTrackingRefBased/>
  <w15:docId w15:val="{FF66ADD1-7215-4ED9-8E2F-9DB44F46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76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23768"/>
    <w:rPr>
      <w:sz w:val="18"/>
      <w:szCs w:val="18"/>
    </w:rPr>
  </w:style>
  <w:style w:type="paragraph" w:styleId="a5">
    <w:name w:val="Revision"/>
    <w:hidden/>
    <w:uiPriority w:val="99"/>
    <w:semiHidden/>
    <w:rsid w:val="002941F3"/>
  </w:style>
  <w:style w:type="paragraph" w:styleId="a6">
    <w:name w:val="header"/>
    <w:basedOn w:val="a"/>
    <w:link w:val="a7"/>
    <w:uiPriority w:val="99"/>
    <w:unhideWhenUsed/>
    <w:rsid w:val="00FC0D3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C0D3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C0D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C0D3A"/>
    <w:rPr>
      <w:sz w:val="18"/>
      <w:szCs w:val="18"/>
    </w:rPr>
  </w:style>
  <w:style w:type="table" w:styleId="aa">
    <w:name w:val="Table Grid"/>
    <w:basedOn w:val="a1"/>
    <w:uiPriority w:val="39"/>
    <w:rsid w:val="00FC0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艳珊 朱</dc:creator>
  <cp:keywords/>
  <dc:description/>
  <cp:lastModifiedBy>艳珊 朱</cp:lastModifiedBy>
  <cp:revision>2</cp:revision>
  <dcterms:created xsi:type="dcterms:W3CDTF">2024-12-28T03:04:00Z</dcterms:created>
  <dcterms:modified xsi:type="dcterms:W3CDTF">2024-12-28T03:04:00Z</dcterms:modified>
</cp:coreProperties>
</file>