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A79" w14:textId="7CD91F69" w:rsidR="008D19C9" w:rsidRPr="008D19C9" w:rsidRDefault="008D19C9" w:rsidP="008D19C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009682"/>
      <w:r w:rsidRPr="008D19C9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DB0397">
        <w:rPr>
          <w:rFonts w:ascii="Times New Roman" w:hAnsi="Times New Roman" w:cs="Times New Roman" w:hint="eastAsia"/>
          <w:b/>
          <w:bCs/>
          <w:sz w:val="28"/>
          <w:szCs w:val="28"/>
        </w:rPr>
        <w:t>F</w:t>
      </w:r>
      <w:r w:rsidRPr="008D19C9">
        <w:rPr>
          <w:rFonts w:ascii="Times New Roman" w:hAnsi="Times New Roman" w:cs="Times New Roman" w:hint="eastAsia"/>
          <w:b/>
          <w:bCs/>
          <w:sz w:val="28"/>
          <w:szCs w:val="28"/>
        </w:rPr>
        <w:t>igures</w:t>
      </w:r>
      <w:r w:rsidR="00DB0397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and Tables</w:t>
      </w:r>
    </w:p>
    <w:bookmarkEnd w:id="0"/>
    <w:p w14:paraId="1FA344CD" w14:textId="64074F8F" w:rsidR="00400349" w:rsidRDefault="00400349">
      <w:pPr>
        <w:rPr>
          <w:rFonts w:hint="eastAsia"/>
        </w:rPr>
      </w:pPr>
    </w:p>
    <w:p w14:paraId="4D01D3C5" w14:textId="471D286A" w:rsidR="008D19C9" w:rsidRDefault="00B92C2E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 wp14:anchorId="4CDA9650" wp14:editId="500F2C84">
            <wp:simplePos x="0" y="0"/>
            <wp:positionH relativeFrom="column">
              <wp:posOffset>266700</wp:posOffset>
            </wp:positionH>
            <wp:positionV relativeFrom="paragraph">
              <wp:posOffset>111125</wp:posOffset>
            </wp:positionV>
            <wp:extent cx="4309110" cy="2216810"/>
            <wp:effectExtent l="0" t="0" r="0" b="0"/>
            <wp:wrapNone/>
            <wp:docPr id="17546936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93641" name="图片 17546936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221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9098F" w14:textId="02E409BA" w:rsidR="008D19C9" w:rsidRDefault="008D19C9">
      <w:pPr>
        <w:rPr>
          <w:rFonts w:hint="eastAsia"/>
        </w:rPr>
      </w:pPr>
    </w:p>
    <w:p w14:paraId="49C44E8F" w14:textId="3B12463B" w:rsidR="000A39F1" w:rsidRDefault="000A39F1">
      <w:pPr>
        <w:rPr>
          <w:rFonts w:hint="eastAsia"/>
        </w:rPr>
      </w:pPr>
    </w:p>
    <w:p w14:paraId="165931A5" w14:textId="719337D0" w:rsidR="000A39F1" w:rsidRDefault="000A39F1">
      <w:pPr>
        <w:rPr>
          <w:rFonts w:hint="eastAsia"/>
        </w:rPr>
      </w:pPr>
    </w:p>
    <w:p w14:paraId="7D8784F7" w14:textId="23F576A7" w:rsidR="000A39F1" w:rsidRDefault="000A39F1">
      <w:pPr>
        <w:rPr>
          <w:rFonts w:hint="eastAsia"/>
        </w:rPr>
      </w:pPr>
    </w:p>
    <w:p w14:paraId="0154D5D1" w14:textId="44CF7CCD" w:rsidR="000A39F1" w:rsidRDefault="000A39F1">
      <w:pPr>
        <w:rPr>
          <w:rFonts w:hint="eastAsia"/>
        </w:rPr>
      </w:pPr>
    </w:p>
    <w:p w14:paraId="191F0154" w14:textId="543DA4C3" w:rsidR="000A39F1" w:rsidRDefault="000A39F1">
      <w:pPr>
        <w:rPr>
          <w:rFonts w:hint="eastAsia"/>
        </w:rPr>
      </w:pPr>
    </w:p>
    <w:p w14:paraId="12CCC32C" w14:textId="729AB8B0" w:rsidR="000A39F1" w:rsidRDefault="000A39F1">
      <w:pPr>
        <w:rPr>
          <w:rFonts w:hint="eastAsia"/>
        </w:rPr>
      </w:pPr>
    </w:p>
    <w:p w14:paraId="3D60139D" w14:textId="480B2076" w:rsidR="000A39F1" w:rsidRDefault="000A39F1">
      <w:pPr>
        <w:rPr>
          <w:rFonts w:hint="eastAsia"/>
        </w:rPr>
      </w:pPr>
    </w:p>
    <w:p w14:paraId="271E64F0" w14:textId="56AF3521" w:rsidR="000A39F1" w:rsidRDefault="000A39F1">
      <w:pPr>
        <w:rPr>
          <w:rFonts w:hint="eastAsia"/>
        </w:rPr>
      </w:pPr>
    </w:p>
    <w:p w14:paraId="7D832F15" w14:textId="29B42423" w:rsidR="000A39F1" w:rsidRDefault="000A39F1">
      <w:pPr>
        <w:rPr>
          <w:rFonts w:hint="eastAsia"/>
        </w:rPr>
      </w:pPr>
    </w:p>
    <w:p w14:paraId="4B8BBD17" w14:textId="12D15883" w:rsidR="000A39F1" w:rsidRDefault="000A39F1">
      <w:pPr>
        <w:rPr>
          <w:rFonts w:hint="eastAsia"/>
        </w:rPr>
      </w:pPr>
    </w:p>
    <w:p w14:paraId="58FB772C" w14:textId="5B9A5056" w:rsidR="000A39F1" w:rsidRDefault="000A39F1">
      <w:pPr>
        <w:rPr>
          <w:rFonts w:hint="eastAsia"/>
        </w:rPr>
      </w:pPr>
    </w:p>
    <w:p w14:paraId="26E820B4" w14:textId="48551E0C" w:rsidR="000A39F1" w:rsidRDefault="000A39F1" w:rsidP="003613E7">
      <w:pPr>
        <w:spacing w:line="480" w:lineRule="auto"/>
        <w:ind w:rightChars="2866" w:right="6019"/>
        <w:rPr>
          <w:rFonts w:ascii="Times New Roman" w:hAnsi="Times New Roman" w:cs="Times New Roman"/>
          <w:szCs w:val="21"/>
        </w:rPr>
      </w:pPr>
      <w:r w:rsidRPr="00E31CCB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bCs/>
          <w:szCs w:val="21"/>
        </w:rPr>
        <w:t>S1</w:t>
      </w:r>
      <w:bookmarkStart w:id="1" w:name="_Hlk189429379"/>
      <w:bookmarkStart w:id="2" w:name="_Hlk189522782"/>
      <w:bookmarkStart w:id="3" w:name="_Hlk189429461"/>
      <w:bookmarkStart w:id="4" w:name="_Hlk179574799"/>
      <w:bookmarkStart w:id="5" w:name="_Hlk189692954"/>
      <w:r w:rsidR="00343781" w:rsidRPr="00343781">
        <w:rPr>
          <w:rFonts w:hint="eastAsia"/>
        </w:rPr>
        <w:t xml:space="preserve"> </w:t>
      </w:r>
      <w:r w:rsidR="00343781" w:rsidRPr="00343781">
        <w:rPr>
          <w:rFonts w:ascii="Times New Roman" w:hAnsi="Times New Roman" w:cs="Times New Roman" w:hint="eastAsia"/>
          <w:szCs w:val="21"/>
        </w:rPr>
        <w:t>The proportion of diabetic retinopathy</w:t>
      </w:r>
      <w:r w:rsidR="00343781">
        <w:rPr>
          <w:rFonts w:ascii="Times New Roman" w:hAnsi="Times New Roman" w:cs="Times New Roman" w:hint="eastAsia"/>
          <w:szCs w:val="21"/>
        </w:rPr>
        <w:t xml:space="preserve"> </w:t>
      </w:r>
      <w:r w:rsidRPr="005C59EB">
        <w:rPr>
          <w:rFonts w:ascii="Times New Roman" w:hAnsi="Times New Roman" w:cs="Times New Roman" w:hint="eastAsia"/>
          <w:color w:val="404040"/>
        </w:rPr>
        <w:t xml:space="preserve">in </w:t>
      </w:r>
      <w:r w:rsidR="00EA171A" w:rsidRPr="00EA171A">
        <w:rPr>
          <w:rFonts w:ascii="Times New Roman" w:hAnsi="Times New Roman" w:cs="Times New Roman" w:hint="eastAsia"/>
          <w:color w:val="404040"/>
        </w:rPr>
        <w:t>HbA1c</w:t>
      </w:r>
      <w:r w:rsidR="00DC233D">
        <w:rPr>
          <w:rFonts w:ascii="Times New Roman" w:hAnsi="Times New Roman" w:cs="Times New Roman" w:hint="eastAsia"/>
          <w:color w:val="404040"/>
        </w:rPr>
        <w:t xml:space="preserve"> </w:t>
      </w:r>
      <w:r w:rsidR="00EA171A" w:rsidRPr="00EA171A">
        <w:rPr>
          <w:rFonts w:ascii="Times New Roman" w:hAnsi="Times New Roman" w:cs="Times New Roman" w:hint="eastAsia"/>
          <w:color w:val="404040"/>
        </w:rPr>
        <w:t>&lt;7</w:t>
      </w:r>
      <w:r w:rsidR="009E0CC9">
        <w:rPr>
          <w:rFonts w:ascii="Times New Roman" w:hAnsi="Times New Roman" w:cs="Times New Roman" w:hint="eastAsia"/>
          <w:color w:val="404040"/>
        </w:rPr>
        <w:t>%</w:t>
      </w:r>
      <w:r w:rsidR="00EA171A" w:rsidRPr="00EA171A">
        <w:rPr>
          <w:rFonts w:ascii="Times New Roman" w:hAnsi="Times New Roman" w:cs="Times New Roman" w:hint="eastAsia"/>
          <w:color w:val="404040"/>
        </w:rPr>
        <w:t xml:space="preserve"> and HbA1</w:t>
      </w:r>
      <w:r w:rsidR="00DC233D">
        <w:rPr>
          <w:rFonts w:ascii="Times New Roman" w:hAnsi="Times New Roman" w:cs="Times New Roman" w:hint="eastAsia"/>
          <w:color w:val="404040"/>
        </w:rPr>
        <w:t xml:space="preserve"> </w:t>
      </w:r>
      <w:r w:rsidR="00EA171A" w:rsidRPr="00EA171A">
        <w:rPr>
          <w:rFonts w:ascii="Times New Roman" w:hAnsi="Times New Roman" w:cs="Times New Roman" w:hint="eastAsia"/>
          <w:color w:val="404040"/>
        </w:rPr>
        <w:t>≥</w:t>
      </w:r>
      <w:r w:rsidR="00EA171A" w:rsidRPr="00EA171A">
        <w:rPr>
          <w:rFonts w:ascii="Times New Roman" w:hAnsi="Times New Roman" w:cs="Times New Roman" w:hint="eastAsia"/>
          <w:color w:val="404040"/>
        </w:rPr>
        <w:t>7</w:t>
      </w:r>
      <w:r w:rsidR="009E0CC9">
        <w:rPr>
          <w:rFonts w:ascii="Times New Roman" w:hAnsi="Times New Roman" w:cs="Times New Roman" w:hint="eastAsia"/>
          <w:color w:val="404040"/>
        </w:rPr>
        <w:t>%</w:t>
      </w:r>
      <w:r w:rsidR="00EA171A">
        <w:rPr>
          <w:rFonts w:ascii="Times New Roman" w:hAnsi="Times New Roman" w:cs="Times New Roman" w:hint="eastAsia"/>
          <w:color w:val="404040"/>
        </w:rPr>
        <w:t xml:space="preserve"> </w:t>
      </w:r>
      <w:r w:rsidRPr="005C59EB">
        <w:rPr>
          <w:rFonts w:ascii="Times New Roman" w:hAnsi="Times New Roman" w:cs="Times New Roman" w:hint="eastAsia"/>
          <w:color w:val="404040"/>
        </w:rPr>
        <w:t>groups</w:t>
      </w:r>
      <w:bookmarkStart w:id="6" w:name="_Hlk189691138"/>
      <w:r w:rsidRPr="005C59EB">
        <w:rPr>
          <w:rFonts w:ascii="Times New Roman" w:hAnsi="Times New Roman" w:cs="Times New Roman" w:hint="eastAsia"/>
          <w:color w:val="404040"/>
        </w:rPr>
        <w:t xml:space="preserve">, </w:t>
      </w:r>
      <w:bookmarkStart w:id="7" w:name="_Hlk189429336"/>
      <w:bookmarkEnd w:id="1"/>
      <w:r w:rsidR="007F5591" w:rsidRPr="007F5591">
        <w:rPr>
          <w:rFonts w:ascii="Times New Roman" w:hAnsi="Times New Roman" w:cs="Times New Roman" w:hint="eastAsia"/>
          <w:color w:val="404040"/>
        </w:rPr>
        <w:t xml:space="preserve">stratified by </w:t>
      </w:r>
      <w:bookmarkEnd w:id="6"/>
      <w:proofErr w:type="spellStart"/>
      <w:r w:rsidR="007F5591" w:rsidRPr="007F5591">
        <w:rPr>
          <w:rFonts w:ascii="Times New Roman" w:hAnsi="Times New Roman" w:cs="Times New Roman" w:hint="eastAsia"/>
          <w:color w:val="404040"/>
        </w:rPr>
        <w:t>TyG</w:t>
      </w:r>
      <w:proofErr w:type="spellEnd"/>
      <w:r w:rsidR="007F5591" w:rsidRPr="007F5591">
        <w:rPr>
          <w:rFonts w:ascii="Times New Roman" w:hAnsi="Times New Roman" w:cs="Times New Roman" w:hint="eastAsia"/>
          <w:color w:val="404040"/>
        </w:rPr>
        <w:t xml:space="preserve"> index quartiles</w:t>
      </w:r>
      <w:r>
        <w:rPr>
          <w:rFonts w:ascii="Times New Roman" w:hAnsi="Times New Roman" w:cs="Times New Roman" w:hint="eastAsia"/>
          <w:color w:val="404040"/>
        </w:rPr>
        <w:t>.</w:t>
      </w:r>
      <w:bookmarkEnd w:id="2"/>
      <w:r>
        <w:rPr>
          <w:rFonts w:ascii="Times New Roman" w:hAnsi="Times New Roman" w:cs="Times New Roman" w:hint="eastAsia"/>
          <w:color w:val="404040"/>
        </w:rPr>
        <w:t xml:space="preserve"> </w:t>
      </w:r>
      <w:bookmarkStart w:id="8" w:name="_Hlk189691157"/>
      <w:bookmarkEnd w:id="3"/>
      <w:bookmarkEnd w:id="7"/>
      <w:r w:rsidRPr="005C59EB">
        <w:rPr>
          <w:rFonts w:ascii="Times New Roman" w:hAnsi="Times New Roman" w:cs="Times New Roman" w:hint="eastAsia"/>
          <w:color w:val="404040"/>
        </w:rPr>
        <w:t xml:space="preserve"> </w:t>
      </w:r>
      <w:bookmarkStart w:id="9" w:name="_Hlk189429125"/>
      <w:bookmarkEnd w:id="4"/>
      <w:r w:rsidRPr="00137103">
        <w:rPr>
          <w:rFonts w:ascii="Times New Roman" w:hAnsi="Times New Roman" w:cs="Times New Roman" w:hint="eastAsia"/>
          <w:i/>
          <w:iCs/>
          <w:szCs w:val="21"/>
        </w:rPr>
        <w:t>P</w:t>
      </w:r>
      <w:r w:rsidRPr="00137103">
        <w:rPr>
          <w:rFonts w:ascii="Times New Roman" w:hAnsi="Times New Roman" w:cs="Times New Roman" w:hint="eastAsia"/>
          <w:szCs w:val="21"/>
        </w:rPr>
        <w:t>&lt;0.05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37103">
        <w:rPr>
          <w:rFonts w:ascii="Times New Roman" w:hAnsi="Times New Roman" w:cs="Times New Roman" w:hint="eastAsia"/>
          <w:szCs w:val="21"/>
        </w:rPr>
        <w:t>indicate</w:t>
      </w:r>
      <w:r w:rsidR="006520B1">
        <w:rPr>
          <w:rFonts w:ascii="Times New Roman" w:hAnsi="Times New Roman" w:cs="Times New Roman" w:hint="eastAsia"/>
          <w:szCs w:val="21"/>
        </w:rPr>
        <w:t>d</w:t>
      </w:r>
      <w:r w:rsidRPr="00137103">
        <w:rPr>
          <w:rFonts w:ascii="Times New Roman" w:hAnsi="Times New Roman" w:cs="Times New Roman" w:hint="eastAsia"/>
          <w:szCs w:val="21"/>
        </w:rPr>
        <w:t xml:space="preserve"> that there </w:t>
      </w:r>
      <w:r w:rsidR="00C54596">
        <w:rPr>
          <w:rFonts w:ascii="Times New Roman" w:hAnsi="Times New Roman" w:cs="Times New Roman" w:hint="eastAsia"/>
          <w:szCs w:val="21"/>
        </w:rPr>
        <w:t>was</w:t>
      </w:r>
      <w:r w:rsidRPr="00137103">
        <w:rPr>
          <w:rFonts w:ascii="Times New Roman" w:hAnsi="Times New Roman" w:cs="Times New Roman" w:hint="eastAsia"/>
          <w:szCs w:val="21"/>
        </w:rPr>
        <w:t xml:space="preserve"> a significant difference in the </w:t>
      </w:r>
      <w:bookmarkStart w:id="10" w:name="_Hlk189946655"/>
      <w:r w:rsidR="00C46728" w:rsidRPr="00C46728">
        <w:rPr>
          <w:rFonts w:ascii="Times New Roman" w:hAnsi="Times New Roman" w:cs="Times New Roman" w:hint="eastAsia"/>
          <w:szCs w:val="21"/>
        </w:rPr>
        <w:t>proportion</w:t>
      </w:r>
      <w:bookmarkEnd w:id="10"/>
      <w:r w:rsidRPr="00137103">
        <w:rPr>
          <w:rFonts w:ascii="Times New Roman" w:hAnsi="Times New Roman" w:cs="Times New Roman" w:hint="eastAsia"/>
          <w:szCs w:val="21"/>
        </w:rPr>
        <w:t xml:space="preserve"> of </w:t>
      </w:r>
      <w:r w:rsidRPr="003E1103">
        <w:rPr>
          <w:rFonts w:ascii="Times New Roman" w:hAnsi="Times New Roman" w:cs="Times New Roman" w:hint="eastAsia"/>
          <w:szCs w:val="21"/>
        </w:rPr>
        <w:t>DR</w:t>
      </w:r>
      <w:r w:rsidRPr="00137103">
        <w:rPr>
          <w:rFonts w:ascii="Times New Roman" w:hAnsi="Times New Roman" w:cs="Times New Roman" w:hint="eastAsia"/>
          <w:szCs w:val="21"/>
        </w:rPr>
        <w:t xml:space="preserve"> </w:t>
      </w:r>
      <w:r w:rsidR="007F5591">
        <w:rPr>
          <w:rFonts w:ascii="Times New Roman" w:hAnsi="Times New Roman" w:cs="Times New Roman" w:hint="eastAsia"/>
          <w:szCs w:val="21"/>
        </w:rPr>
        <w:t xml:space="preserve">between </w:t>
      </w:r>
      <w:r w:rsidR="007F5591" w:rsidRPr="007F5591">
        <w:rPr>
          <w:rFonts w:ascii="Times New Roman" w:hAnsi="Times New Roman" w:cs="Times New Roman" w:hint="eastAsia"/>
          <w:szCs w:val="21"/>
        </w:rPr>
        <w:t>HbA1c</w:t>
      </w:r>
      <w:r w:rsidR="00DC233D">
        <w:rPr>
          <w:rFonts w:ascii="Times New Roman" w:hAnsi="Times New Roman" w:cs="Times New Roman" w:hint="eastAsia"/>
          <w:szCs w:val="21"/>
        </w:rPr>
        <w:t xml:space="preserve"> </w:t>
      </w:r>
      <w:r w:rsidR="007F5591" w:rsidRPr="007F5591">
        <w:rPr>
          <w:rFonts w:ascii="Times New Roman" w:hAnsi="Times New Roman" w:cs="Times New Roman" w:hint="eastAsia"/>
          <w:szCs w:val="21"/>
        </w:rPr>
        <w:t>&lt;7</w:t>
      </w:r>
      <w:r w:rsidR="009E0CC9">
        <w:rPr>
          <w:rFonts w:ascii="Times New Roman" w:hAnsi="Times New Roman" w:cs="Times New Roman" w:hint="eastAsia"/>
          <w:szCs w:val="21"/>
        </w:rPr>
        <w:t>%</w:t>
      </w:r>
      <w:r w:rsidR="007F5591" w:rsidRPr="007F5591">
        <w:rPr>
          <w:rFonts w:ascii="Times New Roman" w:hAnsi="Times New Roman" w:cs="Times New Roman" w:hint="eastAsia"/>
          <w:szCs w:val="21"/>
        </w:rPr>
        <w:t xml:space="preserve"> and HbA1c</w:t>
      </w:r>
      <w:r w:rsidR="00DC233D">
        <w:rPr>
          <w:rFonts w:ascii="Times New Roman" w:hAnsi="Times New Roman" w:cs="Times New Roman" w:hint="eastAsia"/>
          <w:szCs w:val="21"/>
        </w:rPr>
        <w:t xml:space="preserve"> </w:t>
      </w:r>
      <w:r w:rsidR="007F5591" w:rsidRPr="007F5591">
        <w:rPr>
          <w:rFonts w:ascii="Times New Roman" w:hAnsi="Times New Roman" w:cs="Times New Roman" w:hint="eastAsia"/>
          <w:szCs w:val="21"/>
        </w:rPr>
        <w:t>≥</w:t>
      </w:r>
      <w:r w:rsidR="007F5591" w:rsidRPr="007F5591">
        <w:rPr>
          <w:rFonts w:ascii="Times New Roman" w:hAnsi="Times New Roman" w:cs="Times New Roman" w:hint="eastAsia"/>
          <w:szCs w:val="21"/>
        </w:rPr>
        <w:t>7</w:t>
      </w:r>
      <w:r w:rsidR="009E0CC9">
        <w:rPr>
          <w:rFonts w:ascii="Times New Roman" w:hAnsi="Times New Roman" w:cs="Times New Roman" w:hint="eastAsia"/>
          <w:szCs w:val="21"/>
        </w:rPr>
        <w:t>%</w:t>
      </w:r>
      <w:r w:rsidR="007F5591" w:rsidRPr="007F5591">
        <w:rPr>
          <w:rFonts w:ascii="Times New Roman" w:hAnsi="Times New Roman" w:cs="Times New Roman" w:hint="eastAsia"/>
          <w:szCs w:val="21"/>
        </w:rPr>
        <w:t xml:space="preserve"> groups</w:t>
      </w:r>
      <w:r w:rsidRPr="00137103">
        <w:rPr>
          <w:rFonts w:ascii="Times New Roman" w:hAnsi="Times New Roman" w:cs="Times New Roman" w:hint="eastAsia"/>
          <w:szCs w:val="21"/>
        </w:rPr>
        <w:t>.</w:t>
      </w:r>
      <w:bookmarkEnd w:id="9"/>
      <w:r w:rsidRPr="00137103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index quartiles: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Q1 (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&lt;8.67),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Q2 (8.67</w:t>
      </w:r>
      <w:r w:rsidRPr="00711097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&lt;9.13),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Q3 (9.13</w:t>
      </w:r>
      <w:r w:rsidRPr="00711097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&lt;9.63),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Q4 (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</w:t>
      </w:r>
      <w:r w:rsidRPr="00711097">
        <w:rPr>
          <w:rFonts w:ascii="Times New Roman" w:hAnsi="Times New Roman" w:cs="Times New Roman" w:hint="eastAsia"/>
          <w:szCs w:val="21"/>
        </w:rPr>
        <w:t>≥</w:t>
      </w:r>
      <w:r w:rsidRPr="00711097">
        <w:rPr>
          <w:rFonts w:ascii="Times New Roman" w:hAnsi="Times New Roman" w:cs="Times New Roman" w:hint="eastAsia"/>
          <w:szCs w:val="21"/>
        </w:rPr>
        <w:t>9.63).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E31CCB">
        <w:rPr>
          <w:rFonts w:ascii="Times New Roman" w:hAnsi="Times New Roman" w:cs="Times New Roman"/>
          <w:szCs w:val="21"/>
        </w:rPr>
        <w:t>Abbreviations as in Table 1.</w:t>
      </w:r>
    </w:p>
    <w:bookmarkEnd w:id="5"/>
    <w:bookmarkEnd w:id="8"/>
    <w:p w14:paraId="63CBB6AB" w14:textId="08B36BC9" w:rsidR="000F31F8" w:rsidRDefault="00B92C2E" w:rsidP="00E46DFC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1584" behindDoc="0" locked="0" layoutInCell="1" allowOverlap="1" wp14:anchorId="2CD4BD8E" wp14:editId="55582568">
            <wp:simplePos x="0" y="0"/>
            <wp:positionH relativeFrom="column">
              <wp:posOffset>-50474</wp:posOffset>
            </wp:positionH>
            <wp:positionV relativeFrom="paragraph">
              <wp:posOffset>133350</wp:posOffset>
            </wp:positionV>
            <wp:extent cx="6034883" cy="2544445"/>
            <wp:effectExtent l="0" t="0" r="0" b="0"/>
            <wp:wrapNone/>
            <wp:docPr id="20704718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71898" name="图片 20704718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773" cy="254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F9260" w14:textId="5CA7201F" w:rsidR="000F31F8" w:rsidRDefault="000F31F8" w:rsidP="00E46DFC">
      <w:pPr>
        <w:spacing w:line="480" w:lineRule="auto"/>
        <w:rPr>
          <w:rFonts w:ascii="Times New Roman" w:hAnsi="Times New Roman" w:cs="Times New Roman"/>
          <w:szCs w:val="21"/>
        </w:rPr>
      </w:pPr>
    </w:p>
    <w:p w14:paraId="060EB884" w14:textId="11C68A46" w:rsidR="000F31F8" w:rsidRDefault="000F31F8" w:rsidP="00E46DFC">
      <w:pPr>
        <w:spacing w:line="480" w:lineRule="auto"/>
        <w:rPr>
          <w:rFonts w:ascii="Times New Roman" w:hAnsi="Times New Roman" w:cs="Times New Roman"/>
          <w:szCs w:val="21"/>
        </w:rPr>
      </w:pPr>
    </w:p>
    <w:p w14:paraId="782B13EC" w14:textId="6B16A272" w:rsidR="000F31F8" w:rsidRDefault="000F31F8" w:rsidP="00E46DFC">
      <w:pPr>
        <w:spacing w:line="480" w:lineRule="auto"/>
        <w:rPr>
          <w:rFonts w:hint="eastAsia"/>
        </w:rPr>
      </w:pPr>
    </w:p>
    <w:p w14:paraId="7EE20C10" w14:textId="06DA54EA" w:rsidR="000F31F8" w:rsidRDefault="000F31F8" w:rsidP="00E46DFC">
      <w:pPr>
        <w:spacing w:line="480" w:lineRule="auto"/>
        <w:rPr>
          <w:rFonts w:hint="eastAsia"/>
        </w:rPr>
      </w:pPr>
    </w:p>
    <w:p w14:paraId="30BBF2C8" w14:textId="01DE5AE8" w:rsidR="000F31F8" w:rsidRDefault="000F31F8" w:rsidP="00E46DFC">
      <w:pPr>
        <w:spacing w:line="480" w:lineRule="auto"/>
        <w:rPr>
          <w:rFonts w:hint="eastAsia"/>
        </w:rPr>
      </w:pPr>
    </w:p>
    <w:p w14:paraId="6806C674" w14:textId="666302AB" w:rsidR="000F31F8" w:rsidRDefault="000F31F8" w:rsidP="00E46DFC">
      <w:pPr>
        <w:spacing w:line="480" w:lineRule="auto"/>
        <w:rPr>
          <w:rFonts w:hint="eastAsia"/>
        </w:rPr>
      </w:pPr>
    </w:p>
    <w:p w14:paraId="559C3266" w14:textId="506D33A3" w:rsidR="000F31F8" w:rsidRDefault="000F31F8" w:rsidP="003613E7">
      <w:pPr>
        <w:spacing w:line="480" w:lineRule="auto"/>
        <w:ind w:rightChars="2123" w:right="4458"/>
        <w:rPr>
          <w:rFonts w:ascii="Times New Roman" w:hAnsi="Times New Roman" w:cs="Times New Roman"/>
          <w:szCs w:val="21"/>
        </w:rPr>
      </w:pPr>
      <w:r w:rsidRPr="00CF1CDC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bCs/>
          <w:szCs w:val="21"/>
        </w:rPr>
        <w:t>S2</w:t>
      </w:r>
      <w:r w:rsidR="00905B60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5C59EB">
        <w:rPr>
          <w:rFonts w:ascii="Times New Roman" w:hAnsi="Times New Roman" w:cs="Times New Roman" w:hint="eastAsia"/>
          <w:color w:val="404040"/>
        </w:rPr>
        <w:t xml:space="preserve">The </w:t>
      </w:r>
      <w:r w:rsidR="00905B60" w:rsidRPr="00905B60">
        <w:rPr>
          <w:rFonts w:ascii="Times New Roman" w:hAnsi="Times New Roman" w:cs="Times New Roman" w:hint="eastAsia"/>
          <w:color w:val="404040"/>
        </w:rPr>
        <w:t>risk of</w:t>
      </w:r>
      <w:r w:rsidRPr="005C59EB">
        <w:rPr>
          <w:rFonts w:ascii="Times New Roman" w:hAnsi="Times New Roman" w:cs="Times New Roman" w:hint="eastAsia"/>
          <w:color w:val="404040"/>
        </w:rPr>
        <w:t xml:space="preserve"> diabetic retinopathy in </w:t>
      </w:r>
      <w:r w:rsidRPr="00EA171A">
        <w:rPr>
          <w:rFonts w:ascii="Times New Roman" w:hAnsi="Times New Roman" w:cs="Times New Roman" w:hint="eastAsia"/>
          <w:color w:val="404040"/>
        </w:rPr>
        <w:t>HbA1c</w:t>
      </w:r>
      <w:r w:rsidR="00DC233D">
        <w:rPr>
          <w:rFonts w:ascii="Times New Roman" w:hAnsi="Times New Roman" w:cs="Times New Roman" w:hint="eastAsia"/>
          <w:color w:val="404040"/>
        </w:rPr>
        <w:t xml:space="preserve"> </w:t>
      </w:r>
      <w:r w:rsidRPr="00EA171A">
        <w:rPr>
          <w:rFonts w:ascii="Times New Roman" w:hAnsi="Times New Roman" w:cs="Times New Roman" w:hint="eastAsia"/>
          <w:color w:val="404040"/>
        </w:rPr>
        <w:t>&lt;7</w:t>
      </w:r>
      <w:r w:rsidR="00E42CB3">
        <w:rPr>
          <w:rFonts w:ascii="Times New Roman" w:hAnsi="Times New Roman" w:cs="Times New Roman" w:hint="eastAsia"/>
          <w:color w:val="404040"/>
        </w:rPr>
        <w:t>%</w:t>
      </w:r>
      <w:r w:rsidRPr="00EA171A">
        <w:rPr>
          <w:rFonts w:ascii="Times New Roman" w:hAnsi="Times New Roman" w:cs="Times New Roman" w:hint="eastAsia"/>
          <w:color w:val="404040"/>
        </w:rPr>
        <w:t xml:space="preserve"> and HbA1c</w:t>
      </w:r>
      <w:r w:rsidR="00DC233D">
        <w:rPr>
          <w:rFonts w:ascii="Times New Roman" w:hAnsi="Times New Roman" w:cs="Times New Roman" w:hint="eastAsia"/>
          <w:color w:val="404040"/>
        </w:rPr>
        <w:t xml:space="preserve"> </w:t>
      </w:r>
      <w:r w:rsidRPr="00EA171A">
        <w:rPr>
          <w:rFonts w:ascii="Times New Roman" w:hAnsi="Times New Roman" w:cs="Times New Roman" w:hint="eastAsia"/>
          <w:color w:val="404040"/>
        </w:rPr>
        <w:t>≥</w:t>
      </w:r>
      <w:r w:rsidRPr="00EA171A">
        <w:rPr>
          <w:rFonts w:ascii="Times New Roman" w:hAnsi="Times New Roman" w:cs="Times New Roman" w:hint="eastAsia"/>
          <w:color w:val="404040"/>
        </w:rPr>
        <w:t>7</w:t>
      </w:r>
      <w:r w:rsidR="00E42CB3">
        <w:rPr>
          <w:rFonts w:ascii="Times New Roman" w:hAnsi="Times New Roman" w:cs="Times New Roman" w:hint="eastAsia"/>
          <w:color w:val="404040"/>
        </w:rPr>
        <w:t xml:space="preserve">% </w:t>
      </w:r>
      <w:r w:rsidRPr="005C59EB">
        <w:rPr>
          <w:rFonts w:ascii="Times New Roman" w:hAnsi="Times New Roman" w:cs="Times New Roman" w:hint="eastAsia"/>
          <w:color w:val="404040"/>
        </w:rPr>
        <w:t xml:space="preserve">groups, </w:t>
      </w:r>
      <w:r w:rsidRPr="007F5591">
        <w:rPr>
          <w:rFonts w:ascii="Times New Roman" w:hAnsi="Times New Roman" w:cs="Times New Roman" w:hint="eastAsia"/>
          <w:color w:val="404040"/>
        </w:rPr>
        <w:t xml:space="preserve">stratified by </w:t>
      </w:r>
      <w:proofErr w:type="spellStart"/>
      <w:r w:rsidRPr="007F5591">
        <w:rPr>
          <w:rFonts w:ascii="Times New Roman" w:hAnsi="Times New Roman" w:cs="Times New Roman" w:hint="eastAsia"/>
          <w:color w:val="404040"/>
        </w:rPr>
        <w:t>TyG</w:t>
      </w:r>
      <w:proofErr w:type="spellEnd"/>
      <w:r w:rsidRPr="007F5591">
        <w:rPr>
          <w:rFonts w:ascii="Times New Roman" w:hAnsi="Times New Roman" w:cs="Times New Roman" w:hint="eastAsia"/>
          <w:color w:val="404040"/>
        </w:rPr>
        <w:t xml:space="preserve"> index quartiles</w:t>
      </w:r>
      <w:r>
        <w:rPr>
          <w:rFonts w:ascii="Times New Roman" w:hAnsi="Times New Roman" w:cs="Times New Roman" w:hint="eastAsia"/>
          <w:color w:val="404040"/>
        </w:rPr>
        <w:t xml:space="preserve">. </w:t>
      </w:r>
      <w:r w:rsidR="00E7195D" w:rsidRPr="00E7195D">
        <w:rPr>
          <w:rFonts w:ascii="Times New Roman" w:hAnsi="Times New Roman" w:cs="Times New Roman" w:hint="eastAsia"/>
          <w:color w:val="404040"/>
        </w:rPr>
        <w:t xml:space="preserve">Multivariable logistic regression analyses adjusted for </w:t>
      </w:r>
      <w:proofErr w:type="spellStart"/>
      <w:r w:rsidR="00E7195D" w:rsidRPr="00E7195D">
        <w:rPr>
          <w:rFonts w:ascii="Times New Roman" w:hAnsi="Times New Roman" w:cs="Times New Roman" w:hint="eastAsia"/>
          <w:color w:val="404040"/>
        </w:rPr>
        <w:t>for</w:t>
      </w:r>
      <w:proofErr w:type="spellEnd"/>
      <w:r w:rsidR="00E7195D" w:rsidRPr="00E7195D">
        <w:rPr>
          <w:rFonts w:ascii="Times New Roman" w:hAnsi="Times New Roman" w:cs="Times New Roman" w:hint="eastAsia"/>
          <w:color w:val="404040"/>
        </w:rPr>
        <w:t xml:space="preserve"> gender, age, </w:t>
      </w:r>
      <w:r w:rsidR="0061059E" w:rsidRPr="0061059E">
        <w:rPr>
          <w:rFonts w:ascii="Times New Roman" w:hAnsi="Times New Roman" w:cs="Times New Roman" w:hint="eastAsia"/>
          <w:color w:val="404040"/>
        </w:rPr>
        <w:t>T2DM duration</w:t>
      </w:r>
      <w:r w:rsidR="00E7195D" w:rsidRPr="00E7195D">
        <w:rPr>
          <w:rFonts w:ascii="Times New Roman" w:hAnsi="Times New Roman" w:cs="Times New Roman" w:hint="eastAsia"/>
          <w:color w:val="404040"/>
        </w:rPr>
        <w:t xml:space="preserve">, BMI, SBP, DBP, BUN, Cr, ALB, </w:t>
      </w:r>
      <w:proofErr w:type="spellStart"/>
      <w:r w:rsidR="00E7195D" w:rsidRPr="00E7195D">
        <w:rPr>
          <w:rFonts w:ascii="Times New Roman" w:hAnsi="Times New Roman" w:cs="Times New Roman" w:hint="eastAsia"/>
          <w:color w:val="404040"/>
        </w:rPr>
        <w:t>hsCRP</w:t>
      </w:r>
      <w:proofErr w:type="spellEnd"/>
      <w:r w:rsidR="00E7195D" w:rsidRPr="00E7195D">
        <w:rPr>
          <w:rFonts w:ascii="Times New Roman" w:hAnsi="Times New Roman" w:cs="Times New Roman" w:hint="eastAsia"/>
          <w:color w:val="404040"/>
        </w:rPr>
        <w:t>, LP(a), TC, HDL-C, LDL-C.</w:t>
      </w:r>
      <w:r w:rsidR="00E7195D">
        <w:rPr>
          <w:rFonts w:ascii="Times New Roman" w:hAnsi="Times New Roman" w:cs="Times New Roman" w:hint="eastAsia"/>
          <w:color w:val="404040"/>
        </w:rPr>
        <w:t xml:space="preserve">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index quartiles: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Q1 (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&lt;8.67),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Q2 (8.67</w:t>
      </w:r>
      <w:r w:rsidRPr="00711097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&lt;9.13),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Q3 (9.13</w:t>
      </w:r>
      <w:r w:rsidRPr="00711097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&lt;9.63), 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Q4 (</w:t>
      </w:r>
      <w:proofErr w:type="spellStart"/>
      <w:r w:rsidRPr="00711097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11097">
        <w:rPr>
          <w:rFonts w:ascii="Times New Roman" w:hAnsi="Times New Roman" w:cs="Times New Roman" w:hint="eastAsia"/>
          <w:szCs w:val="21"/>
        </w:rPr>
        <w:t xml:space="preserve"> </w:t>
      </w:r>
      <w:r w:rsidRPr="00711097">
        <w:rPr>
          <w:rFonts w:ascii="Times New Roman" w:hAnsi="Times New Roman" w:cs="Times New Roman" w:hint="eastAsia"/>
          <w:szCs w:val="21"/>
        </w:rPr>
        <w:t>≥</w:t>
      </w:r>
      <w:r w:rsidRPr="00711097">
        <w:rPr>
          <w:rFonts w:ascii="Times New Roman" w:hAnsi="Times New Roman" w:cs="Times New Roman" w:hint="eastAsia"/>
          <w:szCs w:val="21"/>
        </w:rPr>
        <w:t>9.63).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E31CCB">
        <w:rPr>
          <w:rFonts w:ascii="Times New Roman" w:hAnsi="Times New Roman" w:cs="Times New Roman"/>
          <w:szCs w:val="21"/>
        </w:rPr>
        <w:t>Abbreviations as in Table 1.</w:t>
      </w:r>
    </w:p>
    <w:p w14:paraId="511D3F57" w14:textId="2BD2D1FF" w:rsidR="000F31F8" w:rsidRDefault="000F31F8" w:rsidP="00E46DFC">
      <w:pPr>
        <w:spacing w:line="480" w:lineRule="auto"/>
        <w:rPr>
          <w:rFonts w:hint="eastAsia"/>
        </w:rPr>
      </w:pPr>
    </w:p>
    <w:p w14:paraId="2E9E1FA0" w14:textId="2A849BD7" w:rsidR="000F31F8" w:rsidRDefault="000F31F8" w:rsidP="00E46DFC">
      <w:pPr>
        <w:spacing w:line="480" w:lineRule="auto"/>
        <w:rPr>
          <w:rFonts w:hint="eastAsia"/>
        </w:rPr>
      </w:pPr>
    </w:p>
    <w:p w14:paraId="6FCB9766" w14:textId="4F8D79DA" w:rsidR="000F31F8" w:rsidRDefault="003613E7" w:rsidP="00E46DFC">
      <w:pPr>
        <w:spacing w:line="480" w:lineRule="auto"/>
        <w:rPr>
          <w:rFonts w:hint="eastAsia"/>
        </w:rPr>
      </w:pPr>
      <w:r>
        <w:rPr>
          <w:rFonts w:ascii="Times New Roman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56704" behindDoc="0" locked="0" layoutInCell="1" allowOverlap="1" wp14:anchorId="15E19EE8" wp14:editId="17BA29B5">
            <wp:simplePos x="0" y="0"/>
            <wp:positionH relativeFrom="column">
              <wp:posOffset>69850</wp:posOffset>
            </wp:positionH>
            <wp:positionV relativeFrom="paragraph">
              <wp:posOffset>262255</wp:posOffset>
            </wp:positionV>
            <wp:extent cx="4740275" cy="2532150"/>
            <wp:effectExtent l="0" t="0" r="0" b="0"/>
            <wp:wrapNone/>
            <wp:docPr id="59488589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85899" name="图片 5948858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253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97AFF" w14:textId="5DFB7495" w:rsidR="000F31F8" w:rsidRDefault="000F31F8" w:rsidP="00E46DFC">
      <w:pPr>
        <w:spacing w:line="480" w:lineRule="auto"/>
        <w:rPr>
          <w:rFonts w:hint="eastAsia"/>
        </w:rPr>
      </w:pPr>
    </w:p>
    <w:p w14:paraId="253D8993" w14:textId="0934F451" w:rsidR="000F31F8" w:rsidRDefault="000F31F8" w:rsidP="00E46DFC">
      <w:pPr>
        <w:spacing w:line="480" w:lineRule="auto"/>
        <w:rPr>
          <w:rFonts w:hint="eastAsia"/>
        </w:rPr>
      </w:pPr>
    </w:p>
    <w:p w14:paraId="1957BB55" w14:textId="3A56B640" w:rsidR="000F31F8" w:rsidRDefault="000F31F8" w:rsidP="000F31F8">
      <w:pPr>
        <w:spacing w:line="480" w:lineRule="auto"/>
        <w:rPr>
          <w:rFonts w:ascii="Times New Roman" w:hAnsi="Times New Roman" w:cs="Times New Roman"/>
          <w:szCs w:val="21"/>
        </w:rPr>
      </w:pPr>
    </w:p>
    <w:p w14:paraId="2C6D99C5" w14:textId="13E20D86" w:rsidR="00193CE4" w:rsidRDefault="00193CE4" w:rsidP="000F31F8">
      <w:pPr>
        <w:spacing w:line="480" w:lineRule="auto"/>
        <w:rPr>
          <w:rFonts w:ascii="Times New Roman" w:hAnsi="Times New Roman" w:cs="Times New Roman"/>
          <w:szCs w:val="21"/>
        </w:rPr>
      </w:pPr>
    </w:p>
    <w:p w14:paraId="5E8028C1" w14:textId="7303ACBF" w:rsidR="00193CE4" w:rsidRDefault="00193CE4" w:rsidP="000F31F8">
      <w:pPr>
        <w:spacing w:line="480" w:lineRule="auto"/>
        <w:rPr>
          <w:rFonts w:ascii="Times New Roman" w:hAnsi="Times New Roman" w:cs="Times New Roman"/>
          <w:szCs w:val="21"/>
        </w:rPr>
      </w:pPr>
    </w:p>
    <w:p w14:paraId="59275662" w14:textId="16DA5296" w:rsidR="00193CE4" w:rsidRDefault="00193CE4" w:rsidP="000F31F8">
      <w:pPr>
        <w:spacing w:line="480" w:lineRule="auto"/>
        <w:rPr>
          <w:rFonts w:ascii="Times New Roman" w:hAnsi="Times New Roman" w:cs="Times New Roman"/>
          <w:szCs w:val="21"/>
        </w:rPr>
      </w:pPr>
    </w:p>
    <w:p w14:paraId="106621F0" w14:textId="53DD8B85" w:rsidR="000F31F8" w:rsidRDefault="000F31F8" w:rsidP="003613E7">
      <w:pPr>
        <w:spacing w:line="480" w:lineRule="auto"/>
        <w:ind w:rightChars="2933" w:right="6159"/>
        <w:rPr>
          <w:rFonts w:ascii="Times New Roman" w:hAnsi="Times New Roman" w:cs="Times New Roman"/>
          <w:szCs w:val="21"/>
        </w:rPr>
      </w:pPr>
      <w:r w:rsidRPr="00E31CCB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bCs/>
          <w:szCs w:val="21"/>
        </w:rPr>
        <w:t>S3</w:t>
      </w:r>
      <w:r w:rsidRPr="00E31CCB">
        <w:rPr>
          <w:rFonts w:ascii="Times New Roman" w:hAnsi="Times New Roman" w:cs="Times New Roman"/>
          <w:szCs w:val="21"/>
        </w:rPr>
        <w:t xml:space="preserve"> </w:t>
      </w:r>
      <w:r w:rsidRPr="007F5591">
        <w:rPr>
          <w:rFonts w:ascii="Times New Roman" w:hAnsi="Times New Roman" w:cs="Times New Roman" w:hint="eastAsia"/>
          <w:szCs w:val="21"/>
        </w:rPr>
        <w:t xml:space="preserve"> The </w:t>
      </w:r>
      <w:r w:rsidR="009E0CC9" w:rsidRPr="009E0CC9">
        <w:rPr>
          <w:rFonts w:ascii="Times New Roman" w:hAnsi="Times New Roman" w:cs="Times New Roman" w:hint="eastAsia"/>
          <w:szCs w:val="21"/>
        </w:rPr>
        <w:t>proportion</w:t>
      </w:r>
      <w:r w:rsidRPr="007F5591">
        <w:rPr>
          <w:rFonts w:ascii="Times New Roman" w:hAnsi="Times New Roman" w:cs="Times New Roman" w:hint="eastAsia"/>
          <w:szCs w:val="21"/>
        </w:rPr>
        <w:t xml:space="preserve"> of diabetic retinopathy in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index quartiles, stratified by HbA1c</w:t>
      </w:r>
      <w:r w:rsidR="004E406B">
        <w:rPr>
          <w:rFonts w:ascii="Times New Roman" w:hAnsi="Times New Roman" w:cs="Times New Roman" w:hint="eastAsia"/>
          <w:szCs w:val="21"/>
        </w:rPr>
        <w:t xml:space="preserve"> </w:t>
      </w:r>
      <w:r w:rsidRPr="007F5591">
        <w:rPr>
          <w:rFonts w:ascii="Times New Roman" w:hAnsi="Times New Roman" w:cs="Times New Roman" w:hint="eastAsia"/>
          <w:szCs w:val="21"/>
        </w:rPr>
        <w:t>&lt;7</w:t>
      </w:r>
      <w:r w:rsidR="00AB2892">
        <w:rPr>
          <w:rFonts w:ascii="Times New Roman" w:hAnsi="Times New Roman" w:cs="Times New Roman" w:hint="eastAsia"/>
          <w:szCs w:val="21"/>
        </w:rPr>
        <w:t>%</w:t>
      </w:r>
      <w:r w:rsidRPr="007F5591">
        <w:rPr>
          <w:rFonts w:ascii="Times New Roman" w:hAnsi="Times New Roman" w:cs="Times New Roman" w:hint="eastAsia"/>
          <w:szCs w:val="21"/>
        </w:rPr>
        <w:t xml:space="preserve"> and HbA1c</w:t>
      </w:r>
      <w:r w:rsidR="004E406B">
        <w:rPr>
          <w:rFonts w:ascii="Times New Roman" w:hAnsi="Times New Roman" w:cs="Times New Roman" w:hint="eastAsia"/>
          <w:szCs w:val="21"/>
        </w:rPr>
        <w:t xml:space="preserve"> </w:t>
      </w:r>
      <w:r w:rsidRPr="007F5591">
        <w:rPr>
          <w:rFonts w:ascii="Times New Roman" w:hAnsi="Times New Roman" w:cs="Times New Roman" w:hint="eastAsia"/>
          <w:szCs w:val="21"/>
        </w:rPr>
        <w:t>≥</w:t>
      </w:r>
      <w:r w:rsidRPr="007F5591">
        <w:rPr>
          <w:rFonts w:ascii="Times New Roman" w:hAnsi="Times New Roman" w:cs="Times New Roman" w:hint="eastAsia"/>
          <w:szCs w:val="21"/>
        </w:rPr>
        <w:t>7</w:t>
      </w:r>
      <w:r w:rsidR="00AB2892">
        <w:rPr>
          <w:rFonts w:ascii="Times New Roman" w:hAnsi="Times New Roman" w:cs="Times New Roman" w:hint="eastAsia"/>
          <w:szCs w:val="21"/>
        </w:rPr>
        <w:t>%</w:t>
      </w:r>
      <w:r w:rsidRPr="007F5591">
        <w:rPr>
          <w:rFonts w:ascii="Times New Roman" w:hAnsi="Times New Roman" w:cs="Times New Roman" w:hint="eastAsia"/>
          <w:szCs w:val="21"/>
        </w:rPr>
        <w:t xml:space="preserve">. </w:t>
      </w:r>
      <w:r w:rsidRPr="00AB2892">
        <w:rPr>
          <w:rFonts w:ascii="Times New Roman" w:hAnsi="Times New Roman" w:cs="Times New Roman" w:hint="eastAsia"/>
          <w:i/>
          <w:iCs/>
          <w:szCs w:val="21"/>
        </w:rPr>
        <w:t>P</w:t>
      </w:r>
      <w:r w:rsidRPr="007F5591">
        <w:rPr>
          <w:rFonts w:ascii="Times New Roman" w:hAnsi="Times New Roman" w:cs="Times New Roman" w:hint="eastAsia"/>
          <w:szCs w:val="21"/>
        </w:rPr>
        <w:t>&lt;0.05 indicate</w:t>
      </w:r>
      <w:r w:rsidR="006520B1">
        <w:rPr>
          <w:rFonts w:ascii="Times New Roman" w:hAnsi="Times New Roman" w:cs="Times New Roman" w:hint="eastAsia"/>
          <w:szCs w:val="21"/>
        </w:rPr>
        <w:t>d</w:t>
      </w:r>
      <w:r w:rsidRPr="007F5591">
        <w:rPr>
          <w:rFonts w:ascii="Times New Roman" w:hAnsi="Times New Roman" w:cs="Times New Roman" w:hint="eastAsia"/>
          <w:szCs w:val="21"/>
        </w:rPr>
        <w:t xml:space="preserve"> a significant difference in the </w:t>
      </w:r>
      <w:r w:rsidR="00114B00">
        <w:rPr>
          <w:rFonts w:ascii="Times New Roman" w:hAnsi="Times New Roman" w:cs="Times New Roman" w:hint="eastAsia"/>
          <w:szCs w:val="21"/>
        </w:rPr>
        <w:t>proportion</w:t>
      </w:r>
      <w:r w:rsidRPr="007F5591">
        <w:rPr>
          <w:rFonts w:ascii="Times New Roman" w:hAnsi="Times New Roman" w:cs="Times New Roman" w:hint="eastAsia"/>
          <w:szCs w:val="21"/>
        </w:rPr>
        <w:t xml:space="preserve"> of DR among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index quartiles groups.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index quartiles: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Q1 (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&lt;8.67),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Q2 (8.67</w:t>
      </w:r>
      <w:r w:rsidRPr="007F5591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&lt;9.13),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Q3 (9.13</w:t>
      </w:r>
      <w:r w:rsidRPr="007F5591">
        <w:rPr>
          <w:rFonts w:ascii="Times New Roman" w:hAnsi="Times New Roman" w:cs="Times New Roman" w:hint="eastAsia"/>
          <w:szCs w:val="21"/>
        </w:rPr>
        <w:t>≤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&lt;9.63), 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Q4 (</w:t>
      </w:r>
      <w:proofErr w:type="spellStart"/>
      <w:r w:rsidRPr="007F5591">
        <w:rPr>
          <w:rFonts w:ascii="Times New Roman" w:hAnsi="Times New Roman" w:cs="Times New Roman" w:hint="eastAsia"/>
          <w:szCs w:val="21"/>
        </w:rPr>
        <w:t>TyG</w:t>
      </w:r>
      <w:proofErr w:type="spellEnd"/>
      <w:r w:rsidRPr="007F5591">
        <w:rPr>
          <w:rFonts w:ascii="Times New Roman" w:hAnsi="Times New Roman" w:cs="Times New Roman" w:hint="eastAsia"/>
          <w:szCs w:val="21"/>
        </w:rPr>
        <w:t xml:space="preserve"> </w:t>
      </w:r>
      <w:r w:rsidRPr="007F5591">
        <w:rPr>
          <w:rFonts w:ascii="Times New Roman" w:hAnsi="Times New Roman" w:cs="Times New Roman" w:hint="eastAsia"/>
          <w:szCs w:val="21"/>
        </w:rPr>
        <w:t>≥</w:t>
      </w:r>
      <w:r w:rsidRPr="007F5591">
        <w:rPr>
          <w:rFonts w:ascii="Times New Roman" w:hAnsi="Times New Roman" w:cs="Times New Roman" w:hint="eastAsia"/>
          <w:szCs w:val="21"/>
        </w:rPr>
        <w:t>9.63). Abbreviations as in Table 1.</w:t>
      </w:r>
    </w:p>
    <w:p w14:paraId="3930B826" w14:textId="77777777" w:rsidR="000F31F8" w:rsidRDefault="000F31F8" w:rsidP="000F31F8">
      <w:pPr>
        <w:spacing w:line="480" w:lineRule="auto"/>
        <w:rPr>
          <w:rFonts w:ascii="Times New Roman" w:hAnsi="Times New Roman" w:cs="Times New Roman"/>
          <w:szCs w:val="21"/>
        </w:rPr>
      </w:pPr>
    </w:p>
    <w:p w14:paraId="0CBBD7CB" w14:textId="77777777" w:rsidR="00525144" w:rsidRPr="00AC610D" w:rsidRDefault="00525144" w:rsidP="00525144">
      <w:pPr>
        <w:ind w:rightChars="175" w:right="368"/>
        <w:rPr>
          <w:rFonts w:ascii="Times New Roman" w:eastAsia="宋体" w:hAnsi="Times New Roman" w:cs="Times New Roman"/>
          <w:b/>
          <w:bCs/>
          <w:szCs w:val="21"/>
        </w:rPr>
      </w:pPr>
      <w:r w:rsidRPr="00AC610D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Table S1 </w:t>
      </w:r>
      <w:bookmarkStart w:id="11" w:name="_Hlk189769886"/>
      <w:r w:rsidRPr="00AC610D">
        <w:rPr>
          <w:rFonts w:ascii="Times New Roman" w:eastAsia="宋体" w:hAnsi="Times New Roman" w:cs="Times New Roman"/>
          <w:b/>
          <w:bCs/>
          <w:szCs w:val="21"/>
        </w:rPr>
        <w:t>Characteristics of included T2DM patients stratified by HbA1c &lt;7% and HbA1c ≥7% groups</w:t>
      </w:r>
      <w:bookmarkEnd w:id="11"/>
    </w:p>
    <w:tbl>
      <w:tblPr>
        <w:tblStyle w:val="af2"/>
        <w:tblW w:w="9072" w:type="dxa"/>
        <w:tblInd w:w="2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1559"/>
      </w:tblGrid>
      <w:tr w:rsidR="00525144" w:rsidRPr="00AC610D" w14:paraId="6C885E6D" w14:textId="77777777" w:rsidTr="00991F6D">
        <w:trPr>
          <w:trHeight w:val="475"/>
        </w:trPr>
        <w:tc>
          <w:tcPr>
            <w:tcW w:w="2410" w:type="dxa"/>
            <w:vMerge w:val="restart"/>
            <w:vAlign w:val="center"/>
          </w:tcPr>
          <w:p w14:paraId="1D523FD8" w14:textId="77777777" w:rsidR="00525144" w:rsidRPr="00AC610D" w:rsidRDefault="00525144" w:rsidP="00991F6D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bookmarkStart w:id="12" w:name="_Hlk177888345"/>
            <w:r w:rsidRPr="00AC610D">
              <w:rPr>
                <w:b/>
                <w:bCs/>
                <w:sz w:val="21"/>
                <w:szCs w:val="21"/>
              </w:rPr>
              <w:t xml:space="preserve">Characteristics </w:t>
            </w:r>
          </w:p>
        </w:tc>
        <w:tc>
          <w:tcPr>
            <w:tcW w:w="6662" w:type="dxa"/>
            <w:gridSpan w:val="3"/>
            <w:vAlign w:val="center"/>
          </w:tcPr>
          <w:p w14:paraId="776804AD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C610D">
              <w:rPr>
                <w:b/>
                <w:bCs/>
                <w:sz w:val="21"/>
                <w:szCs w:val="21"/>
              </w:rPr>
              <w:t>Glycemic control</w:t>
            </w:r>
          </w:p>
        </w:tc>
      </w:tr>
      <w:tr w:rsidR="00525144" w:rsidRPr="00AC610D" w14:paraId="77D4D088" w14:textId="77777777" w:rsidTr="00991F6D"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69B65EC" w14:textId="77777777" w:rsidR="00525144" w:rsidRPr="00AC610D" w:rsidRDefault="00525144" w:rsidP="00991F6D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2A1DEFB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bookmarkStart w:id="13" w:name="_Hlk179727997"/>
            <w:r w:rsidRPr="00AC610D">
              <w:rPr>
                <w:b/>
                <w:bCs/>
                <w:sz w:val="21"/>
                <w:szCs w:val="21"/>
              </w:rPr>
              <w:t>Controlled glycemia</w:t>
            </w:r>
          </w:p>
          <w:p w14:paraId="26F431A1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C610D">
              <w:rPr>
                <w:b/>
                <w:bCs/>
                <w:sz w:val="21"/>
                <w:szCs w:val="21"/>
              </w:rPr>
              <w:t>(HbA1c&lt;7%)</w:t>
            </w:r>
            <w:bookmarkEnd w:id="13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20BD4B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C610D">
              <w:rPr>
                <w:b/>
                <w:bCs/>
                <w:sz w:val="21"/>
                <w:szCs w:val="21"/>
              </w:rPr>
              <w:t>Uncontrolled</w:t>
            </w:r>
            <w:r w:rsidRPr="00AC610D">
              <w:rPr>
                <w:rFonts w:eastAsia="等线"/>
                <w:b/>
                <w:bCs/>
                <w:sz w:val="21"/>
                <w:szCs w:val="21"/>
              </w:rPr>
              <w:t xml:space="preserve"> </w:t>
            </w:r>
            <w:r w:rsidRPr="00AC610D">
              <w:rPr>
                <w:b/>
                <w:bCs/>
                <w:sz w:val="21"/>
                <w:szCs w:val="21"/>
              </w:rPr>
              <w:t>glycemia</w:t>
            </w:r>
          </w:p>
          <w:p w14:paraId="600A8484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C610D">
              <w:rPr>
                <w:b/>
                <w:bCs/>
                <w:sz w:val="21"/>
                <w:szCs w:val="21"/>
              </w:rPr>
              <w:t>(HbA1c</w:t>
            </w:r>
            <w:r w:rsidRPr="00AC610D">
              <w:rPr>
                <w:rFonts w:eastAsia="等线"/>
                <w:b/>
                <w:bCs/>
                <w:sz w:val="21"/>
                <w:szCs w:val="21"/>
              </w:rPr>
              <w:t>≥</w:t>
            </w:r>
            <w:r w:rsidRPr="00AC610D">
              <w:rPr>
                <w:b/>
                <w:bCs/>
                <w:sz w:val="21"/>
                <w:szCs w:val="21"/>
              </w:rPr>
              <w:t>7%)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8AA47C" w14:textId="77777777" w:rsidR="00525144" w:rsidRPr="00AC610D" w:rsidRDefault="00525144" w:rsidP="00991F6D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C610D">
              <w:rPr>
                <w:b/>
                <w:bCs/>
                <w:i/>
                <w:iCs/>
                <w:sz w:val="21"/>
                <w:szCs w:val="21"/>
              </w:rPr>
              <w:t>P</w:t>
            </w:r>
            <w:r w:rsidRPr="00AC610D">
              <w:rPr>
                <w:b/>
                <w:bCs/>
                <w:sz w:val="21"/>
                <w:szCs w:val="21"/>
              </w:rPr>
              <w:t>-value</w:t>
            </w:r>
          </w:p>
        </w:tc>
      </w:tr>
      <w:tr w:rsidR="00525144" w:rsidRPr="00AC610D" w14:paraId="4F215482" w14:textId="77777777" w:rsidTr="00991F6D">
        <w:tc>
          <w:tcPr>
            <w:tcW w:w="2410" w:type="dxa"/>
            <w:tcBorders>
              <w:bottom w:val="nil"/>
            </w:tcBorders>
            <w:vAlign w:val="center"/>
          </w:tcPr>
          <w:p w14:paraId="3A50E70B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Case number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4CBC71B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662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463D983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3710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59C7AD7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25144" w:rsidRPr="00AC610D" w14:paraId="42DD5D51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CB3E73A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Gender</w:t>
            </w:r>
            <w:r w:rsidRPr="00991F6D">
              <w:rPr>
                <w:color w:val="000000"/>
                <w:sz w:val="21"/>
                <w:szCs w:val="21"/>
              </w:rPr>
              <w:t>，</w:t>
            </w:r>
            <w:r w:rsidRPr="00991F6D">
              <w:rPr>
                <w:color w:val="000000"/>
                <w:sz w:val="21"/>
                <w:szCs w:val="21"/>
              </w:rPr>
              <w:t>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CBA7A68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8F6B58F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B9FF740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0.325</w:t>
            </w:r>
          </w:p>
        </w:tc>
      </w:tr>
      <w:tr w:rsidR="00525144" w:rsidRPr="00AC610D" w14:paraId="4D953FB3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151CB0F" w14:textId="77777777" w:rsidR="00525144" w:rsidRPr="00991F6D" w:rsidRDefault="00525144" w:rsidP="00991F6D">
            <w:pPr>
              <w:spacing w:line="276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Male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9E7E818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391 (15.60%)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0BFE54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2115 (84.40%)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CCB47F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25144" w:rsidRPr="00AC610D" w14:paraId="4B48161C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1B995DC" w14:textId="77777777" w:rsidR="00525144" w:rsidRPr="00991F6D" w:rsidRDefault="00525144" w:rsidP="00991F6D">
            <w:pPr>
              <w:spacing w:line="276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7B6FEF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271 (14.52%)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2607F95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1595 (85.48%)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B0B4AF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25144" w:rsidRPr="00AC610D" w14:paraId="2C136442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7852057" w14:textId="77777777" w:rsidR="00525144" w:rsidRPr="00991F6D" w:rsidRDefault="00525144" w:rsidP="00991F6D">
            <w:pPr>
              <w:spacing w:line="276" w:lineRule="auto"/>
              <w:jc w:val="left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Age</w:t>
            </w:r>
            <w:r w:rsidRPr="00991F6D">
              <w:rPr>
                <w:color w:val="000000"/>
                <w:sz w:val="21"/>
                <w:szCs w:val="21"/>
              </w:rPr>
              <w:t>（</w:t>
            </w:r>
            <w:r w:rsidRPr="00991F6D">
              <w:rPr>
                <w:color w:val="000000"/>
                <w:sz w:val="21"/>
                <w:szCs w:val="21"/>
              </w:rPr>
              <w:t>year-old</w:t>
            </w:r>
            <w:r w:rsidRPr="00991F6D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936803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57.93±11.40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AE1E3A5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56.95±12.15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6E72215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0.053</w:t>
            </w:r>
          </w:p>
        </w:tc>
      </w:tr>
      <w:tr w:rsidR="00525144" w:rsidRPr="00AC610D" w14:paraId="5055F584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EFA0FA4" w14:textId="3B255F10" w:rsidR="00525144" w:rsidRPr="00991F6D" w:rsidRDefault="004547DD" w:rsidP="00991F6D">
            <w:pPr>
              <w:spacing w:line="276" w:lineRule="auto"/>
              <w:jc w:val="left"/>
              <w:rPr>
                <w:color w:val="000000"/>
                <w:sz w:val="21"/>
                <w:szCs w:val="21"/>
              </w:rPr>
            </w:pPr>
            <w:r w:rsidRPr="00991F6D">
              <w:rPr>
                <w:rFonts w:hint="eastAsia"/>
                <w:color w:val="000000"/>
                <w:sz w:val="21"/>
                <w:szCs w:val="21"/>
              </w:rPr>
              <w:t>T2DM duration</w:t>
            </w:r>
            <w:r w:rsidRPr="00991F6D">
              <w:rPr>
                <w:color w:val="000000"/>
                <w:sz w:val="21"/>
                <w:szCs w:val="21"/>
              </w:rPr>
              <w:t xml:space="preserve"> </w:t>
            </w:r>
            <w:r w:rsidRPr="00991F6D">
              <w:rPr>
                <w:rFonts w:hint="eastAsia"/>
                <w:color w:val="000000"/>
                <w:sz w:val="21"/>
                <w:szCs w:val="21"/>
              </w:rPr>
              <w:t>(</w:t>
            </w:r>
            <w:r w:rsidR="00525144" w:rsidRPr="00991F6D">
              <w:rPr>
                <w:color w:val="000000"/>
                <w:sz w:val="21"/>
                <w:szCs w:val="21"/>
              </w:rPr>
              <w:t>years)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36F45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10.00(5.00-15.00)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948D83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11.00 (5.00-18.00)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A9BA6AC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0DB1A2DE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CB8AB6A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BMI (kg/m</w:t>
            </w:r>
            <w:r w:rsidRPr="00991F6D">
              <w:rPr>
                <w:color w:val="000000"/>
                <w:sz w:val="21"/>
                <w:szCs w:val="21"/>
                <w:vertAlign w:val="superscript"/>
              </w:rPr>
              <w:t>2</w:t>
            </w:r>
            <w:r w:rsidRPr="00991F6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394A88C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25.45±3.67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912CEB1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25.88±3.77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19008E3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0.006</w:t>
            </w:r>
          </w:p>
        </w:tc>
      </w:tr>
      <w:tr w:rsidR="00525144" w:rsidRPr="00AC610D" w14:paraId="5C09808A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2C1CD2D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SBP (mmHg)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FE93B5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129.61±16.41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1961768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131.07±16.80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60C96FE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0.039</w:t>
            </w:r>
          </w:p>
        </w:tc>
      </w:tr>
      <w:tr w:rsidR="00525144" w:rsidRPr="00AC610D" w14:paraId="2D651154" w14:textId="77777777" w:rsidTr="00991F6D">
        <w:tc>
          <w:tcPr>
            <w:tcW w:w="2410" w:type="dxa"/>
            <w:tcBorders>
              <w:top w:val="nil"/>
              <w:bottom w:val="nil"/>
            </w:tcBorders>
          </w:tcPr>
          <w:p w14:paraId="739513A8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DBP (mmHg)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92018F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77.10±10.51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F6A2B7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77.31±10.62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7128AD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0.637</w:t>
            </w:r>
          </w:p>
        </w:tc>
      </w:tr>
      <w:tr w:rsidR="00525144" w:rsidRPr="00AC610D" w14:paraId="4E220558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9569856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FBG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A1EE66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5.98±1.31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E7991A5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8.33±2.82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8D568CB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6ADFFCA0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A33D365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BUN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14175AE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5.34±2.01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74C393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5.40±1.94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23C3592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0.475</w:t>
            </w:r>
          </w:p>
        </w:tc>
      </w:tr>
      <w:tr w:rsidR="00525144" w:rsidRPr="00AC610D" w14:paraId="739DFD5E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DEB771E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Cr (</w:t>
            </w:r>
            <w:proofErr w:type="spellStart"/>
            <w:r w:rsidRPr="00991F6D">
              <w:rPr>
                <w:color w:val="000000"/>
                <w:sz w:val="21"/>
                <w:szCs w:val="21"/>
              </w:rPr>
              <w:t>μmol</w:t>
            </w:r>
            <w:proofErr w:type="spellEnd"/>
            <w:r w:rsidRPr="00991F6D">
              <w:rPr>
                <w:color w:val="000000"/>
                <w:sz w:val="21"/>
                <w:szCs w:val="21"/>
              </w:rPr>
              <w:t>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D459071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74.67±27.37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0C3110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69.99±25.16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670E21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3E7DF763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F0DF2C4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ALB (g/L)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527072C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39.12±3.88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54ADEC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38.66±3.84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4515030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0.004</w:t>
            </w:r>
          </w:p>
        </w:tc>
      </w:tr>
      <w:tr w:rsidR="00525144" w:rsidRPr="00AC610D" w14:paraId="6FC5F5C3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188626B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proofErr w:type="spellStart"/>
            <w:r w:rsidRPr="00991F6D">
              <w:rPr>
                <w:color w:val="000000"/>
                <w:sz w:val="21"/>
                <w:szCs w:val="21"/>
              </w:rPr>
              <w:t>hsCRP</w:t>
            </w:r>
            <w:proofErr w:type="spellEnd"/>
            <w:r w:rsidRPr="00991F6D">
              <w:rPr>
                <w:color w:val="000000"/>
                <w:sz w:val="21"/>
                <w:szCs w:val="21"/>
              </w:rPr>
              <w:t xml:space="preserve"> (mg/L)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83440FD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0.89(0.40-2.23)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7AE2ADD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1.18 (0.50-2.90)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FAF3661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5F0E3D97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8722178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LP(a) (mg/dL)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D7AB42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12.94(6.32-25.68)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75E723F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14.73(6.70-29.62)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D519D5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0.043</w:t>
            </w:r>
          </w:p>
        </w:tc>
      </w:tr>
      <w:tr w:rsidR="00525144" w:rsidRPr="00AC610D" w14:paraId="06FC9E39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05DB707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TG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64353F8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1.40(1.02-1.94)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FF9356C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1.56(1.11-2.31)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683526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48B8C4FD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44EA6A8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TC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85C4C7A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4.20±1.01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7EECF2C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4.55±1.16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F8E7F5B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4192C624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369EC5B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HDL-C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19D661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1.07±0.34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E61F364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1.05±0.30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EC3334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0.037</w:t>
            </w:r>
          </w:p>
        </w:tc>
      </w:tr>
      <w:tr w:rsidR="00525144" w:rsidRPr="00AC610D" w14:paraId="74D43F02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6C83862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LDL-C (mmol/L)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A27D142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2.53±0.89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49399A9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2.77±0.94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D7AA336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2B8A505D" w14:textId="77777777" w:rsidTr="00991F6D"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D821B41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HbA1c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35C32E7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6.33±0.46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3199ACB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9.46±1.76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8540D2D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  <w:tr w:rsidR="00525144" w:rsidRPr="00AC610D" w14:paraId="5ED05240" w14:textId="77777777" w:rsidTr="00991F6D">
        <w:tc>
          <w:tcPr>
            <w:tcW w:w="2410" w:type="dxa"/>
            <w:tcBorders>
              <w:top w:val="nil"/>
            </w:tcBorders>
            <w:vAlign w:val="center"/>
          </w:tcPr>
          <w:p w14:paraId="7439D187" w14:textId="77777777" w:rsidR="00525144" w:rsidRPr="00991F6D" w:rsidRDefault="00525144" w:rsidP="00991F6D">
            <w:pPr>
              <w:spacing w:line="276" w:lineRule="auto"/>
              <w:rPr>
                <w:color w:val="000000"/>
                <w:sz w:val="21"/>
                <w:szCs w:val="21"/>
              </w:rPr>
            </w:pPr>
            <w:proofErr w:type="spellStart"/>
            <w:r w:rsidRPr="00991F6D">
              <w:rPr>
                <w:color w:val="000000"/>
                <w:sz w:val="21"/>
                <w:szCs w:val="21"/>
              </w:rPr>
              <w:t>TyG</w:t>
            </w:r>
            <w:proofErr w:type="spellEnd"/>
            <w:r w:rsidRPr="00991F6D">
              <w:rPr>
                <w:color w:val="000000"/>
                <w:sz w:val="21"/>
                <w:szCs w:val="21"/>
              </w:rPr>
              <w:t xml:space="preserve"> index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9282EC3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8.81±0.60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596DF75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9.25±0.74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8076591" w14:textId="77777777" w:rsidR="00525144" w:rsidRPr="00991F6D" w:rsidRDefault="00525144" w:rsidP="00991F6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 w:rsidRPr="00991F6D">
              <w:rPr>
                <w:color w:val="000000"/>
                <w:sz w:val="21"/>
                <w:szCs w:val="21"/>
              </w:rPr>
              <w:t>&lt;0.001</w:t>
            </w:r>
          </w:p>
        </w:tc>
      </w:tr>
    </w:tbl>
    <w:p w14:paraId="78F054A3" w14:textId="566FC8EA" w:rsidR="00525144" w:rsidRPr="00AC610D" w:rsidRDefault="00525144" w:rsidP="00AC610D">
      <w:pPr>
        <w:ind w:rightChars="2259" w:right="4744"/>
        <w:rPr>
          <w:rFonts w:ascii="Times New Roman" w:eastAsia="等线" w:hAnsi="Times New Roman" w:cs="Times New Roman"/>
          <w:szCs w:val="21"/>
        </w:rPr>
      </w:pPr>
      <w:bookmarkStart w:id="14" w:name="_Hlk179718034"/>
      <w:bookmarkEnd w:id="12"/>
      <w:r w:rsidRPr="00AC610D">
        <w:rPr>
          <w:rFonts w:ascii="Times New Roman" w:eastAsia="等线" w:hAnsi="Times New Roman" w:cs="Times New Roman"/>
          <w:szCs w:val="21"/>
        </w:rPr>
        <w:t>Notes:</w:t>
      </w:r>
      <w:bookmarkEnd w:id="14"/>
      <w:r w:rsidRPr="00AC610D">
        <w:rPr>
          <w:rFonts w:ascii="Times New Roman" w:eastAsia="等线" w:hAnsi="Times New Roman" w:cs="Times New Roman"/>
          <w:szCs w:val="21"/>
        </w:rPr>
        <w:t xml:space="preserve"> The continuous variables were expressed as mean ± standard deviation (SD) or the medians with interquartile ranges (IQRs) after the normality distribution test</w:t>
      </w:r>
      <w:bookmarkStart w:id="15" w:name="_Hlk177914917"/>
      <w:r w:rsidRPr="00AC610D">
        <w:rPr>
          <w:rFonts w:ascii="Times New Roman" w:eastAsia="等线" w:hAnsi="Times New Roman" w:cs="Times New Roman"/>
          <w:szCs w:val="21"/>
        </w:rPr>
        <w:t xml:space="preserve">. </w:t>
      </w:r>
      <w:bookmarkEnd w:id="15"/>
      <w:r w:rsidRPr="00AC610D">
        <w:rPr>
          <w:rFonts w:ascii="Times New Roman" w:eastAsia="等线" w:hAnsi="Times New Roman" w:cs="Times New Roman"/>
          <w:szCs w:val="21"/>
        </w:rPr>
        <w:t>Abbreviations as in Table 1.</w:t>
      </w:r>
    </w:p>
    <w:p w14:paraId="36EBE6EE" w14:textId="77777777" w:rsid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7A9486E3" w14:textId="77777777" w:rsidR="00AC610D" w:rsidRPr="00525144" w:rsidRDefault="00AC610D" w:rsidP="00525144">
      <w:pPr>
        <w:rPr>
          <w:rFonts w:ascii="Times New Roman" w:eastAsia="等线" w:hAnsi="Times New Roman" w:cs="Times New Roman"/>
          <w:szCs w:val="21"/>
        </w:rPr>
      </w:pPr>
    </w:p>
    <w:p w14:paraId="55835CA7" w14:textId="77777777" w:rsidR="00C00C13" w:rsidRDefault="00C00C13" w:rsidP="00F27315">
      <w:pPr>
        <w:ind w:rightChars="166" w:right="349"/>
        <w:rPr>
          <w:rFonts w:ascii="Times New Roman" w:hAnsi="Times New Roman" w:cs="Times New Roman"/>
          <w:b/>
          <w:bCs/>
          <w:szCs w:val="21"/>
        </w:rPr>
      </w:pPr>
    </w:p>
    <w:p w14:paraId="3DC6FC5A" w14:textId="5F22CF9B" w:rsidR="00643ED6" w:rsidRPr="008633F0" w:rsidRDefault="00643ED6" w:rsidP="00F27315">
      <w:pPr>
        <w:ind w:rightChars="166" w:right="349"/>
        <w:rPr>
          <w:rFonts w:ascii="Times New Roman" w:eastAsia="等线" w:hAnsi="Times New Roman" w:cs="Times New Roman"/>
          <w:szCs w:val="21"/>
        </w:rPr>
      </w:pPr>
      <w:r w:rsidRPr="008633F0">
        <w:rPr>
          <w:rFonts w:ascii="Times New Roman" w:hAnsi="Times New Roman" w:cs="Times New Roman"/>
          <w:b/>
          <w:bCs/>
          <w:szCs w:val="21"/>
        </w:rPr>
        <w:t xml:space="preserve">Table </w:t>
      </w:r>
      <w:r w:rsidRPr="00E46E56">
        <w:rPr>
          <w:rFonts w:ascii="Times New Roman" w:hAnsi="Times New Roman" w:cs="Times New Roman"/>
          <w:b/>
          <w:bCs/>
          <w:szCs w:val="21"/>
        </w:rPr>
        <w:t>S2</w:t>
      </w:r>
      <w:r w:rsidRPr="008633F0">
        <w:rPr>
          <w:rFonts w:ascii="Times New Roman" w:hAnsi="Times New Roman" w:cs="Times New Roman"/>
          <w:b/>
          <w:bCs/>
          <w:szCs w:val="21"/>
        </w:rPr>
        <w:t xml:space="preserve"> The </w:t>
      </w:r>
      <w:r w:rsidRPr="00E46E56">
        <w:rPr>
          <w:rFonts w:ascii="Times New Roman" w:hAnsi="Times New Roman" w:cs="Times New Roman"/>
          <w:b/>
          <w:bCs/>
          <w:szCs w:val="21"/>
        </w:rPr>
        <w:t xml:space="preserve">multivariable </w:t>
      </w:r>
      <w:r w:rsidRPr="008633F0">
        <w:rPr>
          <w:rFonts w:ascii="Times New Roman" w:hAnsi="Times New Roman" w:cs="Times New Roman"/>
          <w:b/>
          <w:bCs/>
          <w:szCs w:val="21"/>
        </w:rPr>
        <w:t xml:space="preserve">analysis for the relationship between </w:t>
      </w:r>
      <w:proofErr w:type="spellStart"/>
      <w:r w:rsidRPr="008633F0">
        <w:rPr>
          <w:rFonts w:ascii="Times New Roman" w:hAnsi="Times New Roman" w:cs="Times New Roman"/>
          <w:b/>
          <w:bCs/>
          <w:szCs w:val="21"/>
        </w:rPr>
        <w:t>TyG</w:t>
      </w:r>
      <w:proofErr w:type="spellEnd"/>
      <w:r w:rsidRPr="008633F0">
        <w:rPr>
          <w:rFonts w:ascii="Times New Roman" w:hAnsi="Times New Roman" w:cs="Times New Roman"/>
          <w:b/>
          <w:bCs/>
          <w:szCs w:val="21"/>
        </w:rPr>
        <w:t xml:space="preserve"> index and </w:t>
      </w:r>
      <w:r w:rsidRPr="00E46E56">
        <w:rPr>
          <w:rFonts w:ascii="Times New Roman" w:hAnsi="Times New Roman" w:cs="Times New Roman"/>
          <w:b/>
          <w:bCs/>
          <w:szCs w:val="21"/>
        </w:rPr>
        <w:t xml:space="preserve">DR </w:t>
      </w:r>
      <w:r w:rsidRPr="008633F0">
        <w:rPr>
          <w:rFonts w:ascii="Times New Roman" w:hAnsi="Times New Roman" w:cs="Times New Roman"/>
          <w:b/>
          <w:bCs/>
          <w:szCs w:val="21"/>
        </w:rPr>
        <w:t>risk</w:t>
      </w:r>
      <w:r w:rsidRPr="00E46E56">
        <w:rPr>
          <w:rFonts w:ascii="Times New Roman" w:hAnsi="Times New Roman" w:cs="Times New Roman"/>
          <w:b/>
          <w:bCs/>
          <w:szCs w:val="21"/>
        </w:rPr>
        <w:t xml:space="preserve">, with and without adjustment for </w:t>
      </w:r>
      <w:bookmarkStart w:id="16" w:name="_Hlk190028707"/>
      <w:r w:rsidRPr="00E46E56">
        <w:rPr>
          <w:rFonts w:ascii="Times New Roman" w:hAnsi="Times New Roman" w:cs="Times New Roman"/>
          <w:b/>
          <w:bCs/>
          <w:szCs w:val="21"/>
        </w:rPr>
        <w:t xml:space="preserve">T2DM </w:t>
      </w:r>
      <w:r w:rsidR="0014122F">
        <w:rPr>
          <w:rFonts w:ascii="Times New Roman" w:hAnsi="Times New Roman" w:cs="Times New Roman" w:hint="eastAsia"/>
          <w:b/>
          <w:bCs/>
          <w:szCs w:val="21"/>
        </w:rPr>
        <w:t>d</w:t>
      </w:r>
      <w:r w:rsidRPr="00E46E56">
        <w:rPr>
          <w:rFonts w:ascii="Times New Roman" w:hAnsi="Times New Roman" w:cs="Times New Roman"/>
          <w:b/>
          <w:bCs/>
          <w:szCs w:val="21"/>
        </w:rPr>
        <w:t>uration</w:t>
      </w:r>
      <w:bookmarkEnd w:id="16"/>
      <w:r w:rsidRPr="00E46E56">
        <w:rPr>
          <w:rFonts w:ascii="Times New Roman" w:hAnsi="Times New Roman" w:cs="Times New Roman"/>
          <w:b/>
          <w:bCs/>
          <w:szCs w:val="21"/>
        </w:rPr>
        <w:t xml:space="preserve"> as a confounding variable</w:t>
      </w:r>
    </w:p>
    <w:tbl>
      <w:tblPr>
        <w:tblStyle w:val="af2"/>
        <w:tblW w:w="13750" w:type="dxa"/>
        <w:tblLayout w:type="fixed"/>
        <w:tblLook w:val="04A0" w:firstRow="1" w:lastRow="0" w:firstColumn="1" w:lastColumn="0" w:noHBand="0" w:noVBand="1"/>
      </w:tblPr>
      <w:tblGrid>
        <w:gridCol w:w="2694"/>
        <w:gridCol w:w="816"/>
        <w:gridCol w:w="1452"/>
        <w:gridCol w:w="1417"/>
        <w:gridCol w:w="425"/>
        <w:gridCol w:w="2127"/>
        <w:gridCol w:w="1100"/>
        <w:gridCol w:w="459"/>
        <w:gridCol w:w="2126"/>
        <w:gridCol w:w="1134"/>
      </w:tblGrid>
      <w:tr w:rsidR="005B7714" w:rsidRPr="00E46E56" w14:paraId="4F6F1FC9" w14:textId="77777777" w:rsidTr="00BE1267">
        <w:tc>
          <w:tcPr>
            <w:tcW w:w="2694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CBDBF2" w14:textId="4911345F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b/>
                <w:bCs/>
                <w:sz w:val="21"/>
                <w:szCs w:val="21"/>
              </w:rPr>
              <w:t xml:space="preserve">Parameters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31E70" w14:textId="697FEBDD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color w:val="000000"/>
                <w:sz w:val="21"/>
                <w:szCs w:val="21"/>
              </w:rPr>
              <w:t>Case number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435714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2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D66A09" w14:textId="7237A71B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sz w:val="21"/>
                <w:szCs w:val="21"/>
              </w:rPr>
              <w:t xml:space="preserve">Model </w:t>
            </w:r>
            <w:r w:rsidRPr="00C00C13">
              <w:rPr>
                <w:rFonts w:eastAsia="等线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vMerge w:val="restart"/>
            <w:tcBorders>
              <w:left w:val="nil"/>
              <w:right w:val="nil"/>
            </w:tcBorders>
            <w:vAlign w:val="center"/>
          </w:tcPr>
          <w:p w14:paraId="76AE9868" w14:textId="77777777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4216BD" w14:textId="121C1F72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sz w:val="21"/>
                <w:szCs w:val="21"/>
              </w:rPr>
              <w:t xml:space="preserve">Model </w:t>
            </w:r>
            <w:r w:rsidRPr="00C00C13">
              <w:rPr>
                <w:rFonts w:eastAsia="等线"/>
                <w:b/>
                <w:bCs/>
                <w:sz w:val="21"/>
                <w:szCs w:val="21"/>
              </w:rPr>
              <w:t>B</w:t>
            </w:r>
          </w:p>
        </w:tc>
      </w:tr>
      <w:tr w:rsidR="005B7714" w:rsidRPr="00E46E56" w14:paraId="1C2D7742" w14:textId="77777777" w:rsidTr="00BE1267">
        <w:tc>
          <w:tcPr>
            <w:tcW w:w="26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334AA" w14:textId="48ED0CCF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A84502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6C4341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color w:val="000000"/>
                <w:sz w:val="21"/>
                <w:szCs w:val="21"/>
              </w:rPr>
              <w:t>Non-DR (%)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5CF32D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b/>
                <w:bCs/>
                <w:sz w:val="21"/>
                <w:szCs w:val="21"/>
              </w:rPr>
              <w:t xml:space="preserve">DR </w:t>
            </w:r>
            <w:r w:rsidRPr="008633F0">
              <w:rPr>
                <w:rFonts w:eastAsia="等线"/>
                <w:b/>
                <w:bCs/>
                <w:color w:val="000000"/>
                <w:sz w:val="21"/>
                <w:szCs w:val="21"/>
              </w:rPr>
              <w:t>(%)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9C1D0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BD38CF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b/>
                <w:bCs/>
                <w:sz w:val="21"/>
                <w:szCs w:val="21"/>
              </w:rPr>
              <w:t>OR (95%CI)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39146B" w14:textId="77777777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b/>
                <w:bCs/>
                <w:i/>
                <w:iCs/>
                <w:sz w:val="21"/>
                <w:szCs w:val="21"/>
              </w:rPr>
              <w:t>P</w:t>
            </w:r>
            <w:r w:rsidRPr="008633F0">
              <w:rPr>
                <w:b/>
                <w:bCs/>
                <w:sz w:val="21"/>
                <w:szCs w:val="21"/>
              </w:rPr>
              <w:t>-value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D1480D" w14:textId="77777777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C60C3E" w14:textId="77777777" w:rsidR="005B7714" w:rsidRPr="008633F0" w:rsidRDefault="005B7714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b/>
                <w:bCs/>
                <w:sz w:val="21"/>
                <w:szCs w:val="21"/>
              </w:rPr>
              <w:t>OR (95%CI)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D06131" w14:textId="77777777" w:rsidR="005B7714" w:rsidRPr="008633F0" w:rsidRDefault="005B7714" w:rsidP="00616310">
            <w:pPr>
              <w:spacing w:line="360" w:lineRule="auto"/>
              <w:jc w:val="center"/>
              <w:rPr>
                <w:rFonts w:eastAsia="等线"/>
                <w:b/>
                <w:bCs/>
                <w:color w:val="000000" w:themeColor="text1"/>
                <w:sz w:val="21"/>
                <w:szCs w:val="21"/>
              </w:rPr>
            </w:pPr>
            <w:r w:rsidRPr="008633F0">
              <w:rPr>
                <w:b/>
                <w:bCs/>
                <w:i/>
                <w:iCs/>
                <w:sz w:val="21"/>
                <w:szCs w:val="21"/>
              </w:rPr>
              <w:t>P</w:t>
            </w:r>
            <w:r w:rsidRPr="008633F0">
              <w:rPr>
                <w:b/>
                <w:bCs/>
                <w:sz w:val="21"/>
                <w:szCs w:val="21"/>
              </w:rPr>
              <w:t>-value</w:t>
            </w:r>
          </w:p>
        </w:tc>
      </w:tr>
      <w:tr w:rsidR="00E46E56" w:rsidRPr="00E46E56" w14:paraId="731F34E1" w14:textId="77777777" w:rsidTr="00BE1267"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44EC88" w14:textId="77777777" w:rsidR="00643ED6" w:rsidRPr="008633F0" w:rsidRDefault="00643ED6" w:rsidP="0061631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8633F0">
              <w:rPr>
                <w:b/>
                <w:bCs/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b/>
                <w:bCs/>
                <w:color w:val="000000" w:themeColor="text1"/>
                <w:sz w:val="21"/>
                <w:szCs w:val="21"/>
              </w:rPr>
              <w:t xml:space="preserve"> index</w:t>
            </w:r>
          </w:p>
          <w:p w14:paraId="4A32D0CF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 xml:space="preserve"> (as continuous variable)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815FE8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4372</w:t>
            </w:r>
          </w:p>
        </w:tc>
        <w:tc>
          <w:tcPr>
            <w:tcW w:w="145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48FE6D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2306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558FD0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2066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AEDE9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5EB31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1.175(1.019-1.354)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CB80D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sz w:val="21"/>
                <w:szCs w:val="21"/>
              </w:rPr>
              <w:t>0.026</w:t>
            </w: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vAlign w:val="center"/>
          </w:tcPr>
          <w:p w14:paraId="79CDB14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17A3FF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E46E56">
              <w:rPr>
                <w:color w:val="000000" w:themeColor="text1"/>
                <w:sz w:val="21"/>
                <w:szCs w:val="21"/>
              </w:rPr>
              <w:t>1.269</w:t>
            </w:r>
            <w:r w:rsidRPr="008633F0">
              <w:rPr>
                <w:color w:val="000000" w:themeColor="text1"/>
                <w:sz w:val="21"/>
                <w:szCs w:val="21"/>
              </w:rPr>
              <w:t>(1.1</w:t>
            </w:r>
            <w:r w:rsidRPr="00E46E56">
              <w:rPr>
                <w:color w:val="000000" w:themeColor="text1"/>
                <w:sz w:val="21"/>
                <w:szCs w:val="21"/>
              </w:rPr>
              <w:t>09</w:t>
            </w:r>
            <w:r w:rsidRPr="008633F0">
              <w:rPr>
                <w:color w:val="000000" w:themeColor="text1"/>
                <w:sz w:val="21"/>
                <w:szCs w:val="21"/>
              </w:rPr>
              <w:t>-1.</w:t>
            </w:r>
            <w:r w:rsidRPr="00E46E56">
              <w:rPr>
                <w:color w:val="000000" w:themeColor="text1"/>
                <w:sz w:val="21"/>
                <w:szCs w:val="21"/>
              </w:rPr>
              <w:t>451</w:t>
            </w:r>
            <w:r w:rsidRPr="008633F0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FB635A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E46E56" w:rsidRPr="00E46E56" w14:paraId="4A5A9DF3" w14:textId="77777777" w:rsidTr="00BE126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3C9CFE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bookmarkStart w:id="17" w:name="_Hlk189386004"/>
            <w:proofErr w:type="spellStart"/>
            <w:r w:rsidRPr="008633F0">
              <w:rPr>
                <w:b/>
                <w:bCs/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b/>
                <w:bCs/>
                <w:color w:val="000000" w:themeColor="text1"/>
                <w:sz w:val="21"/>
                <w:szCs w:val="21"/>
              </w:rPr>
              <w:t xml:space="preserve"> index quartiles</w:t>
            </w:r>
            <w:bookmarkEnd w:id="17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7C7D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379470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465C09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5ACD2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3CF54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359796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6009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20D91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F346B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</w:tr>
      <w:tr w:rsidR="00E46E56" w:rsidRPr="00E46E56" w14:paraId="0A4AD7FF" w14:textId="77777777" w:rsidTr="00BE126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A4C25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proofErr w:type="spellStart"/>
            <w:r w:rsidRPr="008633F0">
              <w:rPr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color w:val="000000" w:themeColor="text1"/>
                <w:sz w:val="21"/>
                <w:szCs w:val="21"/>
              </w:rPr>
              <w:t xml:space="preserve"> Q1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F7EB41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color w:val="000000" w:themeColor="text1"/>
                <w:sz w:val="21"/>
                <w:szCs w:val="21"/>
              </w:rPr>
              <w:t>1093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08DEDB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color w:val="000000" w:themeColor="text1"/>
                <w:sz w:val="21"/>
                <w:szCs w:val="21"/>
              </w:rPr>
              <w:t>592(54.16%)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5A1A8E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rFonts w:eastAsia="等线"/>
                <w:color w:val="000000" w:themeColor="text1"/>
                <w:sz w:val="21"/>
                <w:szCs w:val="21"/>
              </w:rPr>
              <w:t>501(45.84%)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B96665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9A12F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Reference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74A73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161D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6D2596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47B72B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</w:tr>
      <w:tr w:rsidR="00E46E56" w:rsidRPr="00E46E56" w14:paraId="3CBE8A14" w14:textId="77777777" w:rsidTr="00BE126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D1059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proofErr w:type="spellStart"/>
            <w:r w:rsidRPr="008633F0">
              <w:rPr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color w:val="000000" w:themeColor="text1"/>
                <w:sz w:val="21"/>
                <w:szCs w:val="21"/>
              </w:rPr>
              <w:t xml:space="preserve"> Q2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7927CF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1094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053F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644(58.87%)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4AFB95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450(41.13%)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257B9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C47D2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0.879(0.720-1.072)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2C278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0.203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DAB0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D34797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0.</w:t>
            </w:r>
            <w:r w:rsidRPr="00E46E56">
              <w:rPr>
                <w:color w:val="000000" w:themeColor="text1"/>
                <w:sz w:val="21"/>
                <w:szCs w:val="21"/>
              </w:rPr>
              <w:t>916</w:t>
            </w:r>
            <w:r w:rsidRPr="008633F0">
              <w:rPr>
                <w:color w:val="000000" w:themeColor="text1"/>
                <w:sz w:val="21"/>
                <w:szCs w:val="21"/>
              </w:rPr>
              <w:t>(0.7</w:t>
            </w:r>
            <w:r w:rsidRPr="00E46E56">
              <w:rPr>
                <w:color w:val="000000" w:themeColor="text1"/>
                <w:sz w:val="21"/>
                <w:szCs w:val="21"/>
              </w:rPr>
              <w:t>60</w:t>
            </w:r>
            <w:r w:rsidRPr="008633F0">
              <w:rPr>
                <w:color w:val="000000" w:themeColor="text1"/>
                <w:sz w:val="21"/>
                <w:szCs w:val="21"/>
              </w:rPr>
              <w:t>-</w:t>
            </w:r>
            <w:r w:rsidRPr="00E46E56">
              <w:rPr>
                <w:color w:val="000000" w:themeColor="text1"/>
                <w:sz w:val="21"/>
                <w:szCs w:val="21"/>
              </w:rPr>
              <w:t>1.105</w:t>
            </w:r>
            <w:r w:rsidRPr="008633F0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6E2CEF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0.</w:t>
            </w:r>
            <w:r w:rsidRPr="00E46E56">
              <w:rPr>
                <w:color w:val="000000" w:themeColor="text1"/>
                <w:sz w:val="21"/>
                <w:szCs w:val="21"/>
              </w:rPr>
              <w:t>361</w:t>
            </w:r>
          </w:p>
        </w:tc>
      </w:tr>
      <w:tr w:rsidR="00E46E56" w:rsidRPr="00E46E56" w14:paraId="4EF19F7E" w14:textId="77777777" w:rsidTr="00BE126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C3FAC4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proofErr w:type="spellStart"/>
            <w:r w:rsidRPr="008633F0">
              <w:rPr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color w:val="000000" w:themeColor="text1"/>
                <w:sz w:val="21"/>
                <w:szCs w:val="21"/>
              </w:rPr>
              <w:t xml:space="preserve"> Q3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81D1A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1094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13781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560(51.19%)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BB0729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534(48.81%)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0E8BAE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17F9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1.091(0.884-1.346)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93EA4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0.417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F18B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7344C7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1.1</w:t>
            </w:r>
            <w:r w:rsidRPr="00E46E56">
              <w:rPr>
                <w:color w:val="000000" w:themeColor="text1"/>
                <w:sz w:val="21"/>
                <w:szCs w:val="21"/>
              </w:rPr>
              <w:t>57</w:t>
            </w:r>
            <w:r w:rsidRPr="008633F0">
              <w:rPr>
                <w:color w:val="000000" w:themeColor="text1"/>
                <w:sz w:val="21"/>
                <w:szCs w:val="21"/>
              </w:rPr>
              <w:t>(0.9</w:t>
            </w:r>
            <w:r w:rsidRPr="00E46E56">
              <w:rPr>
                <w:color w:val="000000" w:themeColor="text1"/>
                <w:sz w:val="21"/>
                <w:szCs w:val="21"/>
              </w:rPr>
              <w:t>49</w:t>
            </w:r>
            <w:r w:rsidRPr="008633F0">
              <w:rPr>
                <w:color w:val="000000" w:themeColor="text1"/>
                <w:sz w:val="21"/>
                <w:szCs w:val="21"/>
              </w:rPr>
              <w:t>-1.</w:t>
            </w:r>
            <w:r w:rsidRPr="00E46E56">
              <w:rPr>
                <w:color w:val="000000" w:themeColor="text1"/>
                <w:sz w:val="21"/>
                <w:szCs w:val="21"/>
              </w:rPr>
              <w:t>410</w:t>
            </w:r>
            <w:r w:rsidRPr="008633F0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2253B1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0.</w:t>
            </w:r>
            <w:r w:rsidRPr="00E46E56">
              <w:rPr>
                <w:color w:val="000000" w:themeColor="text1"/>
                <w:sz w:val="21"/>
                <w:szCs w:val="21"/>
              </w:rPr>
              <w:t>149</w:t>
            </w:r>
          </w:p>
        </w:tc>
      </w:tr>
      <w:tr w:rsidR="00E46E56" w:rsidRPr="00E46E56" w14:paraId="55B16503" w14:textId="77777777" w:rsidTr="00BE126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077B9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proofErr w:type="spellStart"/>
            <w:r w:rsidRPr="008633F0">
              <w:rPr>
                <w:color w:val="000000" w:themeColor="text1"/>
                <w:sz w:val="21"/>
                <w:szCs w:val="21"/>
              </w:rPr>
              <w:t>TyG</w:t>
            </w:r>
            <w:proofErr w:type="spellEnd"/>
            <w:r w:rsidRPr="008633F0">
              <w:rPr>
                <w:color w:val="000000" w:themeColor="text1"/>
                <w:sz w:val="21"/>
                <w:szCs w:val="21"/>
              </w:rPr>
              <w:t xml:space="preserve"> Q4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DAA9B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1091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06D134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510(46.75%)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948A04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581(53.25%)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7F71ED" w14:textId="77777777" w:rsidR="00643ED6" w:rsidRPr="008633F0" w:rsidRDefault="00643ED6" w:rsidP="0061631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26CF6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1.289(1.008-1.648)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AF2D4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sz w:val="21"/>
                <w:szCs w:val="21"/>
              </w:rPr>
              <w:t>0.043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AA93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F6911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8633F0">
              <w:rPr>
                <w:color w:val="000000" w:themeColor="text1"/>
                <w:sz w:val="21"/>
                <w:szCs w:val="21"/>
              </w:rPr>
              <w:t>1.44</w:t>
            </w:r>
            <w:r w:rsidRPr="00E46E56">
              <w:rPr>
                <w:color w:val="000000" w:themeColor="text1"/>
                <w:sz w:val="21"/>
                <w:szCs w:val="21"/>
              </w:rPr>
              <w:t>9</w:t>
            </w:r>
            <w:r w:rsidRPr="008633F0">
              <w:rPr>
                <w:color w:val="000000" w:themeColor="text1"/>
                <w:sz w:val="21"/>
                <w:szCs w:val="21"/>
              </w:rPr>
              <w:t>(1.</w:t>
            </w:r>
            <w:r w:rsidRPr="00E46E56">
              <w:rPr>
                <w:color w:val="000000" w:themeColor="text1"/>
                <w:sz w:val="21"/>
                <w:szCs w:val="21"/>
              </w:rPr>
              <w:t>149</w:t>
            </w:r>
            <w:r w:rsidRPr="008633F0">
              <w:rPr>
                <w:color w:val="000000" w:themeColor="text1"/>
                <w:sz w:val="21"/>
                <w:szCs w:val="21"/>
              </w:rPr>
              <w:t>-1.</w:t>
            </w:r>
            <w:r w:rsidRPr="00E46E56">
              <w:rPr>
                <w:color w:val="000000" w:themeColor="text1"/>
                <w:sz w:val="21"/>
                <w:szCs w:val="21"/>
              </w:rPr>
              <w:t>827</w:t>
            </w:r>
            <w:r w:rsidRPr="008633F0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9B27E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color w:val="000000" w:themeColor="text1"/>
                <w:sz w:val="21"/>
                <w:szCs w:val="21"/>
              </w:rPr>
            </w:pPr>
            <w:r w:rsidRPr="00E46E56">
              <w:rPr>
                <w:color w:val="000000" w:themeColor="text1"/>
                <w:sz w:val="21"/>
                <w:szCs w:val="21"/>
              </w:rPr>
              <w:t>0.002</w:t>
            </w:r>
          </w:p>
        </w:tc>
      </w:tr>
      <w:tr w:rsidR="00E46E56" w:rsidRPr="00E46E56" w14:paraId="55595551" w14:textId="77777777" w:rsidTr="00BE1267"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7D0ABF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i/>
                <w:iCs/>
                <w:color w:val="000000" w:themeColor="text1"/>
                <w:sz w:val="21"/>
                <w:szCs w:val="21"/>
              </w:rPr>
            </w:pPr>
            <w:r w:rsidRPr="008633F0">
              <w:rPr>
                <w:i/>
                <w:iCs/>
                <w:color w:val="000000" w:themeColor="text1"/>
                <w:sz w:val="21"/>
                <w:szCs w:val="21"/>
              </w:rPr>
              <w:t xml:space="preserve">P </w:t>
            </w:r>
            <w:r w:rsidRPr="00FF0049">
              <w:rPr>
                <w:color w:val="000000" w:themeColor="text1"/>
                <w:sz w:val="21"/>
                <w:szCs w:val="21"/>
              </w:rPr>
              <w:t>for trend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11EF06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0B5E0C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23B3EB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BA3C1A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A0837E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  <w:r w:rsidRPr="008633F0">
              <w:rPr>
                <w:rFonts w:eastAsia="等线"/>
                <w:sz w:val="21"/>
                <w:szCs w:val="21"/>
              </w:rPr>
              <w:t>0.009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14EA4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vAlign w:val="center"/>
          </w:tcPr>
          <w:p w14:paraId="7092C98F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4B66F0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  <w:r w:rsidRPr="008633F0">
              <w:rPr>
                <w:rFonts w:eastAsia="等线"/>
                <w:sz w:val="21"/>
                <w:szCs w:val="21"/>
              </w:rPr>
              <w:t>&lt;</w:t>
            </w:r>
            <w:r w:rsidRPr="008633F0">
              <w:rPr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B8E5EB" w14:textId="77777777" w:rsidR="00643ED6" w:rsidRPr="008633F0" w:rsidRDefault="00643ED6" w:rsidP="00616310">
            <w:pPr>
              <w:spacing w:line="360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</w:tr>
    </w:tbl>
    <w:p w14:paraId="0CB44400" w14:textId="77777777" w:rsidR="0063273F" w:rsidRDefault="00643ED6" w:rsidP="0063273F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633F0">
        <w:rPr>
          <w:rFonts w:ascii="Times New Roman" w:eastAsia="等线" w:hAnsi="Times New Roman" w:cs="Times New Roman"/>
          <w:color w:val="000000" w:themeColor="text1"/>
          <w:szCs w:val="21"/>
        </w:rPr>
        <w:t xml:space="preserve">Notes: </w:t>
      </w:r>
      <w:r w:rsidR="00601FA9" w:rsidRPr="00601FA9">
        <w:rPr>
          <w:rFonts w:ascii="Times New Roman" w:hAnsi="Times New Roman" w:cs="Times New Roman" w:hint="eastAsia"/>
          <w:color w:val="000000" w:themeColor="text1"/>
          <w:szCs w:val="21"/>
        </w:rPr>
        <w:t>OR, odds ratio; CI, confidence intervals.</w:t>
      </w:r>
    </w:p>
    <w:p w14:paraId="5F2AE24F" w14:textId="5E4EB64B" w:rsidR="00643ED6" w:rsidRPr="008633F0" w:rsidRDefault="00643ED6" w:rsidP="0063273F">
      <w:pPr>
        <w:ind w:firstLineChars="250" w:firstLine="525"/>
        <w:jc w:val="left"/>
        <w:rPr>
          <w:rFonts w:ascii="Times New Roman" w:hAnsi="Times New Roman" w:cs="Times New Roman"/>
          <w:szCs w:val="21"/>
        </w:rPr>
      </w:pP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index quartiles: 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Q1 (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&lt;8.67), 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Q2 (8.67≤TyG&lt;9.13), 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Q3 (9.13≤TyG&lt;9.63), 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Q4 (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TyG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 ≥9.63).</w:t>
      </w:r>
    </w:p>
    <w:p w14:paraId="0B38E165" w14:textId="60E69CB8" w:rsidR="00643ED6" w:rsidRPr="00E46E56" w:rsidRDefault="00643ED6" w:rsidP="00643ED6">
      <w:pPr>
        <w:jc w:val="left"/>
        <w:rPr>
          <w:rFonts w:ascii="Times New Roman" w:eastAsia="等线" w:hAnsi="Times New Roman" w:cs="Times New Roman"/>
          <w:szCs w:val="21"/>
        </w:rPr>
      </w:pPr>
      <w:bookmarkStart w:id="18" w:name="_Hlk180437037"/>
      <w:bookmarkStart w:id="19" w:name="_Hlk190026928"/>
      <w:r w:rsidRPr="008633F0">
        <w:rPr>
          <w:rFonts w:ascii="Times New Roman" w:eastAsia="等线" w:hAnsi="Times New Roman" w:cs="Times New Roman"/>
          <w:szCs w:val="21"/>
        </w:rPr>
        <w:t xml:space="preserve">Model </w:t>
      </w:r>
      <w:r w:rsidRPr="00E46E56">
        <w:rPr>
          <w:rFonts w:ascii="Times New Roman" w:eastAsia="等线" w:hAnsi="Times New Roman" w:cs="Times New Roman"/>
          <w:szCs w:val="21"/>
        </w:rPr>
        <w:t>A</w:t>
      </w:r>
      <w:r w:rsidR="0014122F">
        <w:rPr>
          <w:rFonts w:ascii="Times New Roman" w:eastAsia="等线" w:hAnsi="Times New Roman" w:cs="Times New Roman" w:hint="eastAsia"/>
          <w:szCs w:val="21"/>
        </w:rPr>
        <w:t xml:space="preserve"> </w:t>
      </w:r>
      <w:r w:rsidRPr="008633F0">
        <w:rPr>
          <w:rFonts w:ascii="Times New Roman" w:eastAsia="等线" w:hAnsi="Times New Roman" w:cs="Times New Roman"/>
          <w:szCs w:val="21"/>
        </w:rPr>
        <w:t xml:space="preserve">adjustment for </w:t>
      </w:r>
      <w:bookmarkEnd w:id="18"/>
      <w:r w:rsidRPr="008633F0">
        <w:rPr>
          <w:rFonts w:ascii="Times New Roman" w:eastAsia="等线" w:hAnsi="Times New Roman" w:cs="Times New Roman"/>
          <w:szCs w:val="21"/>
        </w:rPr>
        <w:t xml:space="preserve">gender, age, </w:t>
      </w:r>
      <w:r w:rsidR="0014122F" w:rsidRPr="0014122F">
        <w:rPr>
          <w:rFonts w:ascii="Times New Roman" w:eastAsia="等线" w:hAnsi="Times New Roman" w:cs="Times New Roman" w:hint="eastAsia"/>
          <w:szCs w:val="21"/>
        </w:rPr>
        <w:t>T2DM duration</w:t>
      </w:r>
      <w:r w:rsidRPr="008633F0">
        <w:rPr>
          <w:rFonts w:ascii="Times New Roman" w:eastAsia="等线" w:hAnsi="Times New Roman" w:cs="Times New Roman"/>
          <w:szCs w:val="21"/>
        </w:rPr>
        <w:t xml:space="preserve">, BMI, SBP, DBP, BUN, Cr, ALB, </w:t>
      </w:r>
      <w:proofErr w:type="spellStart"/>
      <w:r w:rsidRPr="008633F0">
        <w:rPr>
          <w:rFonts w:ascii="Times New Roman" w:eastAsia="等线" w:hAnsi="Times New Roman" w:cs="Times New Roman"/>
          <w:szCs w:val="21"/>
        </w:rPr>
        <w:t>hsCRP</w:t>
      </w:r>
      <w:proofErr w:type="spellEnd"/>
      <w:r w:rsidRPr="008633F0">
        <w:rPr>
          <w:rFonts w:ascii="Times New Roman" w:eastAsia="等线" w:hAnsi="Times New Roman" w:cs="Times New Roman"/>
          <w:szCs w:val="21"/>
        </w:rPr>
        <w:t xml:space="preserve">, LP(a), TC, HDL-C, LDL-C, and HbA1c. </w:t>
      </w:r>
    </w:p>
    <w:p w14:paraId="202B9A5D" w14:textId="77777777" w:rsidR="00643ED6" w:rsidRPr="00E46E56" w:rsidRDefault="00643ED6" w:rsidP="00643ED6">
      <w:pPr>
        <w:rPr>
          <w:rFonts w:ascii="Times New Roman" w:hAnsi="Times New Roman" w:cs="Times New Roman"/>
          <w:szCs w:val="21"/>
        </w:rPr>
      </w:pPr>
      <w:r w:rsidRPr="00E46E56">
        <w:rPr>
          <w:rFonts w:ascii="Times New Roman" w:hAnsi="Times New Roman" w:cs="Times New Roman"/>
          <w:szCs w:val="21"/>
        </w:rPr>
        <w:t xml:space="preserve">Model B adjustment for gender, age, BMI, SBP, DBP, BUN, Cr, ALB, </w:t>
      </w:r>
      <w:proofErr w:type="spellStart"/>
      <w:r w:rsidRPr="00E46E56">
        <w:rPr>
          <w:rFonts w:ascii="Times New Roman" w:hAnsi="Times New Roman" w:cs="Times New Roman"/>
          <w:szCs w:val="21"/>
        </w:rPr>
        <w:t>hsCRP</w:t>
      </w:r>
      <w:proofErr w:type="spellEnd"/>
      <w:r w:rsidRPr="00E46E56">
        <w:rPr>
          <w:rFonts w:ascii="Times New Roman" w:hAnsi="Times New Roman" w:cs="Times New Roman"/>
          <w:szCs w:val="21"/>
        </w:rPr>
        <w:t>, LP(a), TC, HDL-C, LDL-C, and HbA1c. Abbreviations as in Table 1.</w:t>
      </w:r>
    </w:p>
    <w:p w14:paraId="43CD9DE1" w14:textId="77777777" w:rsidR="00643ED6" w:rsidRPr="008633F0" w:rsidRDefault="00643ED6" w:rsidP="00643ED6">
      <w:pPr>
        <w:jc w:val="left"/>
        <w:rPr>
          <w:rFonts w:ascii="Times New Roman" w:hAnsi="Times New Roman" w:cs="Times New Roman"/>
          <w:szCs w:val="21"/>
        </w:rPr>
      </w:pPr>
    </w:p>
    <w:bookmarkEnd w:id="19"/>
    <w:p w14:paraId="422E8E24" w14:textId="77777777" w:rsidR="00643ED6" w:rsidRPr="008633F0" w:rsidRDefault="00643ED6" w:rsidP="00643ED6">
      <w:pPr>
        <w:ind w:leftChars="-136" w:left="-285" w:hanging="1"/>
        <w:rPr>
          <w:rFonts w:ascii="Times New Roman" w:eastAsia="等线" w:hAnsi="Times New Roman" w:cs="Times New Roman"/>
          <w:szCs w:val="21"/>
        </w:rPr>
      </w:pPr>
    </w:p>
    <w:p w14:paraId="0F0FC6E9" w14:textId="77777777" w:rsidR="00643ED6" w:rsidRPr="00830B5D" w:rsidRDefault="00643ED6" w:rsidP="00643ED6">
      <w:pPr>
        <w:rPr>
          <w:rFonts w:hint="eastAsia"/>
        </w:rPr>
      </w:pPr>
    </w:p>
    <w:p w14:paraId="1306F9BA" w14:textId="77777777" w:rsidR="00525144" w:rsidRP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0DA71011" w14:textId="77777777" w:rsidR="00525144" w:rsidRP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5D201831" w14:textId="77777777" w:rsidR="00525144" w:rsidRP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334CFC99" w14:textId="77777777" w:rsidR="00525144" w:rsidRP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71CD2F1A" w14:textId="77777777" w:rsidR="00525144" w:rsidRPr="00525144" w:rsidRDefault="00525144" w:rsidP="00525144">
      <w:pPr>
        <w:rPr>
          <w:rFonts w:ascii="Times New Roman" w:eastAsia="等线" w:hAnsi="Times New Roman" w:cs="Times New Roman"/>
          <w:szCs w:val="21"/>
        </w:rPr>
      </w:pPr>
    </w:p>
    <w:p w14:paraId="541C9615" w14:textId="0E541D4C" w:rsidR="00525144" w:rsidRPr="00601FA9" w:rsidRDefault="00525144" w:rsidP="00525144">
      <w:pPr>
        <w:spacing w:line="360" w:lineRule="auto"/>
        <w:ind w:rightChars="40" w:right="84"/>
        <w:rPr>
          <w:rFonts w:ascii="Times New Roman" w:hAnsi="Times New Roman" w:cs="Times New Roman"/>
          <w:szCs w:val="21"/>
        </w:rPr>
      </w:pPr>
      <w:r w:rsidRPr="00601FA9">
        <w:rPr>
          <w:rFonts w:ascii="Times New Roman" w:hAnsi="Times New Roman" w:cs="Times New Roman"/>
          <w:b/>
          <w:bCs/>
          <w:szCs w:val="21"/>
        </w:rPr>
        <w:t>Table S</w:t>
      </w:r>
      <w:r w:rsidR="00643ED6" w:rsidRPr="00601FA9">
        <w:rPr>
          <w:rFonts w:ascii="Times New Roman" w:hAnsi="Times New Roman" w:cs="Times New Roman"/>
          <w:b/>
          <w:bCs/>
          <w:szCs w:val="21"/>
        </w:rPr>
        <w:t>3</w:t>
      </w:r>
      <w:r w:rsidRPr="00601FA9">
        <w:rPr>
          <w:rFonts w:ascii="Times New Roman" w:hAnsi="Times New Roman" w:cs="Times New Roman"/>
          <w:b/>
          <w:bCs/>
          <w:szCs w:val="21"/>
        </w:rPr>
        <w:t xml:space="preserve"> The logistic regression analysis for the risk of diabetic retinopathy according to glycemic control and </w:t>
      </w:r>
      <w:proofErr w:type="spellStart"/>
      <w:r w:rsidRPr="00601FA9">
        <w:rPr>
          <w:rFonts w:ascii="Times New Roman" w:hAnsi="Times New Roman" w:cs="Times New Roman"/>
          <w:b/>
          <w:bCs/>
          <w:szCs w:val="21"/>
        </w:rPr>
        <w:t>TyG</w:t>
      </w:r>
      <w:proofErr w:type="spellEnd"/>
      <w:r w:rsidRPr="00601FA9">
        <w:rPr>
          <w:rFonts w:ascii="Times New Roman" w:hAnsi="Times New Roman" w:cs="Times New Roman"/>
          <w:b/>
          <w:bCs/>
          <w:szCs w:val="21"/>
        </w:rPr>
        <w:t xml:space="preserve"> index quartiles </w:t>
      </w:r>
    </w:p>
    <w:tbl>
      <w:tblPr>
        <w:tblStyle w:val="11"/>
        <w:tblW w:w="1286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559"/>
        <w:gridCol w:w="1418"/>
        <w:gridCol w:w="283"/>
        <w:gridCol w:w="2268"/>
        <w:gridCol w:w="992"/>
        <w:gridCol w:w="284"/>
        <w:gridCol w:w="2375"/>
        <w:gridCol w:w="1276"/>
      </w:tblGrid>
      <w:tr w:rsidR="00D21788" w:rsidRPr="00601FA9" w14:paraId="081FA230" w14:textId="77777777" w:rsidTr="00F22885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67B67586" w14:textId="5FF867DB" w:rsidR="00D21788" w:rsidRPr="00601FA9" w:rsidRDefault="00D21788" w:rsidP="008F7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Groups</w:t>
            </w:r>
          </w:p>
        </w:tc>
        <w:tc>
          <w:tcPr>
            <w:tcW w:w="38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123974" w14:textId="2FB1706F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Case number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532D88E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C95DA1" w14:textId="77777777" w:rsidR="00D21788" w:rsidRPr="00185130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85130">
              <w:rPr>
                <w:rFonts w:ascii="Times New Roman" w:hAnsi="Times New Roman" w:cs="Times New Roman"/>
                <w:b/>
                <w:bCs/>
                <w:szCs w:val="21"/>
              </w:rPr>
              <w:t>Multivariable analysis</w:t>
            </w:r>
          </w:p>
          <w:p w14:paraId="6B573897" w14:textId="7A90DBBF" w:rsidR="001D7A6E" w:rsidRPr="00185130" w:rsidRDefault="001D7A6E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proofErr w:type="spellStart"/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>TyG</w:t>
            </w:r>
            <w:proofErr w:type="spellEnd"/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Q1 as r</w:t>
            </w:r>
            <w:r w:rsidRPr="00185130">
              <w:rPr>
                <w:rFonts w:ascii="Times New Roman" w:hAnsi="Times New Roman" w:cs="Times New Roman"/>
                <w:b/>
                <w:bCs/>
                <w:szCs w:val="21"/>
              </w:rPr>
              <w:t>eference</w:t>
            </w:r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C22E667" w14:textId="77777777" w:rsidR="00D21788" w:rsidRPr="00185130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6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DEDC4E" w14:textId="77777777" w:rsidR="00D21788" w:rsidRPr="00185130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85130">
              <w:rPr>
                <w:rFonts w:ascii="Times New Roman" w:hAnsi="Times New Roman" w:cs="Times New Roman"/>
                <w:b/>
                <w:bCs/>
                <w:szCs w:val="21"/>
              </w:rPr>
              <w:t>Multivariable analysis</w:t>
            </w:r>
          </w:p>
          <w:p w14:paraId="09E3ED9F" w14:textId="2947490C" w:rsidR="001D7A6E" w:rsidRPr="00185130" w:rsidRDefault="001D7A6E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proofErr w:type="spellStart"/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>TyG</w:t>
            </w:r>
            <w:proofErr w:type="spellEnd"/>
            <w:r w:rsidRPr="0018513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Q2 as reference)</w:t>
            </w:r>
          </w:p>
        </w:tc>
      </w:tr>
      <w:tr w:rsidR="00D21788" w:rsidRPr="00601FA9" w14:paraId="3768CD5C" w14:textId="77777777" w:rsidTr="00F730C2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9DD278" w14:textId="5E5AE462" w:rsidR="00D21788" w:rsidRPr="00601FA9" w:rsidRDefault="00D21788" w:rsidP="0052514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A026EE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Total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022A0F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Non-DR (%)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148B19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DR (%)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28F0A8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A54E2D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OR (95%CI)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4D277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-value</w:t>
            </w: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FAE8F6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C7F504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OR (95%CI)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F7784" w14:textId="77777777" w:rsidR="00D21788" w:rsidRPr="00601FA9" w:rsidRDefault="00D21788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-value</w:t>
            </w:r>
          </w:p>
        </w:tc>
      </w:tr>
      <w:tr w:rsidR="00601FA9" w:rsidRPr="00601FA9" w14:paraId="69142E68" w14:textId="77777777" w:rsidTr="00F730C2"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9B040F" w14:textId="77777777" w:rsidR="00525144" w:rsidRPr="00601FA9" w:rsidRDefault="00525144" w:rsidP="0052514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HbA1c</w:t>
            </w:r>
            <w:r w:rsidRPr="00601FA9">
              <w:rPr>
                <w:rFonts w:ascii="Times New Roman" w:eastAsiaTheme="minorHAnsi" w:hAnsi="Times New Roman" w:cs="Times New Roman"/>
                <w:b/>
                <w:bCs/>
                <w:szCs w:val="21"/>
              </w:rPr>
              <w:t>&lt;</w:t>
            </w: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7F791C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A099C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38EF6A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459A3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39E841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8FC8E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1AFDB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5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8521D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70EBD5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1FA9" w:rsidRPr="00601FA9" w14:paraId="51427068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45386D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9295F8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eastAsia="等线" w:hAnsi="Times New Roman" w:cs="Times New Roman"/>
                <w:szCs w:val="21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904C45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187(67.27%)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AD29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91(32.73%)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E282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626D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1E0B4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A3B3E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3A8515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10456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1FA9" w:rsidRPr="00601FA9" w14:paraId="6C11834D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DF1B6C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2BEFA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eastAsia="等线" w:hAnsi="Times New Roman" w:cs="Times New Roman"/>
                <w:szCs w:val="21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9699FD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145(71.08%)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9E461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59(28.92%)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F3CF9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70FCD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1.033(0.642-1.663)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0F4D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DE8891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2A0B0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Reference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6CC8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01FA9" w:rsidRPr="00601FA9" w14:paraId="38F7F238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E71183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97C83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eastAsia="等线" w:hAnsi="Times New Roman" w:cs="Times New Roman"/>
                <w:szCs w:val="21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81ED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80(65.04%)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542C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43(34.96%)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0EB5C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5FD6E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1.493(0.801-2.783)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4265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0.208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FEFFCA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A7C6B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1.370(0.752-2.497)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F4E9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0.304</w:t>
            </w:r>
          </w:p>
        </w:tc>
      </w:tr>
      <w:tr w:rsidR="00601FA9" w:rsidRPr="00601FA9" w14:paraId="59CE5C2C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141AA0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4E1C2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eastAsia="等线" w:hAnsi="Times New Roman" w:cs="Times New Roman"/>
                <w:szCs w:val="21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AEE9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38(66.67%)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BF07D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19(33.33%)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9BC048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C5E7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1.960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(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0.699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-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5.494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3048E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8B72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48389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1.927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(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0.689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-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5.391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F57F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0.211</w:t>
            </w:r>
          </w:p>
        </w:tc>
      </w:tr>
      <w:tr w:rsidR="00601FA9" w:rsidRPr="00601FA9" w14:paraId="6A0E3C09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2DBB9" w14:textId="77777777" w:rsidR="00525144" w:rsidRPr="00601FA9" w:rsidRDefault="00525144" w:rsidP="00525144">
            <w:pPr>
              <w:spacing w:line="360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01FA9">
              <w:rPr>
                <w:rFonts w:ascii="Times New Roman" w:hAnsi="Times New Roman" w:cs="Times New Roman"/>
                <w:i/>
                <w:iCs/>
                <w:szCs w:val="21"/>
              </w:rPr>
              <w:t xml:space="preserve">P </w:t>
            </w:r>
            <w:r w:rsidRPr="002C1AE7">
              <w:rPr>
                <w:rFonts w:ascii="Times New Roman" w:hAnsi="Times New Roman" w:cs="Times New Roman"/>
                <w:szCs w:val="21"/>
              </w:rPr>
              <w:t>for trend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A43CF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2E99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88A30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3BEA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14F3F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0.464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E01DA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DF52B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73DF84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52799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</w:tr>
      <w:tr w:rsidR="00601FA9" w:rsidRPr="00601FA9" w14:paraId="19210D88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222459" w14:textId="77777777" w:rsidR="00525144" w:rsidRPr="00601FA9" w:rsidRDefault="00525144" w:rsidP="0052514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HbA1c</w:t>
            </w:r>
            <w:r w:rsidRPr="00601FA9">
              <w:rPr>
                <w:rFonts w:ascii="Times New Roman" w:eastAsia="等线" w:hAnsi="Times New Roman" w:cs="Times New Roman"/>
                <w:szCs w:val="21"/>
              </w:rPr>
              <w:t>≥</w:t>
            </w:r>
            <w:r w:rsidRPr="00601FA9">
              <w:rPr>
                <w:rFonts w:ascii="Times New Roman" w:hAnsi="Times New Roman" w:cs="Times New Roman"/>
                <w:b/>
                <w:bCs/>
                <w:szCs w:val="21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BD9469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751984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60CBED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7BF70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C0764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8728A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2EC5B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62CDED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82C08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1FA9" w:rsidRPr="00601FA9" w14:paraId="532D61F2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10D201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  <w:highlight w:val="yellow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5541A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815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4CD4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405(49.69%)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50C2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410(50.31%)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B09781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B0E715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  <w:highlight w:val="yellow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9E0BC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7F5B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A4E6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FFA2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1FA9" w:rsidRPr="00601FA9" w14:paraId="38357C9B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135357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  <w:highlight w:val="yellow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70DC9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890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B583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499(56.07%)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4C57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391(43.93%)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178379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BA9BA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0.875(0.701-1.092)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B0648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3CDD75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08C18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Reference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4FA5D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01FA9" w:rsidRPr="00601FA9" w14:paraId="6A68C2D8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FA1056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  <w:highlight w:val="yellow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519EC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971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4491D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480(49.43%)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C518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491(50.57%)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F9EA1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53504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1.086(0.865-1.363)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FD2F1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0.478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7C1E06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98A80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1.260(1.015-1.564)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37BF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0.036</w:t>
            </w:r>
          </w:p>
        </w:tc>
      </w:tr>
      <w:tr w:rsidR="00601FA9" w:rsidRPr="00601FA9" w14:paraId="5D1F0570" w14:textId="77777777" w:rsidTr="00F730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07D72C" w14:textId="77777777" w:rsidR="00525144" w:rsidRPr="00601FA9" w:rsidRDefault="00525144" w:rsidP="00525144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  <w:highlight w:val="yellow"/>
              </w:rPr>
            </w:pPr>
            <w:proofErr w:type="spellStart"/>
            <w:r w:rsidRPr="00601FA9">
              <w:rPr>
                <w:rFonts w:ascii="Times New Roman" w:hAnsi="Times New Roman" w:cs="Times New Roman"/>
                <w:szCs w:val="21"/>
              </w:rPr>
              <w:t>TyG</w:t>
            </w:r>
            <w:proofErr w:type="spellEnd"/>
            <w:r w:rsidRPr="00601FA9">
              <w:rPr>
                <w:rFonts w:ascii="Times New Roman" w:hAnsi="Times New Roman" w:cs="Times New Roman"/>
                <w:szCs w:val="21"/>
              </w:rPr>
              <w:t xml:space="preserve"> Q4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D692B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1034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C8621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472(45.65%)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6892E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01FA9">
              <w:rPr>
                <w:rFonts w:ascii="Times New Roman" w:hAnsi="Times New Roman" w:cs="Times New Roman"/>
                <w:szCs w:val="21"/>
              </w:rPr>
              <w:t>562(54.35%)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D893B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A8A230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1.344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(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1.039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-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1.738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2CDD3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7EEEF2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1904F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1.570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(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1.232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-</w:t>
            </w: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1.999</w:t>
            </w:r>
            <w:r w:rsidRPr="00601FA9">
              <w:rPr>
                <w:rFonts w:ascii="Times New Roman" w:eastAsia="MingLiU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29EAB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&lt;0.001</w:t>
            </w:r>
          </w:p>
        </w:tc>
      </w:tr>
      <w:tr w:rsidR="00601FA9" w:rsidRPr="00601FA9" w14:paraId="5D3CF9FC" w14:textId="77777777" w:rsidTr="00F730C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07D0C" w14:textId="77777777" w:rsidR="00525144" w:rsidRPr="00601FA9" w:rsidRDefault="00525144" w:rsidP="00525144">
            <w:pPr>
              <w:spacing w:line="360" w:lineRule="auto"/>
              <w:rPr>
                <w:rFonts w:ascii="Times New Roman" w:hAnsi="Times New Roman" w:cs="Times New Roman"/>
                <w:i/>
                <w:iCs/>
                <w:szCs w:val="21"/>
                <w:highlight w:val="yellow"/>
              </w:rPr>
            </w:pPr>
            <w:r w:rsidRPr="00601FA9">
              <w:rPr>
                <w:rFonts w:ascii="Times New Roman" w:hAnsi="Times New Roman" w:cs="Times New Roman"/>
                <w:i/>
                <w:iCs/>
                <w:szCs w:val="21"/>
              </w:rPr>
              <w:t xml:space="preserve">P </w:t>
            </w:r>
            <w:r w:rsidRPr="002C1AE7">
              <w:rPr>
                <w:rFonts w:ascii="Times New Roman" w:hAnsi="Times New Roman" w:cs="Times New Roman"/>
                <w:szCs w:val="21"/>
              </w:rPr>
              <w:t>for trend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B69E34B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174F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31BEFE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78C8C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BB3E1A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4A540C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8719B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F254A7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01FA9">
              <w:rPr>
                <w:rFonts w:ascii="Times New Roman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A655F8" w14:textId="77777777" w:rsidR="00525144" w:rsidRPr="00601FA9" w:rsidRDefault="00525144" w:rsidP="00525144">
            <w:pPr>
              <w:spacing w:line="36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</w:tr>
    </w:tbl>
    <w:p w14:paraId="074F3229" w14:textId="46AB79FE" w:rsidR="00525144" w:rsidRPr="00601FA9" w:rsidRDefault="00525144" w:rsidP="00601FA9">
      <w:pPr>
        <w:ind w:rightChars="571" w:right="1199"/>
        <w:rPr>
          <w:rFonts w:ascii="Times New Roman" w:hAnsi="Times New Roman" w:cs="Times New Roman"/>
          <w:szCs w:val="21"/>
        </w:rPr>
      </w:pPr>
      <w:r w:rsidRPr="00601FA9">
        <w:rPr>
          <w:rFonts w:ascii="Times New Roman" w:hAnsi="Times New Roman" w:cs="Times New Roman"/>
          <w:color w:val="010205"/>
          <w:kern w:val="0"/>
          <w:szCs w:val="21"/>
        </w:rPr>
        <w:t xml:space="preserve">Note: </w:t>
      </w:r>
      <w:r w:rsidR="00601FA9" w:rsidRPr="00601FA9">
        <w:rPr>
          <w:rFonts w:ascii="Times New Roman" w:hAnsi="Times New Roman" w:cs="Times New Roman"/>
          <w:color w:val="010205"/>
          <w:kern w:val="0"/>
          <w:szCs w:val="21"/>
        </w:rPr>
        <w:t>OR, odds ratio; CI, confidence intervals.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 xml:space="preserve"> 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OR with 95%CI was estimated by multivariable logistic regression analysis adjusted for 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>g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ender, 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>a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ge, </w:t>
      </w:r>
      <w:r w:rsidRPr="00601FA9">
        <w:rPr>
          <w:rFonts w:ascii="Times New Roman" w:eastAsia="宋体" w:hAnsi="Times New Roman" w:cs="Times New Roman"/>
          <w:szCs w:val="21"/>
        </w:rPr>
        <w:t>T2DM</w:t>
      </w:r>
      <w:r w:rsidR="00601FA9" w:rsidRPr="00601FA9">
        <w:rPr>
          <w:rFonts w:ascii="Times New Roman" w:eastAsia="宋体" w:hAnsi="Times New Roman" w:cs="Times New Roman"/>
          <w:szCs w:val="21"/>
        </w:rPr>
        <w:t xml:space="preserve"> duration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 xml:space="preserve">, 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BMI, SBP, DBP, BUN, Cr, ALB, </w:t>
      </w:r>
      <w:proofErr w:type="spellStart"/>
      <w:r w:rsidRPr="00601FA9">
        <w:rPr>
          <w:rFonts w:ascii="Times New Roman" w:hAnsi="Times New Roman" w:cs="Times New Roman"/>
          <w:color w:val="010205"/>
          <w:kern w:val="0"/>
          <w:szCs w:val="21"/>
        </w:rPr>
        <w:t>h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sCRP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, LP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>(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a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>)</w:t>
      </w:r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, TC, HDL-C, LDL-C. 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index quartiles: 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Q1 (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&lt;8.67), 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Q2 (8.67≤TyG&lt;9.13), 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Q3 (9.13≤TyG&lt;9.63), 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Q4 (</w:t>
      </w:r>
      <w:proofErr w:type="spellStart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>TyG</w:t>
      </w:r>
      <w:proofErr w:type="spellEnd"/>
      <w:r w:rsidRPr="00601FA9">
        <w:rPr>
          <w:rFonts w:ascii="Times New Roman" w:eastAsia="MingLiU" w:hAnsi="Times New Roman" w:cs="Times New Roman"/>
          <w:color w:val="010205"/>
          <w:kern w:val="0"/>
          <w:szCs w:val="21"/>
        </w:rPr>
        <w:t xml:space="preserve"> ≥9.63). Abbreviations as in Tables 1. </w:t>
      </w:r>
      <w:r w:rsidRPr="00601FA9">
        <w:rPr>
          <w:rFonts w:ascii="Times New Roman" w:hAnsi="Times New Roman" w:cs="Times New Roman"/>
          <w:color w:val="010205"/>
          <w:kern w:val="0"/>
          <w:szCs w:val="21"/>
        </w:rPr>
        <w:t xml:space="preserve"> </w:t>
      </w:r>
    </w:p>
    <w:p w14:paraId="0443FACE" w14:textId="77777777" w:rsidR="00525144" w:rsidRPr="00601FA9" w:rsidRDefault="00525144" w:rsidP="00525144">
      <w:pPr>
        <w:rPr>
          <w:rFonts w:ascii="Times New Roman" w:hAnsi="Times New Roman" w:cs="Times New Roman"/>
          <w:b/>
          <w:bCs/>
          <w:szCs w:val="21"/>
        </w:rPr>
      </w:pPr>
    </w:p>
    <w:sectPr w:rsidR="00525144" w:rsidRPr="00601FA9" w:rsidSect="0042567C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4929" w14:textId="77777777" w:rsidR="00D032D4" w:rsidRDefault="00D032D4" w:rsidP="000A39F1">
      <w:pPr>
        <w:rPr>
          <w:rFonts w:hint="eastAsia"/>
        </w:rPr>
      </w:pPr>
      <w:r>
        <w:separator/>
      </w:r>
    </w:p>
  </w:endnote>
  <w:endnote w:type="continuationSeparator" w:id="0">
    <w:p w14:paraId="015836B6" w14:textId="77777777" w:rsidR="00D032D4" w:rsidRDefault="00D032D4" w:rsidP="000A39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604754"/>
      <w:docPartObj>
        <w:docPartGallery w:val="Page Numbers (Bottom of Page)"/>
        <w:docPartUnique/>
      </w:docPartObj>
    </w:sdtPr>
    <w:sdtContent>
      <w:p w14:paraId="5834326B" w14:textId="57F49E52" w:rsidR="00F97321" w:rsidRDefault="00F97321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9F1C67" w14:textId="77777777" w:rsidR="00F97321" w:rsidRDefault="00F9732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7D88" w14:textId="77777777" w:rsidR="00D032D4" w:rsidRDefault="00D032D4" w:rsidP="000A39F1">
      <w:pPr>
        <w:rPr>
          <w:rFonts w:hint="eastAsia"/>
        </w:rPr>
      </w:pPr>
      <w:r>
        <w:separator/>
      </w:r>
    </w:p>
  </w:footnote>
  <w:footnote w:type="continuationSeparator" w:id="0">
    <w:p w14:paraId="3AE53F2B" w14:textId="77777777" w:rsidR="00D032D4" w:rsidRDefault="00D032D4" w:rsidP="000A39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59"/>
    <w:rsid w:val="00024853"/>
    <w:rsid w:val="00055CCB"/>
    <w:rsid w:val="000A39F1"/>
    <w:rsid w:val="000F31F8"/>
    <w:rsid w:val="00114B00"/>
    <w:rsid w:val="0014122F"/>
    <w:rsid w:val="00185130"/>
    <w:rsid w:val="00193CE4"/>
    <w:rsid w:val="001D7A6E"/>
    <w:rsid w:val="002834FF"/>
    <w:rsid w:val="00284C29"/>
    <w:rsid w:val="002974BC"/>
    <w:rsid w:val="002B5563"/>
    <w:rsid w:val="002C1AE7"/>
    <w:rsid w:val="00343781"/>
    <w:rsid w:val="003613E7"/>
    <w:rsid w:val="0037027E"/>
    <w:rsid w:val="00373A51"/>
    <w:rsid w:val="003D2048"/>
    <w:rsid w:val="004001FC"/>
    <w:rsid w:val="00400349"/>
    <w:rsid w:val="0042567C"/>
    <w:rsid w:val="0043608C"/>
    <w:rsid w:val="004547DD"/>
    <w:rsid w:val="004C034D"/>
    <w:rsid w:val="004E1CB7"/>
    <w:rsid w:val="004E406B"/>
    <w:rsid w:val="00513233"/>
    <w:rsid w:val="00525144"/>
    <w:rsid w:val="005255F3"/>
    <w:rsid w:val="005471F8"/>
    <w:rsid w:val="00554FD1"/>
    <w:rsid w:val="00565287"/>
    <w:rsid w:val="005A785B"/>
    <w:rsid w:val="005B7714"/>
    <w:rsid w:val="005F1C4C"/>
    <w:rsid w:val="005F7EDA"/>
    <w:rsid w:val="00601FA9"/>
    <w:rsid w:val="00610570"/>
    <w:rsid w:val="0061059E"/>
    <w:rsid w:val="00612A57"/>
    <w:rsid w:val="00631396"/>
    <w:rsid w:val="0063273F"/>
    <w:rsid w:val="00643ED6"/>
    <w:rsid w:val="006520B1"/>
    <w:rsid w:val="00674980"/>
    <w:rsid w:val="007953CF"/>
    <w:rsid w:val="007D43F4"/>
    <w:rsid w:val="007E2E28"/>
    <w:rsid w:val="007F5591"/>
    <w:rsid w:val="00846F58"/>
    <w:rsid w:val="00860A8C"/>
    <w:rsid w:val="00870EAE"/>
    <w:rsid w:val="008B1D54"/>
    <w:rsid w:val="008C42ED"/>
    <w:rsid w:val="008D19C9"/>
    <w:rsid w:val="008F78E8"/>
    <w:rsid w:val="00905B60"/>
    <w:rsid w:val="00920D59"/>
    <w:rsid w:val="00941A2B"/>
    <w:rsid w:val="009465C1"/>
    <w:rsid w:val="00971088"/>
    <w:rsid w:val="00991F6D"/>
    <w:rsid w:val="009B4228"/>
    <w:rsid w:val="009E0CC9"/>
    <w:rsid w:val="009F1ED8"/>
    <w:rsid w:val="00A12AA0"/>
    <w:rsid w:val="00A46424"/>
    <w:rsid w:val="00AB2892"/>
    <w:rsid w:val="00AC610D"/>
    <w:rsid w:val="00B25177"/>
    <w:rsid w:val="00B92C2E"/>
    <w:rsid w:val="00B93318"/>
    <w:rsid w:val="00BE1267"/>
    <w:rsid w:val="00C00C13"/>
    <w:rsid w:val="00C31FA0"/>
    <w:rsid w:val="00C40BAD"/>
    <w:rsid w:val="00C43DE5"/>
    <w:rsid w:val="00C46728"/>
    <w:rsid w:val="00C54596"/>
    <w:rsid w:val="00C74D40"/>
    <w:rsid w:val="00C95EC5"/>
    <w:rsid w:val="00D032D4"/>
    <w:rsid w:val="00D14337"/>
    <w:rsid w:val="00D21788"/>
    <w:rsid w:val="00D226B7"/>
    <w:rsid w:val="00D4165F"/>
    <w:rsid w:val="00D41CD9"/>
    <w:rsid w:val="00D72B58"/>
    <w:rsid w:val="00DB0397"/>
    <w:rsid w:val="00DC233D"/>
    <w:rsid w:val="00DC667C"/>
    <w:rsid w:val="00DC6901"/>
    <w:rsid w:val="00DD2E5D"/>
    <w:rsid w:val="00E42CB3"/>
    <w:rsid w:val="00E46DFC"/>
    <w:rsid w:val="00E46E56"/>
    <w:rsid w:val="00E7195D"/>
    <w:rsid w:val="00E73B0A"/>
    <w:rsid w:val="00E84F05"/>
    <w:rsid w:val="00EA171A"/>
    <w:rsid w:val="00EA4AC4"/>
    <w:rsid w:val="00EB755F"/>
    <w:rsid w:val="00EC4C4D"/>
    <w:rsid w:val="00F22885"/>
    <w:rsid w:val="00F27315"/>
    <w:rsid w:val="00F50B51"/>
    <w:rsid w:val="00F730C2"/>
    <w:rsid w:val="00F808D1"/>
    <w:rsid w:val="00F97321"/>
    <w:rsid w:val="00FC6754"/>
    <w:rsid w:val="00FD52A6"/>
    <w:rsid w:val="00FF0049"/>
    <w:rsid w:val="00FF0748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443B9"/>
  <w15:chartTrackingRefBased/>
  <w15:docId w15:val="{84E8D7E3-C7A6-4A80-ACBB-E5C1424C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D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D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D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D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D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D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D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D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D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D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D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D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D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D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39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39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3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39F1"/>
    <w:rPr>
      <w:sz w:val="18"/>
      <w:szCs w:val="18"/>
    </w:rPr>
  </w:style>
  <w:style w:type="table" w:styleId="af2">
    <w:name w:val="Table Grid"/>
    <w:basedOn w:val="a1"/>
    <w:qFormat/>
    <w:rsid w:val="005251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uiPriority w:val="39"/>
    <w:rsid w:val="0052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89</cp:revision>
  <cp:lastPrinted>2025-02-09T13:37:00Z</cp:lastPrinted>
  <dcterms:created xsi:type="dcterms:W3CDTF">2025-02-04T13:49:00Z</dcterms:created>
  <dcterms:modified xsi:type="dcterms:W3CDTF">2025-02-09T15:05:00Z</dcterms:modified>
</cp:coreProperties>
</file>