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F2228" w14:textId="77777777" w:rsidR="00C47E8E" w:rsidRPr="00FE7A8C" w:rsidRDefault="00C47E8E" w:rsidP="00420176">
      <w:pPr>
        <w:pStyle w:val="11"/>
        <w:rPr>
          <w:rFonts w:ascii="Arial" w:hAnsi="Arial" w:cs="Arial"/>
          <w:kern w:val="0"/>
          <w:sz w:val="20"/>
          <w:szCs w:val="20"/>
        </w:rPr>
      </w:pPr>
      <w:r w:rsidRPr="00FE7A8C">
        <w:rPr>
          <w:rFonts w:ascii="Arial" w:hAnsi="Arial" w:cs="Arial"/>
          <w:sz w:val="20"/>
          <w:szCs w:val="20"/>
        </w:rPr>
        <w:t>Supplementary figures</w:t>
      </w:r>
    </w:p>
    <w:p w14:paraId="45CE33CB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E7A8C"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12E3CA39" wp14:editId="47D1AC19">
            <wp:extent cx="5137150" cy="5954789"/>
            <wp:effectExtent l="0" t="0" r="0" b="0"/>
            <wp:docPr id="1382471695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71695" name="图片 9" descr="图示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60" cy="595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D5BB" w14:textId="506C4DF9" w:rsidR="00C47E8E" w:rsidRPr="00FE7A8C" w:rsidRDefault="00C47E8E" w:rsidP="00420176">
      <w:pPr>
        <w:spacing w:line="360" w:lineRule="auto"/>
        <w:rPr>
          <w:rFonts w:ascii="Arial" w:eastAsia="等线" w:hAnsi="Arial" w:cs="Arial"/>
          <w:color w:val="000000" w:themeColor="text1"/>
          <w:sz w:val="20"/>
          <w:szCs w:val="20"/>
        </w:rPr>
      </w:pP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>Figure S1. CoCl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  <w:vertAlign w:val="subscript"/>
        </w:rPr>
        <w:t>2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induces changes in osmosis and cell membrane potential dependent on PNs and Ca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.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Neuronal cells were treated with CoCl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 xml:space="preserve">2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(200 μM), Sen A (100 μM) + TAX (10 μM), Tran</w:t>
      </w:r>
      <w:r w:rsidRPr="00FE7A8C" w:rsidDel="00320FEF">
        <w:rPr>
          <w:rFonts w:ascii="Arial" w:eastAsia="等线" w:hAnsi="Arial" w:cs="Arial"/>
          <w:color w:val="000000" w:themeColor="text1"/>
          <w:sz w:val="20"/>
          <w:szCs w:val="20"/>
        </w:rPr>
        <w:t xml:space="preserve">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(20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μM)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, 0 mM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(no extracellular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), heparin (0.5 mg/mL), and HgCl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(200 μM).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>(A, B)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Representative fluorescent images and normalized CFP/FRET ratio of vimentin IF tension, corresponding to Figure 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>6A.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Scale bar, 10 µm.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B97354" w:rsidRPr="00FE7A8C">
        <w:rPr>
          <w:rFonts w:ascii="Arial" w:hAnsi="Arial" w:cs="Arial"/>
          <w:color w:val="000000" w:themeColor="text1"/>
          <w:sz w:val="20"/>
          <w:szCs w:val="20"/>
        </w:rPr>
        <w:t xml:space="preserve">The calibration bar was set from 0.1 to 1.5. </w:t>
      </w:r>
      <w:r w:rsidR="0074490E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The significant differences were statistically analyzed between </w:t>
      </w:r>
      <w:r w:rsidR="00F60D25" w:rsidRPr="00FE7A8C">
        <w:rPr>
          <w:rFonts w:ascii="Arial" w:eastAsia="等线" w:hAnsi="Arial" w:cs="Arial"/>
          <w:color w:val="000000" w:themeColor="text1"/>
          <w:sz w:val="20"/>
          <w:szCs w:val="20"/>
        </w:rPr>
        <w:t>the CoCl</w:t>
      </w:r>
      <w:r w:rsidR="00F60D25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F60D25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 compared with the control,</w:t>
      </w:r>
      <w:r w:rsidR="00F60D25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</w:t>
      </w:r>
      <w:r w:rsidR="0074490E" w:rsidRPr="00FE7A8C">
        <w:rPr>
          <w:rFonts w:ascii="Arial" w:eastAsia="等线" w:hAnsi="Arial" w:cs="Arial"/>
          <w:color w:val="000000" w:themeColor="text1"/>
          <w:sz w:val="20"/>
          <w:szCs w:val="20"/>
        </w:rPr>
        <w:t>the additional treatment of Sen A+TAX</w:t>
      </w:r>
      <w:r w:rsidR="0074490E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or </w:t>
      </w:r>
      <w:r w:rsidR="0074490E" w:rsidRPr="00FE7A8C">
        <w:rPr>
          <w:rFonts w:ascii="Arial" w:eastAsia="等线" w:hAnsi="Arial" w:cs="Arial"/>
          <w:color w:val="000000" w:themeColor="text1"/>
          <w:sz w:val="20"/>
          <w:szCs w:val="20"/>
        </w:rPr>
        <w:t>Tran or Sen A+TAX</w:t>
      </w:r>
      <w:r w:rsidR="0074490E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+Tran</w:t>
      </w:r>
      <w:r w:rsidR="0074490E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individually </w:t>
      </w:r>
      <w:r w:rsidR="0074490E" w:rsidRPr="00FE7A8C">
        <w:rPr>
          <w:rFonts w:ascii="Arial" w:eastAsia="等线" w:hAnsi="Arial" w:cs="Arial"/>
          <w:color w:val="000000" w:themeColor="text1"/>
          <w:sz w:val="20"/>
          <w:szCs w:val="20"/>
        </w:rPr>
        <w:lastRenderedPageBreak/>
        <w:t>compared with the CoCl</w:t>
      </w:r>
      <w:r w:rsidR="0074490E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74490E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</w:t>
      </w:r>
      <w:r w:rsidR="0074490E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.</w:t>
      </w:r>
      <w:r w:rsidR="0074490E"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(C, D)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Representative trace map and variations in membrane potential. 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</w:rPr>
        <w:t>The significant differences were statistically analyzed between the additional treatment of Sen A+TAX</w:t>
      </w:r>
      <w:r w:rsidR="00585941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or 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</w:rPr>
        <w:t>Tran or Sen A+TAX</w:t>
      </w:r>
      <w:r w:rsidR="00585941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+Tran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individually compared with the CoCl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</w:t>
      </w:r>
      <w:r w:rsidR="00585941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.</w:t>
      </w:r>
      <w:r w:rsidR="00585941"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(E)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Cytoplasmic OP.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(F)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Normalized ratio of cell volume.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(G, H)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Normalized F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t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/F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0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ratio of intracellular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and Cl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−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fluorescent intensities. 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The significant differences were statistically analyzed between 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</w:rPr>
        <w:t>the CoCl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585941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 compared with the control, 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>the additional treatment of Sen A+TAX+Tran or 0 mM Ca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>+heparin or HgCl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individually compared with the CoCl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</w:t>
      </w:r>
      <w:r w:rsidR="00585941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(E-H)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.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Average of ≥3 biologically independent replicates ± SEM. ns,</w:t>
      </w:r>
      <w:r w:rsidR="002F031C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no significant,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*p &lt; 0.05, **p &lt; 0.01, ***p &lt; 0.001.</w:t>
      </w:r>
    </w:p>
    <w:p w14:paraId="7F051862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p w14:paraId="01856350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E7A8C"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51C4082F" wp14:editId="687AC964">
            <wp:extent cx="5274310" cy="5876290"/>
            <wp:effectExtent l="0" t="0" r="0" b="0"/>
            <wp:docPr id="1006468022" name="图片 1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68022" name="图片 10" descr="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A357" w14:textId="0C92E067" w:rsidR="00C47E8E" w:rsidRPr="00FE7A8C" w:rsidRDefault="00C47E8E" w:rsidP="00420176">
      <w:pPr>
        <w:spacing w:line="360" w:lineRule="auto"/>
        <w:rPr>
          <w:rFonts w:ascii="Arial" w:eastAsia="等线" w:hAnsi="Arial" w:cs="Arial"/>
          <w:color w:val="000000" w:themeColor="text1"/>
          <w:sz w:val="20"/>
          <w:szCs w:val="20"/>
        </w:rPr>
      </w:pP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>Figure S2. LPS induces changes in osmosis and cell membrane potential associated with PNs and Ca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.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Neuronal cells were treated with LPS (1 μg/mL), Sen A (100 μM) + TAX (10 μM), Tran</w:t>
      </w:r>
      <w:r w:rsidRPr="00FE7A8C" w:rsidDel="00320FEF">
        <w:rPr>
          <w:rFonts w:ascii="Arial" w:eastAsia="等线" w:hAnsi="Arial" w:cs="Arial"/>
          <w:color w:val="000000" w:themeColor="text1"/>
          <w:sz w:val="20"/>
          <w:szCs w:val="20"/>
        </w:rPr>
        <w:t xml:space="preserve">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(20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μM)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, 0 mM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(no extracellular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), heparin (0.5 mg/mL), and HgCl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(200 μM).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>(A, B)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Representative fluorescent images and normalized CFP/FRET ratio of vimentin IF tension, corresponding to Figure 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>6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A.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Scale bar, 10 µm.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BC355C" w:rsidRPr="00FE7A8C">
        <w:rPr>
          <w:rFonts w:ascii="Arial" w:hAnsi="Arial" w:cs="Arial"/>
          <w:color w:val="000000" w:themeColor="text1"/>
          <w:sz w:val="20"/>
          <w:szCs w:val="20"/>
        </w:rPr>
        <w:t xml:space="preserve">The calibration bar was set from 0.1 to 1.5.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The significant differences were statistically analyzed between the 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LPS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 compared with the control,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the additional treatment of Sen A+TAX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or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Tran or Sen A+TAX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+Tran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individually compared with the 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LPS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group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.</w:t>
      </w:r>
      <w:r w:rsidR="00E510E7"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(C, D)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Representative trace map and variations in membrane potential.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The significant differences were statistically analyzed between the additional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lastRenderedPageBreak/>
        <w:t>treatment of Sen A+TAX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or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Tran or Sen A+TAX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+Tran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individually compared with the 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LPS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group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.</w:t>
      </w:r>
      <w:r w:rsidR="00E510E7"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(E)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Cytoplasmic OP.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(F)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Normalized ratio of cell volume.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(G, H)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Normalized F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t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/F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0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ratio of intracellular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and Cl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−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fluorescent intensities. 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The significant differences were statistically analyzed between the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LPS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 compared with the control, the additional treatment of Sen A+TAX+Tran or 0 mM Ca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+heparin or HgCl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individually compared with the 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>LPS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</w:t>
      </w:r>
      <w:r w:rsidR="00E510E7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(E-H)</w:t>
      </w:r>
      <w:r w:rsidR="00E510E7" w:rsidRPr="00FE7A8C">
        <w:rPr>
          <w:rFonts w:ascii="Arial" w:eastAsia="等线" w:hAnsi="Arial" w:cs="Arial"/>
          <w:color w:val="000000" w:themeColor="text1"/>
          <w:sz w:val="20"/>
          <w:szCs w:val="20"/>
        </w:rPr>
        <w:t>.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Average of ≥3 biologically independent replicates ± SEM. ns, 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no significant,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*p &lt; 0.05, **p &lt; 0.01, ***p &lt; 0.001.</w:t>
      </w:r>
    </w:p>
    <w:p w14:paraId="4C06A268" w14:textId="32CAF419" w:rsidR="00D6265E" w:rsidRPr="00FE7A8C" w:rsidRDefault="00D6265E">
      <w:pPr>
        <w:widowControl/>
        <w:jc w:val="left"/>
        <w:rPr>
          <w:rFonts w:ascii="Arial" w:eastAsia="等线" w:hAnsi="Arial" w:cs="Arial"/>
          <w:color w:val="000000" w:themeColor="text1"/>
          <w:sz w:val="20"/>
          <w:szCs w:val="20"/>
        </w:rPr>
      </w:pP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br w:type="page"/>
      </w:r>
    </w:p>
    <w:p w14:paraId="2F033355" w14:textId="77777777" w:rsidR="00D6265E" w:rsidRPr="00FE7A8C" w:rsidRDefault="00D6265E" w:rsidP="00420176">
      <w:pPr>
        <w:spacing w:line="360" w:lineRule="auto"/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</w:pPr>
    </w:p>
    <w:p w14:paraId="256A320D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E7A8C"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498CE4C2" wp14:editId="3D30C1BD">
            <wp:extent cx="5274310" cy="3428365"/>
            <wp:effectExtent l="0" t="0" r="0" b="0"/>
            <wp:docPr id="139606401" name="图片 1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401" name="图片 11" descr="图表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DBE2" w14:textId="26CD4269" w:rsidR="00C47E8E" w:rsidRPr="00FE7A8C" w:rsidRDefault="00C47E8E" w:rsidP="00420176">
      <w:pPr>
        <w:spacing w:line="360" w:lineRule="auto"/>
        <w:rPr>
          <w:rFonts w:ascii="Arial" w:eastAsia="等线" w:hAnsi="Arial" w:cs="Arial"/>
          <w:color w:val="000000" w:themeColor="text1"/>
          <w:sz w:val="20"/>
          <w:szCs w:val="20"/>
        </w:rPr>
      </w:pP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Figure S3. 1,2-DCE induces changes in IF tension and intracellular osmosis.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Neuronal cells were treated with 1,2-DCE (1.2 μg/mL), Sen A (100 μM) + TAX (10 μM), Tran (20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μM)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, 0 mM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(no extracellular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), heparin (0.5 mg/mL), and HgCl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(200 μM).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>(A, B)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Representative fluorescent images and normalized CFP/FRET ratio of vimentin IF tension, corresponding to Figure </w:t>
      </w:r>
      <w:r w:rsidR="005A760A" w:rsidRPr="00FE7A8C">
        <w:rPr>
          <w:rFonts w:ascii="Arial" w:eastAsia="等线" w:hAnsi="Arial" w:cs="Arial"/>
          <w:color w:val="000000" w:themeColor="text1"/>
          <w:sz w:val="20"/>
          <w:szCs w:val="20"/>
        </w:rPr>
        <w:t>6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A.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Scale bar, 10 µm.</w:t>
      </w:r>
      <w:r w:rsidR="00BC355C" w:rsidRPr="00FE7A8C">
        <w:rPr>
          <w:rFonts w:ascii="Arial" w:hAnsi="Arial" w:cs="Arial"/>
          <w:color w:val="000000" w:themeColor="text1"/>
          <w:sz w:val="20"/>
          <w:szCs w:val="20"/>
        </w:rPr>
        <w:t xml:space="preserve"> The calibration bar was set from 0.1 to 1.5.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(C)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Cytoplasmic OP.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 (D)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Normalized ratio of cell volume. </w:t>
      </w:r>
      <w:r w:rsidRPr="00FE7A8C">
        <w:rPr>
          <w:rFonts w:ascii="Arial" w:eastAsia="等线" w:hAnsi="Arial" w:cs="Arial"/>
          <w:b/>
          <w:bCs/>
          <w:color w:val="000000" w:themeColor="text1"/>
          <w:sz w:val="20"/>
          <w:szCs w:val="20"/>
        </w:rPr>
        <w:t xml:space="preserve">(E, F)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Normalized F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t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/F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0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ratio of intracellular Ca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and Cl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−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fluorescent intensities. 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The significant differences were statistically analyzed between </w:t>
      </w:r>
      <w:r w:rsidR="004E2385" w:rsidRPr="00FE7A8C">
        <w:rPr>
          <w:rFonts w:ascii="Arial" w:eastAsia="等线" w:hAnsi="Arial" w:cs="Arial"/>
          <w:color w:val="000000" w:themeColor="text1"/>
          <w:sz w:val="20"/>
          <w:szCs w:val="20"/>
        </w:rPr>
        <w:t>the</w:t>
      </w:r>
      <w:r w:rsidR="004E2385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</w:t>
      </w:r>
      <w:r w:rsidR="004E2385" w:rsidRPr="00FE7A8C">
        <w:rPr>
          <w:rFonts w:ascii="Arial" w:eastAsia="等线" w:hAnsi="Arial" w:cs="Arial"/>
          <w:color w:val="000000" w:themeColor="text1"/>
          <w:sz w:val="20"/>
          <w:szCs w:val="20"/>
        </w:rPr>
        <w:t>1,2-DCE group compared with the control,</w:t>
      </w:r>
      <w:r w:rsidR="004E2385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>the additional treatment of Sen A+TAX+Tran or 0 mM Ca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  <w:vertAlign w:val="superscript"/>
        </w:rPr>
        <w:t>2+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>+heparin or HgCl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2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individually compared with the 1,2-DCE group</w:t>
      </w:r>
      <w:r w:rsidR="004E2385" w:rsidRPr="00FE7A8C">
        <w:rPr>
          <w:rFonts w:ascii="Arial" w:eastAsia="等线" w:hAnsi="Arial" w:cs="Arial" w:hint="eastAsia"/>
          <w:color w:val="000000" w:themeColor="text1"/>
          <w:sz w:val="20"/>
          <w:szCs w:val="20"/>
        </w:rPr>
        <w:t xml:space="preserve"> (B-F)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.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Average of ≥3 biologically independent replicates ± SEM. ns, </w:t>
      </w:r>
      <w:r w:rsidR="00061423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no significant, </w:t>
      </w:r>
      <w:r w:rsidRPr="00FE7A8C">
        <w:rPr>
          <w:rFonts w:ascii="Arial" w:eastAsia="等线" w:hAnsi="Arial" w:cs="Arial"/>
          <w:color w:val="000000" w:themeColor="text1"/>
          <w:sz w:val="20"/>
          <w:szCs w:val="20"/>
        </w:rPr>
        <w:t>*p &lt; 0.05, **p &lt; 0.01, ***p &lt; 0.001.</w:t>
      </w:r>
    </w:p>
    <w:p w14:paraId="33167207" w14:textId="77777777" w:rsidR="00C47E8E" w:rsidRPr="00FE7A8C" w:rsidRDefault="00C47E8E" w:rsidP="00420176">
      <w:pPr>
        <w:spacing w:line="360" w:lineRule="auto"/>
        <w:rPr>
          <w:rFonts w:ascii="Arial" w:eastAsia="等线" w:hAnsi="Arial" w:cs="Arial"/>
          <w:color w:val="000000" w:themeColor="text1"/>
          <w:sz w:val="20"/>
          <w:szCs w:val="20"/>
        </w:rPr>
      </w:pPr>
    </w:p>
    <w:p w14:paraId="7F213302" w14:textId="77777777" w:rsidR="00C47E8E" w:rsidRPr="00FE7A8C" w:rsidRDefault="00C47E8E" w:rsidP="00420176">
      <w:pPr>
        <w:spacing w:line="360" w:lineRule="auto"/>
        <w:rPr>
          <w:rFonts w:ascii="Arial" w:eastAsia="等线" w:hAnsi="Arial" w:cs="Arial"/>
          <w:color w:val="000000" w:themeColor="text1"/>
          <w:sz w:val="20"/>
          <w:szCs w:val="20"/>
        </w:rPr>
      </w:pPr>
    </w:p>
    <w:p w14:paraId="37AEC3F8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E7A8C"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128552A5" wp14:editId="1FC03565">
            <wp:extent cx="5274310" cy="1702435"/>
            <wp:effectExtent l="0" t="0" r="0" b="0"/>
            <wp:docPr id="2030907925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07925" name="图片 12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DED4" w14:textId="0ABE6C8B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Figure S4. Ca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  <w:vertAlign w:val="superscript"/>
        </w:rPr>
        <w:t>2+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and PNs mediate membrane potential transition in the NaN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  <w:vertAlign w:val="subscript"/>
        </w:rPr>
        <w:t>3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-induced hyperpolarization model.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(A)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Representative trace map and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(B)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variations in membrane potential measured using a whole-cell patch clamp. Carbachol was used as an agonist of IP3R. 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>The significant differences were statistically analyzed between the additional treatment of carbachol or Sen A+TAX+Tran individually compared with the NaN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  <w:vertAlign w:val="subscript"/>
        </w:rPr>
        <w:t>3</w:t>
      </w:r>
      <w:r w:rsidR="00CB6267" w:rsidRPr="00FE7A8C">
        <w:rPr>
          <w:rFonts w:ascii="Arial" w:eastAsia="等线" w:hAnsi="Arial" w:cs="Arial"/>
          <w:color w:val="000000" w:themeColor="text1"/>
          <w:sz w:val="20"/>
          <w:szCs w:val="20"/>
        </w:rPr>
        <w:t xml:space="preserve"> group.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Average of ≥3 biologically independent replicates ± SEM. ***p &lt; 0.001, ****p &lt; 0.00</w:t>
      </w:r>
      <w:r w:rsidR="00CB6267" w:rsidRPr="00FE7A8C">
        <w:rPr>
          <w:rFonts w:ascii="Arial" w:hAnsi="Arial" w:cs="Arial"/>
          <w:color w:val="000000" w:themeColor="text1"/>
          <w:sz w:val="20"/>
          <w:szCs w:val="20"/>
        </w:rPr>
        <w:t>0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1.</w:t>
      </w:r>
    </w:p>
    <w:p w14:paraId="24914DC6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p w14:paraId="756167D6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E7A8C"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2BCD3909" wp14:editId="7B11E3D6">
            <wp:extent cx="5274310" cy="1873885"/>
            <wp:effectExtent l="0" t="0" r="0" b="0"/>
            <wp:docPr id="1254653742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53742" name="图片 13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84D0" w14:textId="204DF00F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Figure S5. Other divalent ions result in IF tension increase and membrane depolarization. (A)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Representative fluorescent images of vimentin IF tension recorded within 30 min. Scale bar, 10 µm.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BC355C" w:rsidRPr="00FE7A8C">
        <w:rPr>
          <w:rFonts w:ascii="Arial" w:hAnsi="Arial" w:cs="Arial"/>
          <w:color w:val="000000" w:themeColor="text1"/>
          <w:sz w:val="20"/>
          <w:szCs w:val="20"/>
        </w:rPr>
        <w:t xml:space="preserve">The calibration bar was set from 0.1 to 1.5.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(B)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Normalized CFP/FRET ratio of vimentin IF tension.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(C)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Representative trace map and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(D)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variations in membrane potential measured using a whole-cell patch clamp. Average of ≥3 biologically independent replicates ± SEM. **p &lt; 0.01, ****p &lt; 0.00</w:t>
      </w:r>
      <w:r w:rsidR="00CB6267" w:rsidRPr="00FE7A8C">
        <w:rPr>
          <w:rFonts w:ascii="Arial" w:hAnsi="Arial" w:cs="Arial"/>
          <w:color w:val="000000" w:themeColor="text1"/>
          <w:sz w:val="20"/>
          <w:szCs w:val="20"/>
        </w:rPr>
        <w:t>0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>1.</w:t>
      </w:r>
    </w:p>
    <w:p w14:paraId="17C8F402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p w14:paraId="1345BF68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E7A8C">
        <w:rPr>
          <w:rFonts w:ascii="Arial" w:hAnsi="Arial" w:cs="Arial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785E7336" wp14:editId="5A76E32A">
            <wp:extent cx="4127500" cy="5368333"/>
            <wp:effectExtent l="0" t="0" r="0" b="0"/>
            <wp:docPr id="1354822993" name="图片 1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22993" name="图片 14" descr="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55" cy="537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8D15" w14:textId="59B9DA27" w:rsidR="00F76360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Figure S6. </w:t>
      </w:r>
      <w:r w:rsidRPr="00FE7A8C">
        <w:rPr>
          <w:rFonts w:ascii="Arial" w:hAnsi="Arial" w:cs="Arial"/>
          <w:b/>
          <w:bCs/>
          <w:color w:val="000000" w:themeColor="text1"/>
          <w:kern w:val="0"/>
          <w:sz w:val="20"/>
          <w:szCs w:val="20"/>
        </w:rPr>
        <w:t>Proteomic analysis by label-free LC–MS (supplementary to Figure 8).</w:t>
      </w:r>
      <w:r w:rsidRPr="00FE7A8C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(A, B)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Relative number of identified proteins (LFQ response) analyzed by subcellular localization. The percentage in parentheses represents the enriched types of proteins.</w:t>
      </w:r>
      <w:r w:rsidRPr="00FE7A8C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(C, D) 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KEGG enrichment analysis ranked by p-value.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(E)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Relative changes in label-free quantification intensity corresponding to total proteins,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(F)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microfilaments, and </w:t>
      </w:r>
      <w:r w:rsidRPr="00FE7A8C">
        <w:rPr>
          <w:rFonts w:ascii="Arial" w:hAnsi="Arial" w:cs="Arial"/>
          <w:b/>
          <w:bCs/>
          <w:color w:val="000000" w:themeColor="text1"/>
          <w:sz w:val="20"/>
          <w:szCs w:val="20"/>
        </w:rPr>
        <w:t>(G)</w:t>
      </w:r>
      <w:r w:rsidRPr="00FE7A8C">
        <w:rPr>
          <w:rFonts w:ascii="Arial" w:hAnsi="Arial" w:cs="Arial"/>
          <w:color w:val="000000" w:themeColor="text1"/>
          <w:sz w:val="20"/>
          <w:szCs w:val="20"/>
        </w:rPr>
        <w:t xml:space="preserve"> microtubules.</w:t>
      </w:r>
    </w:p>
    <w:p w14:paraId="670844A0" w14:textId="77777777" w:rsidR="00C47E8E" w:rsidRPr="00FE7A8C" w:rsidRDefault="00C47E8E" w:rsidP="00420176">
      <w:pPr>
        <w:spacing w:line="360" w:lineRule="auto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sectPr w:rsidR="00C47E8E" w:rsidRPr="00FE7A8C" w:rsidSect="00C47E8E">
      <w:footerReference w:type="default" r:id="rId12"/>
      <w:endnotePr>
        <w:numFmt w:val="decimal"/>
      </w:endnotePr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FAB92" w14:textId="77777777" w:rsidR="00657459" w:rsidRDefault="00657459">
      <w:pPr>
        <w:rPr>
          <w:rFonts w:hint="eastAsia"/>
        </w:rPr>
      </w:pPr>
      <w:r>
        <w:separator/>
      </w:r>
    </w:p>
  </w:endnote>
  <w:endnote w:type="continuationSeparator" w:id="0">
    <w:p w14:paraId="6AEBEA4E" w14:textId="77777777" w:rsidR="00657459" w:rsidRDefault="0065745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5127814"/>
      <w:docPartObj>
        <w:docPartGallery w:val="Page Numbers (Bottom of Page)"/>
        <w:docPartUnique/>
      </w:docPartObj>
    </w:sdtPr>
    <w:sdtContent>
      <w:p w14:paraId="1DF5A88A" w14:textId="77777777" w:rsidR="00FC362D" w:rsidRPr="00665228" w:rsidRDefault="00000000">
        <w:pPr>
          <w:pStyle w:val="ae"/>
          <w:jc w:val="right"/>
          <w:rPr>
            <w:rFonts w:hint="eastAsia"/>
          </w:rPr>
        </w:pPr>
        <w:r w:rsidRPr="0028198A">
          <w:fldChar w:fldCharType="begin"/>
        </w:r>
        <w:r w:rsidRPr="00665228">
          <w:instrText xml:space="preserve"> PAGE   \* MERGEFORMAT </w:instrText>
        </w:r>
        <w:r w:rsidRPr="0028198A">
          <w:fldChar w:fldCharType="separate"/>
        </w:r>
        <w:r>
          <w:rPr>
            <w:noProof/>
          </w:rPr>
          <w:t>1</w:t>
        </w:r>
        <w:r w:rsidRPr="0028198A">
          <w:fldChar w:fldCharType="end"/>
        </w:r>
      </w:p>
    </w:sdtContent>
  </w:sdt>
  <w:p w14:paraId="744F6748" w14:textId="77777777" w:rsidR="00FC362D" w:rsidRPr="00665228" w:rsidRDefault="00FC362D">
    <w:pPr>
      <w:pStyle w:val="a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B6FEE" w14:textId="77777777" w:rsidR="00657459" w:rsidRDefault="00657459">
      <w:pPr>
        <w:rPr>
          <w:rFonts w:hint="eastAsia"/>
        </w:rPr>
      </w:pPr>
      <w:r>
        <w:separator/>
      </w:r>
    </w:p>
  </w:footnote>
  <w:footnote w:type="continuationSeparator" w:id="0">
    <w:p w14:paraId="1DD16A3B" w14:textId="77777777" w:rsidR="00657459" w:rsidRDefault="0065745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E8E"/>
    <w:rsid w:val="000600B0"/>
    <w:rsid w:val="00061423"/>
    <w:rsid w:val="0009059A"/>
    <w:rsid w:val="00265D1B"/>
    <w:rsid w:val="002F031C"/>
    <w:rsid w:val="0034540B"/>
    <w:rsid w:val="00420176"/>
    <w:rsid w:val="004E2385"/>
    <w:rsid w:val="0055525F"/>
    <w:rsid w:val="00585941"/>
    <w:rsid w:val="005A760A"/>
    <w:rsid w:val="00657459"/>
    <w:rsid w:val="00664016"/>
    <w:rsid w:val="006F1938"/>
    <w:rsid w:val="0074490E"/>
    <w:rsid w:val="009309E8"/>
    <w:rsid w:val="00A90201"/>
    <w:rsid w:val="00B97354"/>
    <w:rsid w:val="00BC355C"/>
    <w:rsid w:val="00C47E8E"/>
    <w:rsid w:val="00CA3FE4"/>
    <w:rsid w:val="00CB6267"/>
    <w:rsid w:val="00D6265E"/>
    <w:rsid w:val="00DA41A9"/>
    <w:rsid w:val="00E510E7"/>
    <w:rsid w:val="00E56A6F"/>
    <w:rsid w:val="00E750C4"/>
    <w:rsid w:val="00EB5266"/>
    <w:rsid w:val="00F100DA"/>
    <w:rsid w:val="00F60D25"/>
    <w:rsid w:val="00F76360"/>
    <w:rsid w:val="00FC362D"/>
    <w:rsid w:val="00FE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D7D70"/>
  <w15:chartTrackingRefBased/>
  <w15:docId w15:val="{CAC86A37-B661-4E01-9ACA-3DE2E01D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E8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9020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E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E8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E8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E8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E8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E8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E8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E8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1"/>
    <w:basedOn w:val="1"/>
    <w:link w:val="12"/>
    <w:qFormat/>
    <w:rsid w:val="00A90201"/>
    <w:pPr>
      <w:spacing w:before="120" w:after="120" w:line="360" w:lineRule="auto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12">
    <w:name w:val="标题1 字符"/>
    <w:basedOn w:val="a0"/>
    <w:link w:val="11"/>
    <w:rsid w:val="00A90201"/>
    <w:rPr>
      <w:rFonts w:ascii="Times New Roman" w:eastAsia="Times New Roman" w:hAnsi="Times New Roman" w:cs="Times New Roman"/>
      <w:b/>
      <w:bCs/>
      <w:color w:val="000000" w:themeColor="text1"/>
      <w:kern w:val="44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A9020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C47E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47E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47E8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7E8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7E8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47E8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47E8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47E8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47E8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47E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7E8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47E8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7E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47E8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7E8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47E8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47E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47E8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47E8E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C47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C47E8E"/>
    <w:rPr>
      <w:sz w:val="18"/>
      <w:szCs w:val="18"/>
    </w:rPr>
  </w:style>
  <w:style w:type="character" w:styleId="af0">
    <w:name w:val="line number"/>
    <w:basedOn w:val="a0"/>
    <w:uiPriority w:val="99"/>
    <w:semiHidden/>
    <w:unhideWhenUsed/>
    <w:rsid w:val="00C47E8E"/>
  </w:style>
  <w:style w:type="paragraph" w:styleId="af1">
    <w:name w:val="header"/>
    <w:basedOn w:val="a"/>
    <w:link w:val="af2"/>
    <w:uiPriority w:val="99"/>
    <w:unhideWhenUsed/>
    <w:rsid w:val="00B973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2">
    <w:name w:val="页眉 字符"/>
    <w:basedOn w:val="a0"/>
    <w:link w:val="af1"/>
    <w:uiPriority w:val="99"/>
    <w:rsid w:val="00B973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774</Words>
  <Characters>4414</Characters>
  <Application>Microsoft Office Word</Application>
  <DocSecurity>0</DocSecurity>
  <Lines>36</Lines>
  <Paragraphs>10</Paragraphs>
  <ScaleCrop>false</ScaleCrop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子慧 郑</dc:creator>
  <cp:keywords/>
  <dc:description/>
  <cp:lastModifiedBy>子慧 郑</cp:lastModifiedBy>
  <cp:revision>22</cp:revision>
  <dcterms:created xsi:type="dcterms:W3CDTF">2024-10-17T14:21:00Z</dcterms:created>
  <dcterms:modified xsi:type="dcterms:W3CDTF">2025-03-03T10:51:00Z</dcterms:modified>
</cp:coreProperties>
</file>