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260E1" w14:textId="77777777" w:rsidR="004752EF" w:rsidRDefault="004752EF" w:rsidP="004752EF">
      <w:pPr>
        <w:spacing w:line="480" w:lineRule="auto"/>
        <w:rPr>
          <w:rFonts w:ascii="Times New Roman" w:hAnsi="Times New Roman"/>
          <w:b/>
          <w:sz w:val="24"/>
        </w:rPr>
      </w:pPr>
      <w:r w:rsidRPr="008F1105">
        <w:rPr>
          <w:rFonts w:ascii="Times New Roman" w:hAnsi="Times New Roman"/>
          <w:b/>
          <w:sz w:val="24"/>
        </w:rPr>
        <w:t>Figure</w:t>
      </w:r>
      <w:r>
        <w:rPr>
          <w:rFonts w:ascii="Times New Roman" w:hAnsi="Times New Roman" w:hint="eastAsia"/>
          <w:b/>
          <w:sz w:val="24"/>
        </w:rPr>
        <w:t>S1</w:t>
      </w:r>
      <w:r w:rsidRPr="008F1105">
        <w:rPr>
          <w:rFonts w:ascii="Times New Roman" w:hAnsi="Times New Roman"/>
          <w:b/>
          <w:sz w:val="24"/>
        </w:rPr>
        <w:t xml:space="preserve">. </w:t>
      </w:r>
      <w:r w:rsidRPr="00622D0B">
        <w:rPr>
          <w:rFonts w:ascii="Times New Roman" w:hAnsi="Times New Roman"/>
          <w:b/>
          <w:sz w:val="24"/>
        </w:rPr>
        <w:t xml:space="preserve">Effect of </w:t>
      </w:r>
      <w:r>
        <w:rPr>
          <w:rFonts w:ascii="Times New Roman" w:hAnsi="Times New Roman" w:hint="eastAsia"/>
          <w:b/>
          <w:sz w:val="24"/>
        </w:rPr>
        <w:t>glucose</w:t>
      </w:r>
      <w:r w:rsidRPr="00622D0B">
        <w:rPr>
          <w:rFonts w:ascii="Times New Roman" w:hAnsi="Times New Roman"/>
          <w:b/>
          <w:sz w:val="24"/>
        </w:rPr>
        <w:t xml:space="preserve"> stimulation on podocyte differentiation</w:t>
      </w:r>
    </w:p>
    <w:p w14:paraId="595B5AA6" w14:textId="200A4C00" w:rsidR="004752EF" w:rsidRDefault="004752EF" w:rsidP="004752EF">
      <w:pPr>
        <w:spacing w:line="480" w:lineRule="auto"/>
        <w:ind w:firstLineChars="200" w:firstLine="480"/>
        <w:rPr>
          <w:rFonts w:ascii="Times New Roman" w:hAnsi="Times New Roman"/>
          <w:bCs/>
          <w:sz w:val="24"/>
        </w:rPr>
      </w:pPr>
      <w:r w:rsidRPr="00622D0B">
        <w:rPr>
          <w:rFonts w:ascii="Times New Roman" w:hAnsi="Times New Roman"/>
          <w:sz w:val="24"/>
        </w:rPr>
        <w:t>Immortalized podocytes</w:t>
      </w:r>
      <w:r>
        <w:rPr>
          <w:rFonts w:ascii="Times New Roman" w:hAnsi="Times New Roman" w:hint="eastAsia"/>
          <w:sz w:val="24"/>
        </w:rPr>
        <w:t xml:space="preserve"> (u</w:t>
      </w:r>
      <w:r w:rsidRPr="00622D0B">
        <w:rPr>
          <w:rFonts w:ascii="Times New Roman" w:hAnsi="Times New Roman"/>
          <w:sz w:val="24"/>
        </w:rPr>
        <w:t>ndifferentiated</w:t>
      </w:r>
      <w:r>
        <w:rPr>
          <w:rFonts w:ascii="Times New Roman" w:hAnsi="Times New Roman" w:hint="eastAsia"/>
          <w:sz w:val="24"/>
        </w:rPr>
        <w:t>, UD)</w:t>
      </w:r>
      <w:r w:rsidRPr="00622D0B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transferred to 37</w:t>
      </w:r>
      <w:r>
        <w:rPr>
          <w:rFonts w:ascii="Times New Roman" w:hAnsi="Times New Roman"/>
          <w:sz w:val="24"/>
        </w:rPr>
        <w:t>˚</w:t>
      </w:r>
      <w:r>
        <w:rPr>
          <w:rFonts w:ascii="Times New Roman" w:hAnsi="Times New Roman" w:hint="eastAsia"/>
          <w:sz w:val="24"/>
        </w:rPr>
        <w:t>C, 5% CO2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 w:hint="eastAsia"/>
          <w:sz w:val="24"/>
        </w:rPr>
        <w:t xml:space="preserve"> and interferon-</w:t>
      </w:r>
      <w:r>
        <w:rPr>
          <w:rFonts w:ascii="Times New Roman" w:hAnsi="Times New Roman" w:hint="eastAsia"/>
          <w:sz w:val="24"/>
        </w:rPr>
        <w:t>γ</w:t>
      </w:r>
      <w:r>
        <w:rPr>
          <w:rFonts w:ascii="Times New Roman" w:hAnsi="Times New Roman" w:hint="eastAsia"/>
          <w:sz w:val="24"/>
        </w:rPr>
        <w:t xml:space="preserve"> free incubators to induce differentiation for at least 14 days, then </w:t>
      </w:r>
      <w:r>
        <w:rPr>
          <w:rFonts w:ascii="Times New Roman" w:hAnsi="Times New Roman"/>
          <w:sz w:val="24"/>
        </w:rPr>
        <w:t xml:space="preserve">incubated </w:t>
      </w:r>
      <w:r>
        <w:rPr>
          <w:rFonts w:ascii="Times New Roman" w:hAnsi="Times New Roman" w:hint="eastAsia"/>
          <w:sz w:val="24"/>
        </w:rPr>
        <w:t xml:space="preserve">them </w:t>
      </w:r>
      <w:r>
        <w:rPr>
          <w:rFonts w:ascii="Times New Roman" w:hAnsi="Times New Roman"/>
          <w:sz w:val="24"/>
        </w:rPr>
        <w:t xml:space="preserve">with 11,15,30 mM glucose for 2 days. The expression of </w:t>
      </w:r>
      <w:r>
        <w:rPr>
          <w:rFonts w:ascii="Times New Roman" w:hAnsi="Times New Roman" w:hint="eastAsia"/>
          <w:sz w:val="24"/>
        </w:rPr>
        <w:t>naphrin and podocin</w:t>
      </w:r>
      <w:r>
        <w:rPr>
          <w:rFonts w:ascii="Times New Roman" w:hAnsi="Times New Roman"/>
          <w:sz w:val="24"/>
        </w:rPr>
        <w:t xml:space="preserve"> in podocytes,(A)</w:t>
      </w:r>
      <w:r>
        <w:rPr>
          <w:rFonts w:ascii="Times New Roman" w:hAnsi="Times New Roman"/>
          <w:color w:val="000000"/>
          <w:spacing w:val="12"/>
          <w:sz w:val="24"/>
        </w:rPr>
        <w:t> representative blots.  (B</w:t>
      </w:r>
      <w:r>
        <w:rPr>
          <w:rFonts w:ascii="Times New Roman" w:hAnsi="Times New Roman" w:hint="eastAsia"/>
          <w:color w:val="000000"/>
          <w:spacing w:val="12"/>
          <w:sz w:val="24"/>
        </w:rPr>
        <w:t>/</w:t>
      </w:r>
      <w:r>
        <w:rPr>
          <w:rFonts w:ascii="Times New Roman" w:hAnsi="Times New Roman"/>
          <w:color w:val="000000"/>
          <w:spacing w:val="12"/>
          <w:sz w:val="24"/>
        </w:rPr>
        <w:t>C) representative of the result of densitometric analysis,</w:t>
      </w:r>
      <w:r>
        <w:rPr>
          <w:rFonts w:ascii="Times New Roman" w:hAnsi="Times New Roman" w:hint="eastAsia"/>
          <w:color w:val="000000"/>
          <w:spacing w:val="12"/>
          <w:sz w:val="24"/>
        </w:rPr>
        <w:t xml:space="preserve"> </w:t>
      </w:r>
      <w:r>
        <w:rPr>
          <w:rFonts w:ascii="Times New Roman" w:hAnsi="Times New Roman"/>
          <w:bCs/>
          <w:sz w:val="24"/>
        </w:rPr>
        <w:t>(Data are the mean ± S.D</w:t>
      </w:r>
      <w:r>
        <w:rPr>
          <w:rFonts w:ascii="Times New Roman" w:hAnsi="Times New Roman" w:hint="eastAsia"/>
          <w:bCs/>
          <w:sz w:val="24"/>
        </w:rPr>
        <w:t>;</w:t>
      </w:r>
      <w:r>
        <w:rPr>
          <w:rFonts w:ascii="Times New Roman" w:hAnsi="Times New Roman"/>
          <w:bCs/>
          <w:sz w:val="24"/>
        </w:rPr>
        <w:t xml:space="preserve"> *</w:t>
      </w:r>
      <w:r>
        <w:rPr>
          <w:rFonts w:ascii="Times New Roman" w:hAnsi="Times New Roman"/>
          <w:bCs/>
          <w:i/>
          <w:iCs/>
          <w:sz w:val="24"/>
        </w:rPr>
        <w:t>P</w:t>
      </w:r>
      <w:r>
        <w:rPr>
          <w:rFonts w:ascii="Times New Roman" w:hAnsi="Times New Roman"/>
          <w:bCs/>
          <w:sz w:val="24"/>
        </w:rPr>
        <w:t xml:space="preserve"> &lt; 0.05 vs </w:t>
      </w:r>
      <w:r>
        <w:rPr>
          <w:rFonts w:ascii="Times New Roman" w:hAnsi="Times New Roman" w:hint="eastAsia"/>
          <w:bCs/>
          <w:sz w:val="24"/>
        </w:rPr>
        <w:t>UD</w:t>
      </w:r>
      <w:r>
        <w:rPr>
          <w:rFonts w:ascii="Times New Roman" w:hAnsi="Times New Roman"/>
          <w:bCs/>
          <w:sz w:val="24"/>
        </w:rPr>
        <w:t xml:space="preserve">, </w:t>
      </w:r>
      <w:r>
        <w:rPr>
          <w:rFonts w:ascii="Times New Roman" w:hAnsi="Times New Roman" w:hint="eastAsia"/>
          <w:bCs/>
          <w:sz w:val="24"/>
        </w:rPr>
        <w:t>**</w:t>
      </w:r>
      <w:r>
        <w:rPr>
          <w:rFonts w:ascii="Times New Roman" w:hAnsi="Times New Roman"/>
          <w:bCs/>
          <w:i/>
          <w:iCs/>
          <w:sz w:val="24"/>
        </w:rPr>
        <w:t>P</w:t>
      </w:r>
      <w:r>
        <w:rPr>
          <w:rFonts w:ascii="Times New Roman" w:hAnsi="Times New Roman"/>
          <w:bCs/>
          <w:sz w:val="24"/>
        </w:rPr>
        <w:t xml:space="preserve"> &lt; 0.0</w:t>
      </w:r>
      <w:r>
        <w:rPr>
          <w:rFonts w:ascii="Times New Roman" w:hAnsi="Times New Roman" w:hint="eastAsia"/>
          <w:bCs/>
          <w:sz w:val="24"/>
        </w:rPr>
        <w:t>1</w:t>
      </w:r>
      <w:r>
        <w:rPr>
          <w:rFonts w:ascii="Times New Roman" w:hAnsi="Times New Roman"/>
          <w:bCs/>
          <w:sz w:val="24"/>
        </w:rPr>
        <w:t xml:space="preserve"> vs </w:t>
      </w:r>
      <w:r>
        <w:rPr>
          <w:rFonts w:ascii="Times New Roman" w:hAnsi="Times New Roman" w:hint="eastAsia"/>
          <w:bCs/>
          <w:sz w:val="24"/>
        </w:rPr>
        <w:t>UD</w:t>
      </w:r>
      <w:r>
        <w:rPr>
          <w:rFonts w:ascii="Times New Roman" w:hAnsi="Times New Roman"/>
          <w:bCs/>
          <w:sz w:val="24"/>
        </w:rPr>
        <w:t>, n = 3)</w:t>
      </w:r>
      <w:r w:rsidRPr="0025433D">
        <w:rPr>
          <w:rFonts w:ascii="Times New Roman" w:hAnsi="Times New Roman" w:hint="eastAsia"/>
          <w:bCs/>
          <w:sz w:val="24"/>
        </w:rPr>
        <w:t xml:space="preserve"> </w:t>
      </w:r>
      <w:r>
        <w:rPr>
          <w:rFonts w:ascii="Times New Roman" w:hAnsi="Times New Roman" w:hint="eastAsia"/>
          <w:bCs/>
          <w:sz w:val="24"/>
        </w:rPr>
        <w:t>.</w:t>
      </w:r>
    </w:p>
    <w:p w14:paraId="46125685" w14:textId="77777777" w:rsidR="004752EF" w:rsidRDefault="004752EF">
      <w:pPr>
        <w:widowControl/>
        <w:jc w:val="left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br w:type="page"/>
      </w:r>
    </w:p>
    <w:p w14:paraId="2BC07827" w14:textId="77777777" w:rsidR="004752EF" w:rsidRDefault="004752EF" w:rsidP="004752EF">
      <w:pPr>
        <w:spacing w:line="480" w:lineRule="auto"/>
        <w:rPr>
          <w:rFonts w:ascii="Times New Roman" w:hAnsi="Times New Roman" w:hint="eastAsia"/>
          <w:b/>
          <w:sz w:val="24"/>
        </w:rPr>
      </w:pPr>
      <w:r w:rsidRPr="008F1105">
        <w:rPr>
          <w:rFonts w:ascii="Times New Roman" w:hAnsi="Times New Roman"/>
          <w:b/>
          <w:sz w:val="24"/>
        </w:rPr>
        <w:lastRenderedPageBreak/>
        <w:t>Figure</w:t>
      </w:r>
      <w:r>
        <w:rPr>
          <w:rFonts w:ascii="Times New Roman" w:hAnsi="Times New Roman" w:hint="eastAsia"/>
          <w:b/>
          <w:sz w:val="24"/>
        </w:rPr>
        <w:t>S1</w:t>
      </w:r>
      <w:r w:rsidRPr="008F1105">
        <w:rPr>
          <w:rFonts w:ascii="Times New Roman" w:hAnsi="Times New Roman"/>
          <w:b/>
          <w:sz w:val="24"/>
        </w:rPr>
        <w:t xml:space="preserve">. </w:t>
      </w:r>
      <w:r w:rsidRPr="00622D0B">
        <w:rPr>
          <w:rFonts w:ascii="Times New Roman" w:hAnsi="Times New Roman"/>
          <w:b/>
          <w:sz w:val="24"/>
        </w:rPr>
        <w:t xml:space="preserve">Effect of </w:t>
      </w:r>
      <w:r>
        <w:rPr>
          <w:rFonts w:ascii="Times New Roman" w:hAnsi="Times New Roman" w:hint="eastAsia"/>
          <w:b/>
          <w:sz w:val="24"/>
        </w:rPr>
        <w:t>glucose</w:t>
      </w:r>
      <w:r w:rsidRPr="00622D0B">
        <w:rPr>
          <w:rFonts w:ascii="Times New Roman" w:hAnsi="Times New Roman"/>
          <w:b/>
          <w:sz w:val="24"/>
        </w:rPr>
        <w:t xml:space="preserve"> stimulation on podocyte differentiation</w:t>
      </w:r>
      <w:r>
        <w:rPr>
          <w:rFonts w:ascii="Times New Roman" w:hAnsi="Times New Roman" w:hint="eastAsia"/>
          <w:b/>
          <w:sz w:val="24"/>
        </w:rPr>
        <w:t>.</w:t>
      </w:r>
    </w:p>
    <w:p w14:paraId="3113A4ED" w14:textId="1488AE46" w:rsidR="00AC431D" w:rsidRDefault="004752EF" w:rsidP="004752EF">
      <w:pPr>
        <w:rPr>
          <w:rFonts w:hint="eastAsia"/>
        </w:rPr>
      </w:pPr>
      <w:r>
        <w:rPr>
          <w:noProof/>
        </w:rPr>
        <w:drawing>
          <wp:inline distT="0" distB="0" distL="0" distR="0" wp14:anchorId="051FB070" wp14:editId="0AEBD64B">
            <wp:extent cx="5274310" cy="7443470"/>
            <wp:effectExtent l="0" t="0" r="2540" b="5080"/>
            <wp:docPr id="1590314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3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2D9F6" w14:textId="77777777" w:rsidR="00251833" w:rsidRDefault="00251833" w:rsidP="004752EF">
      <w:pPr>
        <w:rPr>
          <w:rFonts w:hint="eastAsia"/>
        </w:rPr>
      </w:pPr>
      <w:r>
        <w:separator/>
      </w:r>
    </w:p>
  </w:endnote>
  <w:endnote w:type="continuationSeparator" w:id="0">
    <w:p w14:paraId="49E8BAEB" w14:textId="77777777" w:rsidR="00251833" w:rsidRDefault="00251833" w:rsidP="004752E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F4114" w14:textId="77777777" w:rsidR="00251833" w:rsidRDefault="00251833" w:rsidP="004752EF">
      <w:pPr>
        <w:rPr>
          <w:rFonts w:hint="eastAsia"/>
        </w:rPr>
      </w:pPr>
      <w:r>
        <w:separator/>
      </w:r>
    </w:p>
  </w:footnote>
  <w:footnote w:type="continuationSeparator" w:id="0">
    <w:p w14:paraId="25537F4E" w14:textId="77777777" w:rsidR="00251833" w:rsidRDefault="00251833" w:rsidP="004752E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E15"/>
    <w:rsid w:val="00251833"/>
    <w:rsid w:val="00393319"/>
    <w:rsid w:val="004752EF"/>
    <w:rsid w:val="00AA0E15"/>
    <w:rsid w:val="00AC431D"/>
    <w:rsid w:val="00F3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32767"/>
  <w15:chartTrackingRefBased/>
  <w15:docId w15:val="{10F4D4D4-102A-4B2D-AB72-1B8159C1B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2EF"/>
    <w:pPr>
      <w:widowControl w:val="0"/>
      <w:jc w:val="both"/>
    </w:pPr>
    <w:rPr>
      <w:rFonts w:ascii="Calibri" w:eastAsia="宋体" w:hAnsi="Calibri" w:cs="Times New Roman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A0E1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0E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0E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0E15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0E15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0E15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0E15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0E15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0E15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A0E1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A0E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A0E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A0E1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A0E1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A0E1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A0E1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A0E1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A0E1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A0E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AA0E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0E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AA0E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A0E15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AA0E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A0E15"/>
    <w:pPr>
      <w:ind w:left="720"/>
      <w:contextualSpacing/>
    </w:pPr>
    <w:rPr>
      <w:rFonts w:asciiTheme="minorHAnsi" w:eastAsiaTheme="minorEastAsia" w:hAnsiTheme="minorHAnsi" w:cstheme="minorBidi"/>
      <w:szCs w:val="22"/>
      <w14:ligatures w14:val="standardContextual"/>
    </w:rPr>
  </w:style>
  <w:style w:type="character" w:styleId="aa">
    <w:name w:val="Intense Emphasis"/>
    <w:basedOn w:val="a0"/>
    <w:uiPriority w:val="21"/>
    <w:qFormat/>
    <w:rsid w:val="00AA0E1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A0E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Cs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AA0E1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A0E15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752EF"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4752E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752E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4752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建强 束</dc:creator>
  <cp:keywords/>
  <dc:description/>
  <cp:lastModifiedBy>建强 束</cp:lastModifiedBy>
  <cp:revision>2</cp:revision>
  <dcterms:created xsi:type="dcterms:W3CDTF">2025-01-23T02:26:00Z</dcterms:created>
  <dcterms:modified xsi:type="dcterms:W3CDTF">2025-01-23T02:27:00Z</dcterms:modified>
</cp:coreProperties>
</file>