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79C2" w14:textId="510C6E88" w:rsidR="00F363DE" w:rsidRPr="00A71BEC" w:rsidRDefault="003403E3" w:rsidP="00EE56FE">
      <w:pPr>
        <w:spacing w:line="480" w:lineRule="auto"/>
        <w:rPr>
          <w:b/>
          <w:bCs/>
          <w:sz w:val="20"/>
          <w:szCs w:val="20"/>
        </w:rPr>
      </w:pPr>
      <w:r w:rsidRPr="00D353C9">
        <w:rPr>
          <w:b/>
          <w:bCs/>
          <w:sz w:val="20"/>
          <w:szCs w:val="20"/>
        </w:rPr>
        <w:t xml:space="preserve">Supplementary </w:t>
      </w:r>
      <w:r w:rsidR="00C05359" w:rsidRPr="009133C6">
        <w:rPr>
          <w:rFonts w:eastAsia="Times New Roman"/>
          <w:b/>
          <w:sz w:val="20"/>
        </w:rPr>
        <w:t xml:space="preserve">Data </w:t>
      </w:r>
      <w:r w:rsidR="00F4395A">
        <w:rPr>
          <w:rFonts w:eastAsiaTheme="minorEastAsia" w:hint="eastAsia"/>
          <w:b/>
          <w:sz w:val="20"/>
        </w:rPr>
        <w:t>S</w:t>
      </w:r>
      <w:r w:rsidR="00C05359" w:rsidRPr="009133C6">
        <w:rPr>
          <w:rFonts w:eastAsia="Times New Roman"/>
          <w:b/>
          <w:sz w:val="20"/>
        </w:rPr>
        <w:t>1.1</w:t>
      </w:r>
      <w:r w:rsidR="00F363DE" w:rsidRPr="00A71BEC">
        <w:rPr>
          <w:b/>
          <w:bCs/>
          <w:sz w:val="20"/>
          <w:szCs w:val="20"/>
        </w:rPr>
        <w:t xml:space="preserve"> </w:t>
      </w:r>
      <w:r w:rsidR="002D21E9" w:rsidRPr="00A71BEC">
        <w:rPr>
          <w:b/>
          <w:bCs/>
          <w:sz w:val="20"/>
          <w:szCs w:val="20"/>
        </w:rPr>
        <w:t>Dual</w:t>
      </w:r>
      <w:r w:rsidR="008C07A6" w:rsidRPr="00A71BEC">
        <w:rPr>
          <w:b/>
          <w:bCs/>
          <w:sz w:val="20"/>
          <w:szCs w:val="20"/>
        </w:rPr>
        <w:t>-Platform Metabolomics Sample Preparation</w:t>
      </w:r>
    </w:p>
    <w:p w14:paraId="4286D43D" w14:textId="0FD18352" w:rsidR="00B919F5" w:rsidRPr="00A71BEC" w:rsidRDefault="002D21E9" w:rsidP="00EE56FE">
      <w:pPr>
        <w:widowControl/>
        <w:spacing w:line="480" w:lineRule="auto"/>
        <w:ind w:firstLine="420"/>
        <w:rPr>
          <w:kern w:val="0"/>
          <w:sz w:val="20"/>
          <w:szCs w:val="20"/>
          <w14:ligatures w14:val="none"/>
        </w:rPr>
      </w:pPr>
      <w:r w:rsidRPr="00A71BEC">
        <w:rPr>
          <w:kern w:val="0"/>
          <w:sz w:val="20"/>
          <w:szCs w:val="20"/>
          <w14:ligatures w14:val="none"/>
        </w:rPr>
        <w:t xml:space="preserve">Remove the samples stored at -80°C, thaw them in an ice-water mixture, and transfer 150μL of the sample into a 1.5 mL Eppendorf tube; </w:t>
      </w:r>
      <w:r w:rsidR="008E7AE2" w:rsidRPr="00A71BEC">
        <w:rPr>
          <w:kern w:val="0"/>
          <w:sz w:val="20"/>
          <w:szCs w:val="20"/>
          <w14:ligatures w14:val="none"/>
        </w:rPr>
        <w:t>A</w:t>
      </w:r>
      <w:r w:rsidRPr="00A71BEC">
        <w:rPr>
          <w:kern w:val="0"/>
          <w:sz w:val="20"/>
          <w:szCs w:val="20"/>
          <w14:ligatures w14:val="none"/>
        </w:rPr>
        <w:t xml:space="preserve">dd 600μL of protein precipitation agent methanol-acetonitrile (V=2:1, containing mixed internal standards, 4μg/mL), vortex for 1 minute. Sonicate in an ice-water bath for 10 minutes, then let it stand overnight at -40°C. Centrifuge for 10 minutes (12000rpm, 4°C), withdraw 150μL of supernatant with a syringe, filter through a 0.22μm organic phase needle filter, transfer to an LC autosampler vial, store at -80°C until LC-MS analysis. Simultaneously, take 150μL of supernatant and transfer </w:t>
      </w:r>
      <w:r w:rsidR="00EE56FE" w:rsidRPr="00A71BEC">
        <w:rPr>
          <w:kern w:val="0"/>
          <w:sz w:val="20"/>
          <w:szCs w:val="20"/>
          <w14:ligatures w14:val="none"/>
        </w:rPr>
        <w:t xml:space="preserve">it </w:t>
      </w:r>
      <w:r w:rsidRPr="00A71BEC">
        <w:rPr>
          <w:kern w:val="0"/>
          <w:sz w:val="20"/>
          <w:szCs w:val="20"/>
          <w14:ligatures w14:val="none"/>
        </w:rPr>
        <w:t xml:space="preserve">to a glass derivatization vial, dry the sample using a centrifugal concentrator. Add 80μL of methoxyamine hydrochloride pyridine solution (15mg/mL) to the glass derivatization vial, </w:t>
      </w:r>
      <w:r w:rsidR="00EE56FE" w:rsidRPr="00A71BEC">
        <w:rPr>
          <w:kern w:val="0"/>
          <w:sz w:val="20"/>
          <w:szCs w:val="20"/>
          <w14:ligatures w14:val="none"/>
        </w:rPr>
        <w:t xml:space="preserve">and </w:t>
      </w:r>
      <w:r w:rsidRPr="00A71BEC">
        <w:rPr>
          <w:kern w:val="0"/>
          <w:sz w:val="20"/>
          <w:szCs w:val="20"/>
          <w14:ligatures w14:val="none"/>
        </w:rPr>
        <w:t xml:space="preserve">shake in a 37°C shaking incubator for 60 minutes for </w:t>
      </w:r>
      <w:r w:rsidR="00EE56FE" w:rsidRPr="00A71BEC">
        <w:rPr>
          <w:kern w:val="0"/>
          <w:sz w:val="20"/>
          <w:szCs w:val="20"/>
          <w14:ligatures w14:val="none"/>
        </w:rPr>
        <w:t xml:space="preserve">an </w:t>
      </w:r>
      <w:r w:rsidRPr="00A71BEC">
        <w:rPr>
          <w:kern w:val="0"/>
          <w:sz w:val="20"/>
          <w:szCs w:val="20"/>
          <w14:ligatures w14:val="none"/>
        </w:rPr>
        <w:t>oximation reaction. After removing the sample, add 50μL of BSTFA derivatization reagent and 20μL of n-hexane, add 10 internal standards (C8/C9/C10/C12/C14/C16/C18/C20/C22/C24, all in chloroform) 10μL, react at 70°C for 60 minutes. After removing the sample, let it sit at room temperature for 30 minutes for GC-MS metabolomics analysis. Quality control samples (QC) were prepared by mixing equal volumes of extraction liquids from all samples. Note: All extraction reagents were pre-cooled at -20°C before use.</w:t>
      </w:r>
      <w:r w:rsidR="00B919F5" w:rsidRPr="00A71BEC">
        <w:rPr>
          <w:color w:val="333333"/>
          <w:sz w:val="20"/>
          <w:szCs w:val="20"/>
          <w:shd w:val="clear" w:color="auto" w:fill="FFFFFF"/>
        </w:rPr>
        <w:br w:type="page"/>
      </w:r>
    </w:p>
    <w:p w14:paraId="4FAA4CE4" w14:textId="602B5602" w:rsidR="000B7F16" w:rsidRPr="00A71BEC" w:rsidRDefault="003403E3" w:rsidP="00EE56FE">
      <w:pPr>
        <w:spacing w:line="480" w:lineRule="auto"/>
        <w:rPr>
          <w:b/>
          <w:bCs/>
          <w:sz w:val="20"/>
          <w:szCs w:val="20"/>
        </w:rPr>
      </w:pPr>
      <w:r w:rsidRPr="00D353C9">
        <w:rPr>
          <w:b/>
          <w:bCs/>
          <w:sz w:val="20"/>
          <w:szCs w:val="20"/>
        </w:rPr>
        <w:lastRenderedPageBreak/>
        <w:t xml:space="preserve">Supplementary </w:t>
      </w:r>
      <w:r w:rsidR="00C05359" w:rsidRPr="009133C6">
        <w:rPr>
          <w:rFonts w:eastAsia="Times New Roman"/>
          <w:b/>
          <w:sz w:val="20"/>
        </w:rPr>
        <w:t xml:space="preserve">Data </w:t>
      </w:r>
      <w:r w:rsidR="005E528B">
        <w:rPr>
          <w:rFonts w:eastAsiaTheme="minorEastAsia" w:hint="eastAsia"/>
          <w:b/>
          <w:sz w:val="20"/>
        </w:rPr>
        <w:t>S</w:t>
      </w:r>
      <w:r w:rsidR="00C05359" w:rsidRPr="009133C6">
        <w:rPr>
          <w:rFonts w:eastAsia="Times New Roman"/>
          <w:b/>
          <w:sz w:val="20"/>
        </w:rPr>
        <w:t>1.2</w:t>
      </w:r>
      <w:r w:rsidRPr="00D353C9">
        <w:rPr>
          <w:b/>
          <w:bCs/>
          <w:sz w:val="20"/>
          <w:szCs w:val="20"/>
        </w:rPr>
        <w:t xml:space="preserve"> </w:t>
      </w:r>
      <w:r w:rsidR="00C14F65" w:rsidRPr="00A71BEC">
        <w:rPr>
          <w:b/>
          <w:bCs/>
          <w:sz w:val="20"/>
          <w:szCs w:val="20"/>
        </w:rPr>
        <w:t xml:space="preserve">Main </w:t>
      </w:r>
      <w:r w:rsidR="008C07A6" w:rsidRPr="00A71BEC">
        <w:rPr>
          <w:b/>
          <w:bCs/>
          <w:sz w:val="20"/>
          <w:szCs w:val="20"/>
        </w:rPr>
        <w:t>Instruments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3240"/>
        <w:gridCol w:w="2738"/>
      </w:tblGrid>
      <w:tr w:rsidR="000B7F16" w:rsidRPr="003403E3" w14:paraId="4B58FBD8" w14:textId="77777777" w:rsidTr="003403E3">
        <w:tc>
          <w:tcPr>
            <w:tcW w:w="2284" w:type="dxa"/>
            <w:tcBorders>
              <w:top w:val="single" w:sz="4" w:space="0" w:color="auto"/>
              <w:bottom w:val="single" w:sz="4" w:space="0" w:color="auto"/>
            </w:tcBorders>
            <w:vAlign w:val="center"/>
          </w:tcPr>
          <w:p w14:paraId="535496A0" w14:textId="0211C24C" w:rsidR="000B7F16" w:rsidRPr="003403E3" w:rsidRDefault="008E7AE2" w:rsidP="000F6693">
            <w:pPr>
              <w:spacing w:line="360" w:lineRule="auto"/>
              <w:rPr>
                <w:b/>
                <w:bCs/>
                <w:sz w:val="16"/>
                <w:szCs w:val="16"/>
              </w:rPr>
            </w:pPr>
            <w:r w:rsidRPr="003403E3">
              <w:rPr>
                <w:b/>
                <w:bCs/>
                <w:sz w:val="16"/>
                <w:szCs w:val="16"/>
              </w:rPr>
              <w:t>Instrumentation</w:t>
            </w:r>
          </w:p>
        </w:tc>
        <w:tc>
          <w:tcPr>
            <w:tcW w:w="3240" w:type="dxa"/>
            <w:tcBorders>
              <w:top w:val="single" w:sz="4" w:space="0" w:color="auto"/>
              <w:bottom w:val="single" w:sz="4" w:space="0" w:color="auto"/>
            </w:tcBorders>
            <w:vAlign w:val="center"/>
          </w:tcPr>
          <w:p w14:paraId="6F23631F" w14:textId="12C53F60" w:rsidR="000B7F16" w:rsidRPr="003403E3" w:rsidRDefault="00C14F65" w:rsidP="000F6693">
            <w:pPr>
              <w:spacing w:line="360" w:lineRule="auto"/>
              <w:rPr>
                <w:b/>
                <w:bCs/>
                <w:sz w:val="16"/>
                <w:szCs w:val="16"/>
              </w:rPr>
            </w:pPr>
            <w:r w:rsidRPr="003403E3">
              <w:rPr>
                <w:b/>
                <w:bCs/>
                <w:sz w:val="16"/>
                <w:szCs w:val="16"/>
              </w:rPr>
              <w:t>Models and specifications</w:t>
            </w:r>
          </w:p>
        </w:tc>
        <w:tc>
          <w:tcPr>
            <w:tcW w:w="2738" w:type="dxa"/>
            <w:tcBorders>
              <w:top w:val="single" w:sz="4" w:space="0" w:color="auto"/>
              <w:bottom w:val="single" w:sz="4" w:space="0" w:color="auto"/>
            </w:tcBorders>
            <w:vAlign w:val="center"/>
          </w:tcPr>
          <w:p w14:paraId="3B9E84CA" w14:textId="00828961" w:rsidR="000B7F16" w:rsidRPr="003403E3" w:rsidRDefault="008E7AE2" w:rsidP="000F6693">
            <w:pPr>
              <w:spacing w:line="360" w:lineRule="auto"/>
              <w:rPr>
                <w:b/>
                <w:bCs/>
                <w:sz w:val="16"/>
                <w:szCs w:val="16"/>
              </w:rPr>
            </w:pPr>
            <w:r w:rsidRPr="003403E3">
              <w:rPr>
                <w:b/>
                <w:bCs/>
                <w:sz w:val="16"/>
                <w:szCs w:val="16"/>
              </w:rPr>
              <w:t>Producers</w:t>
            </w:r>
          </w:p>
        </w:tc>
      </w:tr>
      <w:tr w:rsidR="000B7F16" w:rsidRPr="003403E3" w14:paraId="4262741B" w14:textId="77777777" w:rsidTr="003403E3">
        <w:tc>
          <w:tcPr>
            <w:tcW w:w="2284" w:type="dxa"/>
            <w:tcBorders>
              <w:top w:val="single" w:sz="4" w:space="0" w:color="auto"/>
            </w:tcBorders>
            <w:vAlign w:val="center"/>
            <w:hideMark/>
          </w:tcPr>
          <w:p w14:paraId="2FC26BBB" w14:textId="2F9791E2" w:rsidR="000B7F16" w:rsidRPr="003403E3" w:rsidRDefault="00C14F65" w:rsidP="000F6693">
            <w:pPr>
              <w:widowControl/>
              <w:spacing w:line="360" w:lineRule="auto"/>
              <w:rPr>
                <w:sz w:val="16"/>
                <w:szCs w:val="16"/>
              </w:rPr>
            </w:pPr>
            <w:r w:rsidRPr="003403E3">
              <w:rPr>
                <w:sz w:val="16"/>
                <w:szCs w:val="16"/>
              </w:rPr>
              <w:t>Ultrasonic cleaning machine</w:t>
            </w:r>
          </w:p>
        </w:tc>
        <w:tc>
          <w:tcPr>
            <w:tcW w:w="3240" w:type="dxa"/>
            <w:tcBorders>
              <w:top w:val="single" w:sz="4" w:space="0" w:color="auto"/>
            </w:tcBorders>
            <w:vAlign w:val="center"/>
            <w:hideMark/>
          </w:tcPr>
          <w:p w14:paraId="50ABABBD" w14:textId="77777777" w:rsidR="000B7F16" w:rsidRPr="003403E3" w:rsidRDefault="000B7F16" w:rsidP="000F6693">
            <w:pPr>
              <w:widowControl/>
              <w:spacing w:line="360" w:lineRule="auto"/>
              <w:rPr>
                <w:sz w:val="16"/>
                <w:szCs w:val="16"/>
              </w:rPr>
            </w:pPr>
            <w:r w:rsidRPr="003403E3">
              <w:rPr>
                <w:sz w:val="16"/>
                <w:szCs w:val="16"/>
              </w:rPr>
              <w:t>F-060SD</w:t>
            </w:r>
          </w:p>
        </w:tc>
        <w:tc>
          <w:tcPr>
            <w:tcW w:w="2738" w:type="dxa"/>
            <w:tcBorders>
              <w:top w:val="single" w:sz="4" w:space="0" w:color="auto"/>
            </w:tcBorders>
            <w:vAlign w:val="center"/>
            <w:hideMark/>
          </w:tcPr>
          <w:p w14:paraId="64E86473" w14:textId="399E1D3F" w:rsidR="000B7F16" w:rsidRPr="003403E3" w:rsidRDefault="00C14F65" w:rsidP="000F6693">
            <w:pPr>
              <w:widowControl/>
              <w:spacing w:line="360" w:lineRule="auto"/>
              <w:rPr>
                <w:sz w:val="16"/>
                <w:szCs w:val="16"/>
              </w:rPr>
            </w:pPr>
            <w:r w:rsidRPr="003403E3">
              <w:rPr>
                <w:sz w:val="16"/>
                <w:szCs w:val="16"/>
              </w:rPr>
              <w:t>Shenzhen Fuyang Technology Group Co., Ltd</w:t>
            </w:r>
          </w:p>
        </w:tc>
      </w:tr>
      <w:tr w:rsidR="000B7F16" w:rsidRPr="003403E3" w14:paraId="5DE0E259" w14:textId="77777777" w:rsidTr="003403E3">
        <w:tc>
          <w:tcPr>
            <w:tcW w:w="2284" w:type="dxa"/>
            <w:vAlign w:val="center"/>
            <w:hideMark/>
          </w:tcPr>
          <w:p w14:paraId="560D11F7" w14:textId="3C09D67E" w:rsidR="000B7F16" w:rsidRPr="003403E3" w:rsidRDefault="00C14F65" w:rsidP="000F6693">
            <w:pPr>
              <w:widowControl/>
              <w:spacing w:line="360" w:lineRule="auto"/>
              <w:rPr>
                <w:sz w:val="16"/>
                <w:szCs w:val="16"/>
              </w:rPr>
            </w:pPr>
            <w:r w:rsidRPr="003403E3">
              <w:rPr>
                <w:sz w:val="16"/>
                <w:szCs w:val="16"/>
              </w:rPr>
              <w:t>Vortex Oscillator</w:t>
            </w:r>
          </w:p>
        </w:tc>
        <w:tc>
          <w:tcPr>
            <w:tcW w:w="3240" w:type="dxa"/>
            <w:vAlign w:val="center"/>
            <w:hideMark/>
          </w:tcPr>
          <w:p w14:paraId="4E77089F" w14:textId="77777777" w:rsidR="000B7F16" w:rsidRPr="003403E3" w:rsidRDefault="000B7F16" w:rsidP="000F6693">
            <w:pPr>
              <w:widowControl/>
              <w:spacing w:line="360" w:lineRule="auto"/>
              <w:rPr>
                <w:sz w:val="16"/>
                <w:szCs w:val="16"/>
              </w:rPr>
            </w:pPr>
            <w:r w:rsidRPr="003403E3">
              <w:rPr>
                <w:sz w:val="16"/>
                <w:szCs w:val="16"/>
              </w:rPr>
              <w:t>TYXH-I</w:t>
            </w:r>
          </w:p>
        </w:tc>
        <w:tc>
          <w:tcPr>
            <w:tcW w:w="2738" w:type="dxa"/>
            <w:vAlign w:val="center"/>
            <w:hideMark/>
          </w:tcPr>
          <w:p w14:paraId="47929813" w14:textId="664E3B84" w:rsidR="000B7F16" w:rsidRPr="003403E3" w:rsidRDefault="00C14F65" w:rsidP="000F6693">
            <w:pPr>
              <w:widowControl/>
              <w:spacing w:line="360" w:lineRule="auto"/>
              <w:rPr>
                <w:sz w:val="16"/>
                <w:szCs w:val="16"/>
              </w:rPr>
            </w:pPr>
            <w:r w:rsidRPr="003403E3">
              <w:rPr>
                <w:sz w:val="16"/>
                <w:szCs w:val="16"/>
              </w:rPr>
              <w:t>Shanghai Hannuo Instrument Co., Ltd</w:t>
            </w:r>
          </w:p>
        </w:tc>
      </w:tr>
      <w:tr w:rsidR="000B7F16" w:rsidRPr="003403E3" w14:paraId="63C82C7C" w14:textId="77777777" w:rsidTr="003403E3">
        <w:tc>
          <w:tcPr>
            <w:tcW w:w="2284" w:type="dxa"/>
            <w:vAlign w:val="center"/>
            <w:hideMark/>
          </w:tcPr>
          <w:p w14:paraId="17585B2F" w14:textId="4DEADC2E" w:rsidR="000B7F16" w:rsidRPr="003403E3" w:rsidRDefault="00C14F65" w:rsidP="000F6693">
            <w:pPr>
              <w:widowControl/>
              <w:spacing w:line="360" w:lineRule="auto"/>
              <w:rPr>
                <w:sz w:val="16"/>
                <w:szCs w:val="16"/>
              </w:rPr>
            </w:pPr>
            <w:r w:rsidRPr="003403E3">
              <w:rPr>
                <w:sz w:val="16"/>
                <w:szCs w:val="16"/>
              </w:rPr>
              <w:t>High-speed Freeze Centrifuge</w:t>
            </w:r>
          </w:p>
        </w:tc>
        <w:tc>
          <w:tcPr>
            <w:tcW w:w="3240" w:type="dxa"/>
            <w:vAlign w:val="center"/>
            <w:hideMark/>
          </w:tcPr>
          <w:p w14:paraId="33AECE4D" w14:textId="77777777" w:rsidR="000B7F16" w:rsidRPr="003403E3" w:rsidRDefault="000B7F16" w:rsidP="000F6693">
            <w:pPr>
              <w:widowControl/>
              <w:spacing w:line="360" w:lineRule="auto"/>
              <w:rPr>
                <w:sz w:val="16"/>
                <w:szCs w:val="16"/>
              </w:rPr>
            </w:pPr>
            <w:r w:rsidRPr="003403E3">
              <w:rPr>
                <w:sz w:val="16"/>
                <w:szCs w:val="16"/>
              </w:rPr>
              <w:t>TGL-16MS</w:t>
            </w:r>
          </w:p>
        </w:tc>
        <w:tc>
          <w:tcPr>
            <w:tcW w:w="2738" w:type="dxa"/>
            <w:vAlign w:val="center"/>
            <w:hideMark/>
          </w:tcPr>
          <w:p w14:paraId="542D2A9A" w14:textId="799DE882" w:rsidR="000B7F16" w:rsidRPr="003403E3" w:rsidRDefault="00C14F65" w:rsidP="000F6693">
            <w:pPr>
              <w:widowControl/>
              <w:spacing w:line="360" w:lineRule="auto"/>
              <w:rPr>
                <w:sz w:val="16"/>
                <w:szCs w:val="16"/>
              </w:rPr>
            </w:pPr>
            <w:r w:rsidRPr="003403E3">
              <w:rPr>
                <w:sz w:val="16"/>
                <w:szCs w:val="16"/>
              </w:rPr>
              <w:t>Shanghai Luxiangyi Centrifuge Instrument Co., Ltd</w:t>
            </w:r>
          </w:p>
        </w:tc>
      </w:tr>
      <w:tr w:rsidR="000B7F16" w:rsidRPr="003403E3" w14:paraId="33F82C90" w14:textId="77777777" w:rsidTr="003403E3">
        <w:tc>
          <w:tcPr>
            <w:tcW w:w="2284" w:type="dxa"/>
            <w:vAlign w:val="center"/>
            <w:hideMark/>
          </w:tcPr>
          <w:p w14:paraId="115F8963" w14:textId="70841037" w:rsidR="000B7F16" w:rsidRPr="003403E3" w:rsidRDefault="00C14F65" w:rsidP="000F6693">
            <w:pPr>
              <w:widowControl/>
              <w:spacing w:line="360" w:lineRule="auto"/>
              <w:rPr>
                <w:sz w:val="16"/>
                <w:szCs w:val="16"/>
              </w:rPr>
            </w:pPr>
            <w:r w:rsidRPr="003403E3">
              <w:rPr>
                <w:sz w:val="16"/>
                <w:szCs w:val="16"/>
              </w:rPr>
              <w:t>Freeze Concentration Centrifugal Dryer</w:t>
            </w:r>
          </w:p>
        </w:tc>
        <w:tc>
          <w:tcPr>
            <w:tcW w:w="3240" w:type="dxa"/>
            <w:vAlign w:val="center"/>
            <w:hideMark/>
          </w:tcPr>
          <w:p w14:paraId="19264381" w14:textId="77777777" w:rsidR="000B7F16" w:rsidRPr="003403E3" w:rsidRDefault="000B7F16" w:rsidP="000F6693">
            <w:pPr>
              <w:widowControl/>
              <w:spacing w:line="360" w:lineRule="auto"/>
              <w:rPr>
                <w:sz w:val="16"/>
                <w:szCs w:val="16"/>
              </w:rPr>
            </w:pPr>
            <w:r w:rsidRPr="003403E3">
              <w:rPr>
                <w:sz w:val="16"/>
                <w:szCs w:val="16"/>
              </w:rPr>
              <w:t>LNG-T98</w:t>
            </w:r>
          </w:p>
        </w:tc>
        <w:tc>
          <w:tcPr>
            <w:tcW w:w="2738" w:type="dxa"/>
            <w:vAlign w:val="center"/>
            <w:hideMark/>
          </w:tcPr>
          <w:p w14:paraId="6BF8699A" w14:textId="6334BCEB" w:rsidR="000B7F16" w:rsidRPr="003403E3" w:rsidRDefault="00C14F65" w:rsidP="000F6693">
            <w:pPr>
              <w:widowControl/>
              <w:spacing w:line="360" w:lineRule="auto"/>
              <w:rPr>
                <w:sz w:val="16"/>
                <w:szCs w:val="16"/>
              </w:rPr>
            </w:pPr>
            <w:r w:rsidRPr="003403E3">
              <w:rPr>
                <w:sz w:val="16"/>
                <w:szCs w:val="16"/>
              </w:rPr>
              <w:t>Huamei Biochemical Instrument Factory, Taicang City</w:t>
            </w:r>
          </w:p>
        </w:tc>
      </w:tr>
      <w:tr w:rsidR="000B7F16" w:rsidRPr="003403E3" w14:paraId="5E783AEE" w14:textId="77777777" w:rsidTr="003403E3">
        <w:tc>
          <w:tcPr>
            <w:tcW w:w="2284" w:type="dxa"/>
            <w:vAlign w:val="center"/>
            <w:hideMark/>
          </w:tcPr>
          <w:p w14:paraId="52D24E47" w14:textId="31250CCB" w:rsidR="000B7F16" w:rsidRPr="003403E3" w:rsidRDefault="00C14F65" w:rsidP="000F6693">
            <w:pPr>
              <w:widowControl/>
              <w:spacing w:line="360" w:lineRule="auto"/>
              <w:rPr>
                <w:sz w:val="16"/>
                <w:szCs w:val="16"/>
              </w:rPr>
            </w:pPr>
            <w:r w:rsidRPr="003403E3">
              <w:rPr>
                <w:sz w:val="16"/>
                <w:szCs w:val="16"/>
              </w:rPr>
              <w:t>Air Bath Thermostatic Shaker</w:t>
            </w:r>
          </w:p>
        </w:tc>
        <w:tc>
          <w:tcPr>
            <w:tcW w:w="3240" w:type="dxa"/>
            <w:vAlign w:val="center"/>
            <w:hideMark/>
          </w:tcPr>
          <w:p w14:paraId="6911DBF2" w14:textId="77777777" w:rsidR="000B7F16" w:rsidRPr="003403E3" w:rsidRDefault="000B7F16" w:rsidP="000F6693">
            <w:pPr>
              <w:widowControl/>
              <w:spacing w:line="360" w:lineRule="auto"/>
              <w:rPr>
                <w:sz w:val="16"/>
                <w:szCs w:val="16"/>
              </w:rPr>
            </w:pPr>
            <w:r w:rsidRPr="003403E3">
              <w:rPr>
                <w:sz w:val="16"/>
                <w:szCs w:val="16"/>
              </w:rPr>
              <w:t>THZ-82</w:t>
            </w:r>
          </w:p>
        </w:tc>
        <w:tc>
          <w:tcPr>
            <w:tcW w:w="2738" w:type="dxa"/>
            <w:vAlign w:val="center"/>
            <w:hideMark/>
          </w:tcPr>
          <w:p w14:paraId="6D2FD12A" w14:textId="1A729403" w:rsidR="000B7F16" w:rsidRPr="003403E3" w:rsidRDefault="00C14F65" w:rsidP="000F6693">
            <w:pPr>
              <w:widowControl/>
              <w:spacing w:line="360" w:lineRule="auto"/>
              <w:rPr>
                <w:sz w:val="16"/>
                <w:szCs w:val="16"/>
              </w:rPr>
            </w:pPr>
            <w:r w:rsidRPr="003403E3">
              <w:rPr>
                <w:sz w:val="16"/>
                <w:szCs w:val="16"/>
              </w:rPr>
              <w:t>Shanghai LCB Instrument Technology Co., Ltd</w:t>
            </w:r>
          </w:p>
        </w:tc>
      </w:tr>
      <w:tr w:rsidR="000B7F16" w:rsidRPr="003403E3" w14:paraId="53ADA436" w14:textId="77777777" w:rsidTr="003403E3">
        <w:tc>
          <w:tcPr>
            <w:tcW w:w="2284" w:type="dxa"/>
            <w:vAlign w:val="center"/>
            <w:hideMark/>
          </w:tcPr>
          <w:p w14:paraId="4579B445" w14:textId="601E34AD" w:rsidR="000B7F16" w:rsidRPr="003403E3" w:rsidRDefault="00C14F65" w:rsidP="000F6693">
            <w:pPr>
              <w:widowControl/>
              <w:spacing w:line="360" w:lineRule="auto"/>
              <w:rPr>
                <w:sz w:val="16"/>
                <w:szCs w:val="16"/>
              </w:rPr>
            </w:pPr>
            <w:r w:rsidRPr="003403E3">
              <w:rPr>
                <w:sz w:val="16"/>
                <w:szCs w:val="16"/>
              </w:rPr>
              <w:t>Vacuum Drying Oven</w:t>
            </w:r>
          </w:p>
        </w:tc>
        <w:tc>
          <w:tcPr>
            <w:tcW w:w="3240" w:type="dxa"/>
            <w:vAlign w:val="center"/>
            <w:hideMark/>
          </w:tcPr>
          <w:p w14:paraId="6905A5E9" w14:textId="77777777" w:rsidR="000B7F16" w:rsidRPr="003403E3" w:rsidRDefault="000B7F16" w:rsidP="000F6693">
            <w:pPr>
              <w:widowControl/>
              <w:spacing w:line="360" w:lineRule="auto"/>
              <w:rPr>
                <w:sz w:val="16"/>
                <w:szCs w:val="16"/>
              </w:rPr>
            </w:pPr>
            <w:r w:rsidRPr="003403E3">
              <w:rPr>
                <w:sz w:val="16"/>
                <w:szCs w:val="16"/>
              </w:rPr>
              <w:t>DZF-6021</w:t>
            </w:r>
          </w:p>
        </w:tc>
        <w:tc>
          <w:tcPr>
            <w:tcW w:w="2738" w:type="dxa"/>
            <w:vAlign w:val="center"/>
            <w:hideMark/>
          </w:tcPr>
          <w:p w14:paraId="18BADC99" w14:textId="733EF01C" w:rsidR="000B7F16" w:rsidRPr="003403E3" w:rsidRDefault="00C14F65" w:rsidP="000F6693">
            <w:pPr>
              <w:widowControl/>
              <w:spacing w:line="360" w:lineRule="auto"/>
              <w:rPr>
                <w:sz w:val="16"/>
                <w:szCs w:val="16"/>
              </w:rPr>
            </w:pPr>
            <w:r w:rsidRPr="003403E3">
              <w:rPr>
                <w:sz w:val="16"/>
                <w:szCs w:val="16"/>
              </w:rPr>
              <w:t>Shanghai Huatai Co., Ltd</w:t>
            </w:r>
          </w:p>
        </w:tc>
      </w:tr>
      <w:tr w:rsidR="000B7F16" w:rsidRPr="003403E3" w14:paraId="564975F6" w14:textId="77777777" w:rsidTr="003403E3">
        <w:tc>
          <w:tcPr>
            <w:tcW w:w="2284" w:type="dxa"/>
            <w:vAlign w:val="center"/>
            <w:hideMark/>
          </w:tcPr>
          <w:p w14:paraId="47818229" w14:textId="32652A64" w:rsidR="000B7F16" w:rsidRPr="003403E3" w:rsidRDefault="00C14F65" w:rsidP="000F6693">
            <w:pPr>
              <w:widowControl/>
              <w:spacing w:line="360" w:lineRule="auto"/>
              <w:rPr>
                <w:sz w:val="16"/>
                <w:szCs w:val="16"/>
              </w:rPr>
            </w:pPr>
            <w:r w:rsidRPr="003403E3">
              <w:rPr>
                <w:sz w:val="16"/>
                <w:szCs w:val="16"/>
              </w:rPr>
              <w:t>Liquid Chromatography-Mass Spectrometry (LC-MS) System</w:t>
            </w:r>
          </w:p>
        </w:tc>
        <w:tc>
          <w:tcPr>
            <w:tcW w:w="3240" w:type="dxa"/>
            <w:vAlign w:val="center"/>
            <w:hideMark/>
          </w:tcPr>
          <w:p w14:paraId="4E6B30DE" w14:textId="77777777" w:rsidR="000B7F16" w:rsidRPr="003403E3" w:rsidRDefault="000B7F16" w:rsidP="000F6693">
            <w:pPr>
              <w:widowControl/>
              <w:spacing w:line="360" w:lineRule="auto"/>
              <w:rPr>
                <w:sz w:val="16"/>
                <w:szCs w:val="16"/>
              </w:rPr>
            </w:pPr>
            <w:r w:rsidRPr="003403E3">
              <w:rPr>
                <w:sz w:val="16"/>
                <w:szCs w:val="16"/>
              </w:rPr>
              <w:t>Waters ACQUITY UPLC I-Class plus/Thermo QE</w:t>
            </w:r>
          </w:p>
        </w:tc>
        <w:tc>
          <w:tcPr>
            <w:tcW w:w="2738" w:type="dxa"/>
            <w:vAlign w:val="center"/>
            <w:hideMark/>
          </w:tcPr>
          <w:p w14:paraId="013E838D" w14:textId="77777777" w:rsidR="000B7F16" w:rsidRPr="003403E3" w:rsidRDefault="000B7F16" w:rsidP="000F6693">
            <w:pPr>
              <w:widowControl/>
              <w:spacing w:line="360" w:lineRule="auto"/>
              <w:rPr>
                <w:sz w:val="16"/>
                <w:szCs w:val="16"/>
              </w:rPr>
            </w:pPr>
            <w:r w:rsidRPr="003403E3">
              <w:rPr>
                <w:sz w:val="16"/>
                <w:szCs w:val="16"/>
              </w:rPr>
              <w:t>Waters/Thermo</w:t>
            </w:r>
          </w:p>
        </w:tc>
      </w:tr>
      <w:tr w:rsidR="000B7F16" w:rsidRPr="003403E3" w14:paraId="28A2CBA9" w14:textId="77777777" w:rsidTr="003403E3">
        <w:tc>
          <w:tcPr>
            <w:tcW w:w="2284" w:type="dxa"/>
            <w:vAlign w:val="center"/>
            <w:hideMark/>
          </w:tcPr>
          <w:p w14:paraId="5B3F51FB" w14:textId="380B0AC5" w:rsidR="000B7F16" w:rsidRPr="003403E3" w:rsidRDefault="00C14F65" w:rsidP="000F6693">
            <w:pPr>
              <w:widowControl/>
              <w:spacing w:line="360" w:lineRule="auto"/>
              <w:rPr>
                <w:sz w:val="16"/>
                <w:szCs w:val="16"/>
              </w:rPr>
            </w:pPr>
            <w:r w:rsidRPr="003403E3">
              <w:rPr>
                <w:sz w:val="16"/>
                <w:szCs w:val="16"/>
              </w:rPr>
              <w:t>Liquid Chromatography Column</w:t>
            </w:r>
          </w:p>
        </w:tc>
        <w:tc>
          <w:tcPr>
            <w:tcW w:w="3240" w:type="dxa"/>
            <w:vAlign w:val="center"/>
            <w:hideMark/>
          </w:tcPr>
          <w:p w14:paraId="2738F9E7" w14:textId="77777777" w:rsidR="000B7F16" w:rsidRPr="003403E3" w:rsidRDefault="000B7F16" w:rsidP="000F6693">
            <w:pPr>
              <w:widowControl/>
              <w:spacing w:line="360" w:lineRule="auto"/>
              <w:rPr>
                <w:sz w:val="16"/>
                <w:szCs w:val="16"/>
                <w:lang w:val="fr-FR"/>
              </w:rPr>
            </w:pPr>
            <w:r w:rsidRPr="003403E3">
              <w:rPr>
                <w:sz w:val="16"/>
                <w:szCs w:val="16"/>
                <w:lang w:val="fr-FR"/>
              </w:rPr>
              <w:t>ACQUITY UPLC HSS T3</w:t>
            </w:r>
            <w:r w:rsidRPr="003403E3">
              <w:rPr>
                <w:sz w:val="16"/>
                <w:szCs w:val="16"/>
                <w:lang w:val="fr-FR"/>
              </w:rPr>
              <w:t>（</w:t>
            </w:r>
            <w:r w:rsidRPr="003403E3">
              <w:rPr>
                <w:sz w:val="16"/>
                <w:szCs w:val="16"/>
                <w:lang w:val="fr-FR"/>
              </w:rPr>
              <w:t>100mm×2.1mm,1.8um</w:t>
            </w:r>
            <w:r w:rsidRPr="003403E3">
              <w:rPr>
                <w:sz w:val="16"/>
                <w:szCs w:val="16"/>
                <w:lang w:val="fr-FR"/>
              </w:rPr>
              <w:t>）</w:t>
            </w:r>
          </w:p>
        </w:tc>
        <w:tc>
          <w:tcPr>
            <w:tcW w:w="2738" w:type="dxa"/>
            <w:vAlign w:val="center"/>
            <w:hideMark/>
          </w:tcPr>
          <w:p w14:paraId="4FD7E616" w14:textId="77777777" w:rsidR="000B7F16" w:rsidRPr="003403E3" w:rsidRDefault="000B7F16" w:rsidP="000F6693">
            <w:pPr>
              <w:widowControl/>
              <w:spacing w:line="360" w:lineRule="auto"/>
              <w:rPr>
                <w:sz w:val="16"/>
                <w:szCs w:val="16"/>
              </w:rPr>
            </w:pPr>
            <w:r w:rsidRPr="003403E3">
              <w:rPr>
                <w:sz w:val="16"/>
                <w:szCs w:val="16"/>
              </w:rPr>
              <w:t>Waters</w:t>
            </w:r>
          </w:p>
        </w:tc>
      </w:tr>
      <w:tr w:rsidR="000B7F16" w:rsidRPr="003403E3" w14:paraId="5C6F59EE" w14:textId="77777777" w:rsidTr="003403E3">
        <w:tc>
          <w:tcPr>
            <w:tcW w:w="2284" w:type="dxa"/>
            <w:vAlign w:val="center"/>
            <w:hideMark/>
          </w:tcPr>
          <w:p w14:paraId="086BDAEE" w14:textId="4B362D64" w:rsidR="000B7F16" w:rsidRPr="003403E3" w:rsidRDefault="00C14F65" w:rsidP="000F6693">
            <w:pPr>
              <w:widowControl/>
              <w:spacing w:line="360" w:lineRule="auto"/>
              <w:rPr>
                <w:sz w:val="16"/>
                <w:szCs w:val="16"/>
              </w:rPr>
            </w:pPr>
            <w:r w:rsidRPr="003403E3">
              <w:rPr>
                <w:sz w:val="16"/>
                <w:szCs w:val="16"/>
              </w:rPr>
              <w:t>Gas Chromatography-Mass Spectrometry (GC-MS) System</w:t>
            </w:r>
          </w:p>
        </w:tc>
        <w:tc>
          <w:tcPr>
            <w:tcW w:w="3240" w:type="dxa"/>
            <w:vAlign w:val="center"/>
            <w:hideMark/>
          </w:tcPr>
          <w:p w14:paraId="2CBA8958" w14:textId="77777777" w:rsidR="000B7F16" w:rsidRPr="003403E3" w:rsidRDefault="000B7F16" w:rsidP="000F6693">
            <w:pPr>
              <w:widowControl/>
              <w:spacing w:line="360" w:lineRule="auto"/>
              <w:rPr>
                <w:sz w:val="16"/>
                <w:szCs w:val="16"/>
              </w:rPr>
            </w:pPr>
            <w:r w:rsidRPr="003403E3">
              <w:rPr>
                <w:sz w:val="16"/>
                <w:szCs w:val="16"/>
              </w:rPr>
              <w:t>Agilent 7890B-5977A</w:t>
            </w:r>
          </w:p>
        </w:tc>
        <w:tc>
          <w:tcPr>
            <w:tcW w:w="2738" w:type="dxa"/>
            <w:vAlign w:val="center"/>
            <w:hideMark/>
          </w:tcPr>
          <w:p w14:paraId="0B33C73E" w14:textId="77777777" w:rsidR="000B7F16" w:rsidRPr="003403E3" w:rsidRDefault="000B7F16" w:rsidP="000F6693">
            <w:pPr>
              <w:widowControl/>
              <w:spacing w:line="360" w:lineRule="auto"/>
              <w:rPr>
                <w:sz w:val="16"/>
                <w:szCs w:val="16"/>
              </w:rPr>
            </w:pPr>
            <w:r w:rsidRPr="003403E3">
              <w:rPr>
                <w:sz w:val="16"/>
                <w:szCs w:val="16"/>
              </w:rPr>
              <w:t>Agilent</w:t>
            </w:r>
          </w:p>
        </w:tc>
      </w:tr>
      <w:tr w:rsidR="000B7F16" w:rsidRPr="003403E3" w14:paraId="578C0917" w14:textId="77777777" w:rsidTr="003403E3">
        <w:tc>
          <w:tcPr>
            <w:tcW w:w="2284" w:type="dxa"/>
            <w:tcBorders>
              <w:bottom w:val="single" w:sz="4" w:space="0" w:color="auto"/>
            </w:tcBorders>
            <w:vAlign w:val="center"/>
            <w:hideMark/>
          </w:tcPr>
          <w:p w14:paraId="36D9F972" w14:textId="3F57D018" w:rsidR="000B7F16" w:rsidRPr="003403E3" w:rsidRDefault="00C14F65" w:rsidP="000F6693">
            <w:pPr>
              <w:widowControl/>
              <w:spacing w:line="360" w:lineRule="auto"/>
              <w:rPr>
                <w:sz w:val="16"/>
                <w:szCs w:val="16"/>
              </w:rPr>
            </w:pPr>
            <w:r w:rsidRPr="003403E3">
              <w:rPr>
                <w:sz w:val="16"/>
                <w:szCs w:val="16"/>
              </w:rPr>
              <w:t>Gas Chromatography Column</w:t>
            </w:r>
          </w:p>
        </w:tc>
        <w:tc>
          <w:tcPr>
            <w:tcW w:w="3240" w:type="dxa"/>
            <w:tcBorders>
              <w:bottom w:val="single" w:sz="4" w:space="0" w:color="auto"/>
            </w:tcBorders>
            <w:vAlign w:val="center"/>
            <w:hideMark/>
          </w:tcPr>
          <w:p w14:paraId="63435929" w14:textId="77777777" w:rsidR="000B7F16" w:rsidRPr="003403E3" w:rsidRDefault="000B7F16" w:rsidP="000F6693">
            <w:pPr>
              <w:widowControl/>
              <w:spacing w:line="360" w:lineRule="auto"/>
              <w:rPr>
                <w:sz w:val="16"/>
                <w:szCs w:val="16"/>
              </w:rPr>
            </w:pPr>
            <w:r w:rsidRPr="003403E3">
              <w:rPr>
                <w:sz w:val="16"/>
                <w:szCs w:val="16"/>
              </w:rPr>
              <w:t>DB-5MS</w:t>
            </w:r>
            <w:r w:rsidRPr="003403E3">
              <w:rPr>
                <w:sz w:val="16"/>
                <w:szCs w:val="16"/>
              </w:rPr>
              <w:t>（</w:t>
            </w:r>
            <w:r w:rsidRPr="003403E3">
              <w:rPr>
                <w:sz w:val="16"/>
                <w:szCs w:val="16"/>
              </w:rPr>
              <w:t>30m×0.25mm×0.25μm</w:t>
            </w:r>
            <w:r w:rsidRPr="003403E3">
              <w:rPr>
                <w:sz w:val="16"/>
                <w:szCs w:val="16"/>
              </w:rPr>
              <w:t>）</w:t>
            </w:r>
          </w:p>
        </w:tc>
        <w:tc>
          <w:tcPr>
            <w:tcW w:w="2738" w:type="dxa"/>
            <w:tcBorders>
              <w:bottom w:val="single" w:sz="4" w:space="0" w:color="auto"/>
            </w:tcBorders>
            <w:vAlign w:val="center"/>
            <w:hideMark/>
          </w:tcPr>
          <w:p w14:paraId="29C0766D" w14:textId="77777777" w:rsidR="000B7F16" w:rsidRPr="003403E3" w:rsidRDefault="000B7F16" w:rsidP="000F6693">
            <w:pPr>
              <w:widowControl/>
              <w:spacing w:line="360" w:lineRule="auto"/>
              <w:rPr>
                <w:sz w:val="16"/>
                <w:szCs w:val="16"/>
              </w:rPr>
            </w:pPr>
            <w:r w:rsidRPr="003403E3">
              <w:rPr>
                <w:sz w:val="16"/>
                <w:szCs w:val="16"/>
              </w:rPr>
              <w:t>Agilent</w:t>
            </w:r>
          </w:p>
        </w:tc>
      </w:tr>
    </w:tbl>
    <w:p w14:paraId="32459ADD" w14:textId="77777777" w:rsidR="000B7F16" w:rsidRPr="00A71BEC" w:rsidRDefault="000B7F16" w:rsidP="00EE56FE">
      <w:pPr>
        <w:spacing w:line="480" w:lineRule="auto"/>
        <w:rPr>
          <w:b/>
          <w:bCs/>
          <w:sz w:val="20"/>
          <w:szCs w:val="20"/>
        </w:rPr>
      </w:pPr>
    </w:p>
    <w:p w14:paraId="39229196" w14:textId="77777777" w:rsidR="00B919F5" w:rsidRPr="00A71BEC" w:rsidRDefault="00B919F5" w:rsidP="00EE56FE">
      <w:pPr>
        <w:spacing w:line="480" w:lineRule="auto"/>
        <w:rPr>
          <w:b/>
          <w:bCs/>
          <w:sz w:val="20"/>
          <w:szCs w:val="20"/>
        </w:rPr>
      </w:pPr>
      <w:r w:rsidRPr="00A71BEC">
        <w:rPr>
          <w:b/>
          <w:bCs/>
          <w:sz w:val="20"/>
          <w:szCs w:val="20"/>
        </w:rPr>
        <w:br w:type="page"/>
      </w:r>
    </w:p>
    <w:p w14:paraId="3352CC27" w14:textId="11870D02" w:rsidR="000B7F16" w:rsidRPr="00A71BEC" w:rsidRDefault="003403E3" w:rsidP="00EE56FE">
      <w:pPr>
        <w:spacing w:line="480" w:lineRule="auto"/>
        <w:rPr>
          <w:b/>
          <w:bCs/>
          <w:sz w:val="20"/>
          <w:szCs w:val="20"/>
        </w:rPr>
      </w:pPr>
      <w:r w:rsidRPr="00D353C9">
        <w:rPr>
          <w:b/>
          <w:bCs/>
          <w:sz w:val="20"/>
          <w:szCs w:val="20"/>
        </w:rPr>
        <w:lastRenderedPageBreak/>
        <w:t xml:space="preserve">Supplementary </w:t>
      </w:r>
      <w:r w:rsidR="00C05359" w:rsidRPr="009133C6">
        <w:rPr>
          <w:rFonts w:eastAsia="Times New Roman"/>
          <w:b/>
          <w:sz w:val="20"/>
        </w:rPr>
        <w:t xml:space="preserve">Data </w:t>
      </w:r>
      <w:r w:rsidR="005E528B">
        <w:rPr>
          <w:rFonts w:eastAsiaTheme="minorEastAsia" w:hint="eastAsia"/>
          <w:b/>
          <w:sz w:val="20"/>
        </w:rPr>
        <w:t>S</w:t>
      </w:r>
      <w:r w:rsidR="00C05359" w:rsidRPr="009133C6">
        <w:rPr>
          <w:rFonts w:eastAsia="Times New Roman"/>
          <w:b/>
          <w:sz w:val="20"/>
        </w:rPr>
        <w:t>1.</w:t>
      </w:r>
      <w:r w:rsidR="00C05359">
        <w:rPr>
          <w:rFonts w:eastAsiaTheme="minorEastAsia" w:hint="eastAsia"/>
          <w:b/>
          <w:sz w:val="20"/>
        </w:rPr>
        <w:t>3</w:t>
      </w:r>
      <w:r w:rsidR="004465B4" w:rsidRPr="00A71BEC">
        <w:rPr>
          <w:b/>
          <w:bCs/>
          <w:sz w:val="20"/>
          <w:szCs w:val="20"/>
        </w:rPr>
        <w:t xml:space="preserve"> </w:t>
      </w:r>
      <w:r w:rsidR="00D519F3" w:rsidRPr="00D519F3">
        <w:rPr>
          <w:rFonts w:hint="eastAsia"/>
          <w:b/>
          <w:bCs/>
          <w:sz w:val="20"/>
          <w:szCs w:val="20"/>
        </w:rPr>
        <w:t>M</w:t>
      </w:r>
      <w:r w:rsidR="00D519F3" w:rsidRPr="00D519F3">
        <w:rPr>
          <w:b/>
          <w:bCs/>
          <w:sz w:val="20"/>
          <w:szCs w:val="20"/>
        </w:rPr>
        <w:t xml:space="preserve">ajor </w:t>
      </w:r>
      <w:r w:rsidR="00D519F3" w:rsidRPr="00D519F3">
        <w:rPr>
          <w:rFonts w:hint="eastAsia"/>
          <w:b/>
          <w:bCs/>
          <w:sz w:val="20"/>
          <w:szCs w:val="20"/>
        </w:rPr>
        <w:t>R</w:t>
      </w:r>
      <w:r w:rsidR="00D519F3" w:rsidRPr="00D519F3">
        <w:rPr>
          <w:b/>
          <w:bCs/>
          <w:sz w:val="20"/>
          <w:szCs w:val="20"/>
        </w:rPr>
        <w:t>eagents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1737"/>
        <w:gridCol w:w="1693"/>
        <w:gridCol w:w="1321"/>
      </w:tblGrid>
      <w:tr w:rsidR="000B7F16" w:rsidRPr="00767F63" w14:paraId="6705AA20" w14:textId="77777777" w:rsidTr="00767F63">
        <w:tc>
          <w:tcPr>
            <w:tcW w:w="3511" w:type="dxa"/>
            <w:tcBorders>
              <w:top w:val="single" w:sz="4" w:space="0" w:color="auto"/>
              <w:bottom w:val="single" w:sz="4" w:space="0" w:color="auto"/>
            </w:tcBorders>
            <w:vAlign w:val="center"/>
          </w:tcPr>
          <w:p w14:paraId="0A6ED308" w14:textId="6A603406" w:rsidR="000B7F16" w:rsidRPr="00767F63" w:rsidRDefault="00076599" w:rsidP="00877198">
            <w:pPr>
              <w:spacing w:line="360" w:lineRule="auto"/>
              <w:rPr>
                <w:b/>
                <w:bCs/>
                <w:sz w:val="16"/>
                <w:szCs w:val="16"/>
              </w:rPr>
            </w:pPr>
            <w:r w:rsidRPr="00767F63">
              <w:rPr>
                <w:b/>
                <w:bCs/>
                <w:sz w:val="16"/>
                <w:szCs w:val="16"/>
              </w:rPr>
              <w:t>Reagent</w:t>
            </w:r>
          </w:p>
        </w:tc>
        <w:tc>
          <w:tcPr>
            <w:tcW w:w="1737" w:type="dxa"/>
            <w:tcBorders>
              <w:top w:val="single" w:sz="4" w:space="0" w:color="auto"/>
              <w:bottom w:val="single" w:sz="4" w:space="0" w:color="auto"/>
            </w:tcBorders>
            <w:vAlign w:val="center"/>
          </w:tcPr>
          <w:p w14:paraId="58A28BBB" w14:textId="159C2297" w:rsidR="000B7F16" w:rsidRPr="00767F63" w:rsidRDefault="000F6693" w:rsidP="00877198">
            <w:pPr>
              <w:spacing w:line="360" w:lineRule="auto"/>
              <w:rPr>
                <w:b/>
                <w:bCs/>
                <w:sz w:val="16"/>
                <w:szCs w:val="16"/>
              </w:rPr>
            </w:pPr>
            <w:r w:rsidRPr="00767F63">
              <w:rPr>
                <w:b/>
                <w:bCs/>
                <w:sz w:val="16"/>
                <w:szCs w:val="16"/>
              </w:rPr>
              <w:t>Product code</w:t>
            </w:r>
          </w:p>
        </w:tc>
        <w:tc>
          <w:tcPr>
            <w:tcW w:w="1693" w:type="dxa"/>
            <w:tcBorders>
              <w:top w:val="single" w:sz="4" w:space="0" w:color="auto"/>
              <w:bottom w:val="single" w:sz="4" w:space="0" w:color="auto"/>
            </w:tcBorders>
            <w:vAlign w:val="center"/>
          </w:tcPr>
          <w:p w14:paraId="6ED77D1E" w14:textId="5193337B" w:rsidR="000B7F16" w:rsidRPr="00767F63" w:rsidRDefault="000F6693" w:rsidP="00877198">
            <w:pPr>
              <w:spacing w:line="360" w:lineRule="auto"/>
              <w:rPr>
                <w:b/>
                <w:bCs/>
                <w:sz w:val="16"/>
                <w:szCs w:val="16"/>
              </w:rPr>
            </w:pPr>
            <w:r w:rsidRPr="00767F63">
              <w:rPr>
                <w:b/>
                <w:bCs/>
                <w:sz w:val="16"/>
                <w:szCs w:val="16"/>
              </w:rPr>
              <w:t>Manufacturer</w:t>
            </w:r>
          </w:p>
        </w:tc>
        <w:tc>
          <w:tcPr>
            <w:tcW w:w="1321" w:type="dxa"/>
            <w:tcBorders>
              <w:top w:val="single" w:sz="4" w:space="0" w:color="auto"/>
              <w:bottom w:val="single" w:sz="4" w:space="0" w:color="auto"/>
            </w:tcBorders>
            <w:vAlign w:val="center"/>
          </w:tcPr>
          <w:p w14:paraId="5BE7CF39" w14:textId="5F4E6606" w:rsidR="000B7F16" w:rsidRPr="00767F63" w:rsidRDefault="000F6693" w:rsidP="00877198">
            <w:pPr>
              <w:spacing w:line="360" w:lineRule="auto"/>
              <w:rPr>
                <w:b/>
                <w:bCs/>
                <w:sz w:val="16"/>
                <w:szCs w:val="16"/>
              </w:rPr>
            </w:pPr>
            <w:r w:rsidRPr="00767F63">
              <w:rPr>
                <w:b/>
                <w:bCs/>
                <w:sz w:val="16"/>
                <w:szCs w:val="16"/>
              </w:rPr>
              <w:t>Purity</w:t>
            </w:r>
          </w:p>
        </w:tc>
      </w:tr>
      <w:tr w:rsidR="000B7F16" w:rsidRPr="00767F63" w14:paraId="090CE26A" w14:textId="77777777" w:rsidTr="00767F63">
        <w:tc>
          <w:tcPr>
            <w:tcW w:w="0" w:type="auto"/>
            <w:tcBorders>
              <w:top w:val="single" w:sz="4" w:space="0" w:color="auto"/>
            </w:tcBorders>
            <w:vAlign w:val="center"/>
            <w:hideMark/>
          </w:tcPr>
          <w:p w14:paraId="5F5C8775" w14:textId="5516BBD8" w:rsidR="000B7F16" w:rsidRPr="00767F63" w:rsidRDefault="00076599" w:rsidP="00877198">
            <w:pPr>
              <w:spacing w:line="360" w:lineRule="auto"/>
              <w:rPr>
                <w:sz w:val="16"/>
                <w:szCs w:val="16"/>
              </w:rPr>
            </w:pPr>
            <w:r w:rsidRPr="00767F63">
              <w:rPr>
                <w:sz w:val="16"/>
                <w:szCs w:val="16"/>
              </w:rPr>
              <w:t>Methanol</w:t>
            </w:r>
          </w:p>
        </w:tc>
        <w:tc>
          <w:tcPr>
            <w:tcW w:w="0" w:type="auto"/>
            <w:tcBorders>
              <w:top w:val="single" w:sz="4" w:space="0" w:color="auto"/>
            </w:tcBorders>
            <w:vAlign w:val="center"/>
            <w:hideMark/>
          </w:tcPr>
          <w:p w14:paraId="7BC57AAD" w14:textId="77777777" w:rsidR="000B7F16" w:rsidRPr="00767F63" w:rsidRDefault="000B7F16" w:rsidP="00877198">
            <w:pPr>
              <w:spacing w:line="360" w:lineRule="auto"/>
              <w:rPr>
                <w:sz w:val="16"/>
                <w:szCs w:val="16"/>
              </w:rPr>
            </w:pPr>
            <w:r w:rsidRPr="00767F63">
              <w:rPr>
                <w:sz w:val="16"/>
                <w:szCs w:val="16"/>
              </w:rPr>
              <w:t>A452-4</w:t>
            </w:r>
          </w:p>
        </w:tc>
        <w:tc>
          <w:tcPr>
            <w:tcW w:w="1693" w:type="dxa"/>
            <w:tcBorders>
              <w:top w:val="single" w:sz="4" w:space="0" w:color="auto"/>
            </w:tcBorders>
            <w:vAlign w:val="center"/>
            <w:hideMark/>
          </w:tcPr>
          <w:p w14:paraId="6200439E" w14:textId="31A513CF" w:rsidR="000B7F16" w:rsidRPr="00767F63" w:rsidRDefault="00877198" w:rsidP="00877198">
            <w:pPr>
              <w:spacing w:line="360" w:lineRule="auto"/>
              <w:rPr>
                <w:sz w:val="16"/>
                <w:szCs w:val="16"/>
              </w:rPr>
            </w:pPr>
            <w:r w:rsidRPr="00767F63">
              <w:rPr>
                <w:sz w:val="16"/>
                <w:szCs w:val="16"/>
              </w:rPr>
              <w:t>Fisher</w:t>
            </w:r>
          </w:p>
        </w:tc>
        <w:tc>
          <w:tcPr>
            <w:tcW w:w="1321" w:type="dxa"/>
            <w:tcBorders>
              <w:top w:val="single" w:sz="4" w:space="0" w:color="auto"/>
            </w:tcBorders>
            <w:vAlign w:val="center"/>
            <w:hideMark/>
          </w:tcPr>
          <w:p w14:paraId="3F2EFF82"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99.9%</w:t>
            </w:r>
          </w:p>
        </w:tc>
      </w:tr>
      <w:tr w:rsidR="000B7F16" w:rsidRPr="00767F63" w14:paraId="75A970A6" w14:textId="77777777" w:rsidTr="00767F63">
        <w:tc>
          <w:tcPr>
            <w:tcW w:w="0" w:type="auto"/>
            <w:vAlign w:val="center"/>
            <w:hideMark/>
          </w:tcPr>
          <w:p w14:paraId="4E56BB39" w14:textId="4F0838FD" w:rsidR="000B7F16" w:rsidRPr="00767F63" w:rsidRDefault="00076599" w:rsidP="00877198">
            <w:pPr>
              <w:spacing w:line="360" w:lineRule="auto"/>
              <w:rPr>
                <w:sz w:val="16"/>
                <w:szCs w:val="16"/>
              </w:rPr>
            </w:pPr>
            <w:r w:rsidRPr="00767F63">
              <w:rPr>
                <w:sz w:val="16"/>
                <w:szCs w:val="16"/>
              </w:rPr>
              <w:t>Acetonitrile</w:t>
            </w:r>
          </w:p>
        </w:tc>
        <w:tc>
          <w:tcPr>
            <w:tcW w:w="0" w:type="auto"/>
            <w:vAlign w:val="center"/>
            <w:hideMark/>
          </w:tcPr>
          <w:p w14:paraId="705954D1" w14:textId="77777777" w:rsidR="000B7F16" w:rsidRPr="00767F63" w:rsidRDefault="000B7F16" w:rsidP="00877198">
            <w:pPr>
              <w:spacing w:line="360" w:lineRule="auto"/>
              <w:rPr>
                <w:sz w:val="16"/>
                <w:szCs w:val="16"/>
              </w:rPr>
            </w:pPr>
            <w:r w:rsidRPr="00767F63">
              <w:rPr>
                <w:sz w:val="16"/>
                <w:szCs w:val="16"/>
              </w:rPr>
              <w:t>A998-4</w:t>
            </w:r>
          </w:p>
        </w:tc>
        <w:tc>
          <w:tcPr>
            <w:tcW w:w="1693" w:type="dxa"/>
            <w:vAlign w:val="center"/>
            <w:hideMark/>
          </w:tcPr>
          <w:p w14:paraId="2E17D156" w14:textId="02960C80" w:rsidR="000B7F16" w:rsidRPr="00767F63" w:rsidRDefault="00877198" w:rsidP="00877198">
            <w:pPr>
              <w:spacing w:line="360" w:lineRule="auto"/>
              <w:rPr>
                <w:sz w:val="16"/>
                <w:szCs w:val="16"/>
              </w:rPr>
            </w:pPr>
            <w:r w:rsidRPr="00767F63">
              <w:rPr>
                <w:sz w:val="16"/>
                <w:szCs w:val="16"/>
              </w:rPr>
              <w:t>Fisher</w:t>
            </w:r>
          </w:p>
        </w:tc>
        <w:tc>
          <w:tcPr>
            <w:tcW w:w="1321" w:type="dxa"/>
            <w:vAlign w:val="center"/>
            <w:hideMark/>
          </w:tcPr>
          <w:p w14:paraId="62C68A03"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99.95%</w:t>
            </w:r>
          </w:p>
        </w:tc>
      </w:tr>
      <w:tr w:rsidR="000B7F16" w:rsidRPr="00767F63" w14:paraId="1316A990" w14:textId="77777777" w:rsidTr="00767F63">
        <w:tc>
          <w:tcPr>
            <w:tcW w:w="0" w:type="auto"/>
            <w:vAlign w:val="center"/>
            <w:hideMark/>
          </w:tcPr>
          <w:p w14:paraId="00538F2A" w14:textId="6CC5A181" w:rsidR="000B7F16" w:rsidRPr="00767F63" w:rsidRDefault="00076599" w:rsidP="00877198">
            <w:pPr>
              <w:spacing w:line="360" w:lineRule="auto"/>
              <w:rPr>
                <w:sz w:val="16"/>
                <w:szCs w:val="16"/>
              </w:rPr>
            </w:pPr>
            <w:r w:rsidRPr="00767F63">
              <w:rPr>
                <w:sz w:val="16"/>
                <w:szCs w:val="16"/>
              </w:rPr>
              <w:t>Formic acid</w:t>
            </w:r>
          </w:p>
        </w:tc>
        <w:tc>
          <w:tcPr>
            <w:tcW w:w="0" w:type="auto"/>
            <w:vAlign w:val="center"/>
            <w:hideMark/>
          </w:tcPr>
          <w:p w14:paraId="20A7DF4E" w14:textId="77777777" w:rsidR="000B7F16" w:rsidRPr="00767F63" w:rsidRDefault="000B7F16" w:rsidP="00877198">
            <w:pPr>
              <w:spacing w:line="360" w:lineRule="auto"/>
              <w:rPr>
                <w:sz w:val="16"/>
                <w:szCs w:val="16"/>
              </w:rPr>
            </w:pPr>
            <w:r w:rsidRPr="00767F63">
              <w:rPr>
                <w:sz w:val="16"/>
                <w:szCs w:val="16"/>
              </w:rPr>
              <w:t>A117-50</w:t>
            </w:r>
          </w:p>
        </w:tc>
        <w:tc>
          <w:tcPr>
            <w:tcW w:w="1693" w:type="dxa"/>
            <w:vAlign w:val="center"/>
            <w:hideMark/>
          </w:tcPr>
          <w:p w14:paraId="632E6AC8" w14:textId="7387F51D" w:rsidR="000B7F16" w:rsidRPr="00767F63" w:rsidRDefault="00877198" w:rsidP="00877198">
            <w:pPr>
              <w:spacing w:line="360" w:lineRule="auto"/>
              <w:rPr>
                <w:sz w:val="16"/>
                <w:szCs w:val="16"/>
              </w:rPr>
            </w:pPr>
            <w:r w:rsidRPr="00767F63">
              <w:rPr>
                <w:sz w:val="16"/>
                <w:szCs w:val="16"/>
              </w:rPr>
              <w:t>Fisher</w:t>
            </w:r>
          </w:p>
        </w:tc>
        <w:tc>
          <w:tcPr>
            <w:tcW w:w="1321" w:type="dxa"/>
            <w:vAlign w:val="center"/>
            <w:hideMark/>
          </w:tcPr>
          <w:p w14:paraId="06C372C5"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6047B70C" w14:textId="77777777" w:rsidTr="00767F63">
        <w:tc>
          <w:tcPr>
            <w:tcW w:w="0" w:type="auto"/>
            <w:vAlign w:val="center"/>
            <w:hideMark/>
          </w:tcPr>
          <w:p w14:paraId="6773C36A" w14:textId="2FEAAE22" w:rsidR="000B7F16" w:rsidRPr="00767F63" w:rsidRDefault="00076599" w:rsidP="00877198">
            <w:pPr>
              <w:spacing w:line="360" w:lineRule="auto"/>
              <w:rPr>
                <w:sz w:val="16"/>
                <w:szCs w:val="16"/>
              </w:rPr>
            </w:pPr>
            <w:r w:rsidRPr="00767F63">
              <w:rPr>
                <w:sz w:val="16"/>
                <w:szCs w:val="16"/>
              </w:rPr>
              <w:t>Water</w:t>
            </w:r>
          </w:p>
        </w:tc>
        <w:tc>
          <w:tcPr>
            <w:tcW w:w="0" w:type="auto"/>
            <w:vAlign w:val="center"/>
            <w:hideMark/>
          </w:tcPr>
          <w:p w14:paraId="5F1CABFF" w14:textId="77777777" w:rsidR="000B7F16" w:rsidRPr="00767F63" w:rsidRDefault="000B7F16" w:rsidP="00877198">
            <w:pPr>
              <w:spacing w:line="360" w:lineRule="auto"/>
              <w:rPr>
                <w:sz w:val="16"/>
                <w:szCs w:val="16"/>
              </w:rPr>
            </w:pPr>
            <w:r w:rsidRPr="00767F63">
              <w:rPr>
                <w:sz w:val="16"/>
                <w:szCs w:val="16"/>
              </w:rPr>
              <w:t>——</w:t>
            </w:r>
          </w:p>
        </w:tc>
        <w:tc>
          <w:tcPr>
            <w:tcW w:w="1693" w:type="dxa"/>
            <w:vAlign w:val="center"/>
            <w:hideMark/>
          </w:tcPr>
          <w:p w14:paraId="69FF4474" w14:textId="3A5B6FA2" w:rsidR="000B7F16" w:rsidRPr="00767F63" w:rsidRDefault="00ED113A" w:rsidP="00877198">
            <w:pPr>
              <w:spacing w:line="360" w:lineRule="auto"/>
              <w:rPr>
                <w:sz w:val="16"/>
                <w:szCs w:val="16"/>
              </w:rPr>
            </w:pPr>
            <w:r w:rsidRPr="00767F63">
              <w:rPr>
                <w:sz w:val="16"/>
                <w:szCs w:val="16"/>
              </w:rPr>
              <w:t>Wahaha</w:t>
            </w:r>
          </w:p>
        </w:tc>
        <w:tc>
          <w:tcPr>
            <w:tcW w:w="1321" w:type="dxa"/>
            <w:vAlign w:val="center"/>
            <w:hideMark/>
          </w:tcPr>
          <w:p w14:paraId="00F208C9" w14:textId="77777777" w:rsidR="000B7F16" w:rsidRPr="00767F63" w:rsidRDefault="000B7F16" w:rsidP="00877198">
            <w:pPr>
              <w:spacing w:line="360" w:lineRule="auto"/>
              <w:rPr>
                <w:sz w:val="16"/>
                <w:szCs w:val="16"/>
              </w:rPr>
            </w:pPr>
            <w:r w:rsidRPr="00767F63">
              <w:rPr>
                <w:sz w:val="16"/>
                <w:szCs w:val="16"/>
              </w:rPr>
              <w:t>/</w:t>
            </w:r>
          </w:p>
        </w:tc>
      </w:tr>
      <w:tr w:rsidR="000B7F16" w:rsidRPr="00767F63" w14:paraId="2446C9E8" w14:textId="77777777" w:rsidTr="00767F63">
        <w:tc>
          <w:tcPr>
            <w:tcW w:w="0" w:type="auto"/>
            <w:vAlign w:val="center"/>
            <w:hideMark/>
          </w:tcPr>
          <w:p w14:paraId="3A4631C2" w14:textId="2CA57C2E" w:rsidR="000B7F16" w:rsidRPr="00767F63" w:rsidRDefault="004465B4" w:rsidP="00877198">
            <w:pPr>
              <w:spacing w:line="360" w:lineRule="auto"/>
              <w:rPr>
                <w:sz w:val="16"/>
                <w:szCs w:val="16"/>
              </w:rPr>
            </w:pPr>
            <w:r w:rsidRPr="00767F63">
              <w:rPr>
                <w:sz w:val="16"/>
                <w:szCs w:val="16"/>
              </w:rPr>
              <w:t>L-2-Chlorophenylalanine (mixed internal standard)</w:t>
            </w:r>
          </w:p>
        </w:tc>
        <w:tc>
          <w:tcPr>
            <w:tcW w:w="0" w:type="auto"/>
            <w:vAlign w:val="center"/>
            <w:hideMark/>
          </w:tcPr>
          <w:p w14:paraId="31EFC215" w14:textId="77777777" w:rsidR="000B7F16" w:rsidRPr="00767F63" w:rsidRDefault="000B7F16" w:rsidP="00877198">
            <w:pPr>
              <w:spacing w:line="360" w:lineRule="auto"/>
              <w:rPr>
                <w:sz w:val="16"/>
                <w:szCs w:val="16"/>
              </w:rPr>
            </w:pPr>
            <w:r w:rsidRPr="00767F63">
              <w:rPr>
                <w:sz w:val="16"/>
                <w:szCs w:val="16"/>
              </w:rPr>
              <w:t>C2001</w:t>
            </w:r>
          </w:p>
        </w:tc>
        <w:tc>
          <w:tcPr>
            <w:tcW w:w="1693" w:type="dxa"/>
            <w:vAlign w:val="center"/>
            <w:hideMark/>
          </w:tcPr>
          <w:p w14:paraId="55F57AF7" w14:textId="12914ABB" w:rsidR="000B7F16" w:rsidRPr="00767F63" w:rsidRDefault="00ED113A" w:rsidP="00877198">
            <w:pPr>
              <w:spacing w:line="360" w:lineRule="auto"/>
              <w:rPr>
                <w:sz w:val="16"/>
                <w:szCs w:val="16"/>
              </w:rPr>
            </w:pPr>
            <w:r w:rsidRPr="00767F63">
              <w:rPr>
                <w:sz w:val="16"/>
                <w:szCs w:val="16"/>
              </w:rPr>
              <w:t>Shanghai Hengchuang Bio-Tech Co., Ltd</w:t>
            </w:r>
          </w:p>
        </w:tc>
        <w:tc>
          <w:tcPr>
            <w:tcW w:w="1321" w:type="dxa"/>
            <w:vAlign w:val="center"/>
            <w:hideMark/>
          </w:tcPr>
          <w:p w14:paraId="457B3FAE"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98.0%</w:t>
            </w:r>
          </w:p>
        </w:tc>
      </w:tr>
      <w:tr w:rsidR="000B7F16" w:rsidRPr="00767F63" w14:paraId="78C8AEB5" w14:textId="77777777" w:rsidTr="00767F63">
        <w:tc>
          <w:tcPr>
            <w:tcW w:w="0" w:type="auto"/>
            <w:vAlign w:val="center"/>
            <w:hideMark/>
          </w:tcPr>
          <w:p w14:paraId="4ABC9F00" w14:textId="6CAB61F3" w:rsidR="000B7F16" w:rsidRPr="00767F63" w:rsidRDefault="004465B4" w:rsidP="00877198">
            <w:pPr>
              <w:spacing w:line="360" w:lineRule="auto"/>
              <w:rPr>
                <w:sz w:val="16"/>
                <w:szCs w:val="16"/>
              </w:rPr>
            </w:pPr>
            <w:r w:rsidRPr="00767F63">
              <w:rPr>
                <w:sz w:val="16"/>
                <w:szCs w:val="16"/>
              </w:rPr>
              <w:t>Succinic acid-d4 (mixed internal standard)</w:t>
            </w:r>
          </w:p>
        </w:tc>
        <w:tc>
          <w:tcPr>
            <w:tcW w:w="0" w:type="auto"/>
            <w:vAlign w:val="center"/>
            <w:hideMark/>
          </w:tcPr>
          <w:p w14:paraId="412C950C" w14:textId="77777777" w:rsidR="000B7F16" w:rsidRPr="00767F63" w:rsidRDefault="000B7F16" w:rsidP="00877198">
            <w:pPr>
              <w:spacing w:line="360" w:lineRule="auto"/>
              <w:rPr>
                <w:sz w:val="16"/>
                <w:szCs w:val="16"/>
              </w:rPr>
            </w:pPr>
            <w:r w:rsidRPr="00767F63">
              <w:rPr>
                <w:sz w:val="16"/>
                <w:szCs w:val="16"/>
              </w:rPr>
              <w:t>293075-1G</w:t>
            </w:r>
          </w:p>
        </w:tc>
        <w:tc>
          <w:tcPr>
            <w:tcW w:w="1693" w:type="dxa"/>
            <w:vAlign w:val="center"/>
            <w:hideMark/>
          </w:tcPr>
          <w:p w14:paraId="665EC33A" w14:textId="77777777" w:rsidR="000B7F16" w:rsidRPr="00767F63" w:rsidRDefault="000B7F16" w:rsidP="00877198">
            <w:pPr>
              <w:spacing w:line="360" w:lineRule="auto"/>
              <w:rPr>
                <w:sz w:val="16"/>
                <w:szCs w:val="16"/>
              </w:rPr>
            </w:pPr>
            <w:r w:rsidRPr="00767F63">
              <w:rPr>
                <w:sz w:val="16"/>
                <w:szCs w:val="16"/>
              </w:rPr>
              <w:t>Sigma</w:t>
            </w:r>
          </w:p>
        </w:tc>
        <w:tc>
          <w:tcPr>
            <w:tcW w:w="1321" w:type="dxa"/>
            <w:vAlign w:val="center"/>
            <w:hideMark/>
          </w:tcPr>
          <w:p w14:paraId="5C74680D"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98.0%</w:t>
            </w:r>
          </w:p>
        </w:tc>
      </w:tr>
      <w:tr w:rsidR="000B7F16" w:rsidRPr="00767F63" w14:paraId="3CBCC4DE" w14:textId="77777777" w:rsidTr="00767F63">
        <w:tc>
          <w:tcPr>
            <w:tcW w:w="0" w:type="auto"/>
            <w:vAlign w:val="center"/>
            <w:hideMark/>
          </w:tcPr>
          <w:p w14:paraId="45E35CD9" w14:textId="3F78C4B4" w:rsidR="000B7F16" w:rsidRPr="00767F63" w:rsidRDefault="004465B4" w:rsidP="00877198">
            <w:pPr>
              <w:spacing w:line="360" w:lineRule="auto"/>
              <w:rPr>
                <w:sz w:val="16"/>
                <w:szCs w:val="16"/>
              </w:rPr>
            </w:pPr>
            <w:r w:rsidRPr="00767F63">
              <w:rPr>
                <w:sz w:val="16"/>
                <w:szCs w:val="16"/>
              </w:rPr>
              <w:t>L-Valine-d8 (mixed internal standard)</w:t>
            </w:r>
          </w:p>
        </w:tc>
        <w:tc>
          <w:tcPr>
            <w:tcW w:w="0" w:type="auto"/>
            <w:vAlign w:val="center"/>
            <w:hideMark/>
          </w:tcPr>
          <w:p w14:paraId="3E6DDDDA" w14:textId="77777777" w:rsidR="000B7F16" w:rsidRPr="00767F63" w:rsidRDefault="000B7F16" w:rsidP="00877198">
            <w:pPr>
              <w:spacing w:line="360" w:lineRule="auto"/>
              <w:rPr>
                <w:sz w:val="16"/>
                <w:szCs w:val="16"/>
              </w:rPr>
            </w:pPr>
            <w:r w:rsidRPr="00767F63">
              <w:rPr>
                <w:sz w:val="16"/>
                <w:szCs w:val="16"/>
              </w:rPr>
              <w:t>HY-I1124</w:t>
            </w:r>
          </w:p>
        </w:tc>
        <w:tc>
          <w:tcPr>
            <w:tcW w:w="1693" w:type="dxa"/>
            <w:vAlign w:val="center"/>
            <w:hideMark/>
          </w:tcPr>
          <w:p w14:paraId="17E4D90D" w14:textId="5F4024D8" w:rsidR="000B7F16" w:rsidRPr="00767F63" w:rsidRDefault="00ED113A" w:rsidP="00877198">
            <w:pPr>
              <w:spacing w:line="360" w:lineRule="auto"/>
              <w:rPr>
                <w:sz w:val="16"/>
                <w:szCs w:val="16"/>
              </w:rPr>
            </w:pPr>
            <w:r w:rsidRPr="00767F63">
              <w:rPr>
                <w:sz w:val="16"/>
                <w:szCs w:val="16"/>
              </w:rPr>
              <w:t>Shanghai Haoyuan Biochemical Technology Co., Ltd</w:t>
            </w:r>
          </w:p>
        </w:tc>
        <w:tc>
          <w:tcPr>
            <w:tcW w:w="1321" w:type="dxa"/>
            <w:vAlign w:val="center"/>
            <w:hideMark/>
          </w:tcPr>
          <w:p w14:paraId="41678DEE"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98.0%</w:t>
            </w:r>
          </w:p>
        </w:tc>
      </w:tr>
      <w:tr w:rsidR="000B7F16" w:rsidRPr="00767F63" w14:paraId="7ACA26D6" w14:textId="77777777" w:rsidTr="00767F63">
        <w:tc>
          <w:tcPr>
            <w:tcW w:w="0" w:type="auto"/>
            <w:vAlign w:val="center"/>
            <w:hideMark/>
          </w:tcPr>
          <w:p w14:paraId="30D95795" w14:textId="3DA25C9A" w:rsidR="000B7F16" w:rsidRPr="00767F63" w:rsidRDefault="004465B4" w:rsidP="00877198">
            <w:pPr>
              <w:spacing w:line="360" w:lineRule="auto"/>
              <w:rPr>
                <w:sz w:val="16"/>
                <w:szCs w:val="16"/>
              </w:rPr>
            </w:pPr>
            <w:r w:rsidRPr="00767F63">
              <w:rPr>
                <w:sz w:val="16"/>
                <w:szCs w:val="16"/>
              </w:rPr>
              <w:t>Cholic acid-D4 (mixed internal standard)</w:t>
            </w:r>
          </w:p>
        </w:tc>
        <w:tc>
          <w:tcPr>
            <w:tcW w:w="0" w:type="auto"/>
            <w:vAlign w:val="center"/>
            <w:hideMark/>
          </w:tcPr>
          <w:p w14:paraId="1D01CE4A" w14:textId="77777777" w:rsidR="000B7F16" w:rsidRPr="00767F63" w:rsidRDefault="000B7F16" w:rsidP="00877198">
            <w:pPr>
              <w:spacing w:line="360" w:lineRule="auto"/>
              <w:rPr>
                <w:sz w:val="16"/>
                <w:szCs w:val="16"/>
              </w:rPr>
            </w:pPr>
            <w:r w:rsidRPr="00767F63">
              <w:rPr>
                <w:sz w:val="16"/>
                <w:szCs w:val="16"/>
              </w:rPr>
              <w:t>S22155-50mg</w:t>
            </w:r>
          </w:p>
        </w:tc>
        <w:tc>
          <w:tcPr>
            <w:tcW w:w="1693" w:type="dxa"/>
            <w:vAlign w:val="center"/>
            <w:hideMark/>
          </w:tcPr>
          <w:p w14:paraId="6953BA95" w14:textId="701E8DC3" w:rsidR="000B7F16" w:rsidRPr="00767F63" w:rsidRDefault="00ED113A" w:rsidP="00877198">
            <w:pPr>
              <w:spacing w:line="360" w:lineRule="auto"/>
              <w:rPr>
                <w:sz w:val="16"/>
                <w:szCs w:val="16"/>
              </w:rPr>
            </w:pPr>
            <w:r w:rsidRPr="00767F63">
              <w:rPr>
                <w:sz w:val="16"/>
                <w:szCs w:val="16"/>
              </w:rPr>
              <w:t>Shanghai Yuanye Biotechnology</w:t>
            </w:r>
          </w:p>
        </w:tc>
        <w:tc>
          <w:tcPr>
            <w:tcW w:w="1321" w:type="dxa"/>
            <w:vAlign w:val="center"/>
            <w:hideMark/>
          </w:tcPr>
          <w:p w14:paraId="4C29CDD4"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98.0%</w:t>
            </w:r>
          </w:p>
        </w:tc>
      </w:tr>
      <w:tr w:rsidR="000B7F16" w:rsidRPr="00767F63" w14:paraId="5C4FC471" w14:textId="77777777" w:rsidTr="00767F63">
        <w:tc>
          <w:tcPr>
            <w:tcW w:w="0" w:type="auto"/>
            <w:vAlign w:val="center"/>
            <w:hideMark/>
          </w:tcPr>
          <w:p w14:paraId="3840E45E" w14:textId="4A60DDF6" w:rsidR="000B7F16" w:rsidRPr="00767F63" w:rsidRDefault="00076599" w:rsidP="00877198">
            <w:pPr>
              <w:spacing w:line="360" w:lineRule="auto"/>
              <w:rPr>
                <w:sz w:val="16"/>
                <w:szCs w:val="16"/>
              </w:rPr>
            </w:pPr>
            <w:r w:rsidRPr="00767F63">
              <w:rPr>
                <w:sz w:val="16"/>
                <w:szCs w:val="16"/>
              </w:rPr>
              <w:t>Chloroform</w:t>
            </w:r>
          </w:p>
        </w:tc>
        <w:tc>
          <w:tcPr>
            <w:tcW w:w="0" w:type="auto"/>
            <w:vAlign w:val="center"/>
            <w:hideMark/>
          </w:tcPr>
          <w:p w14:paraId="2C85B11B" w14:textId="77777777" w:rsidR="000B7F16" w:rsidRPr="00767F63" w:rsidRDefault="000B7F16" w:rsidP="00877198">
            <w:pPr>
              <w:spacing w:line="360" w:lineRule="auto"/>
              <w:rPr>
                <w:sz w:val="16"/>
                <w:szCs w:val="16"/>
              </w:rPr>
            </w:pPr>
            <w:r w:rsidRPr="00767F63">
              <w:rPr>
                <w:sz w:val="16"/>
                <w:szCs w:val="16"/>
              </w:rPr>
              <w:t>G75915B</w:t>
            </w:r>
          </w:p>
        </w:tc>
        <w:tc>
          <w:tcPr>
            <w:tcW w:w="1693" w:type="dxa"/>
            <w:vAlign w:val="center"/>
            <w:hideMark/>
          </w:tcPr>
          <w:p w14:paraId="1FE8332D" w14:textId="77777777" w:rsidR="000B7F16" w:rsidRPr="00767F63" w:rsidRDefault="000B7F16" w:rsidP="00877198">
            <w:pPr>
              <w:spacing w:line="360" w:lineRule="auto"/>
              <w:rPr>
                <w:sz w:val="16"/>
                <w:szCs w:val="16"/>
              </w:rPr>
            </w:pPr>
            <w:r w:rsidRPr="00767F63">
              <w:rPr>
                <w:sz w:val="16"/>
                <w:szCs w:val="16"/>
              </w:rPr>
              <w:t>Greagent</w:t>
            </w:r>
          </w:p>
        </w:tc>
        <w:tc>
          <w:tcPr>
            <w:tcW w:w="1321" w:type="dxa"/>
            <w:vAlign w:val="center"/>
            <w:hideMark/>
          </w:tcPr>
          <w:p w14:paraId="29FFFB13" w14:textId="77777777" w:rsidR="000B7F16" w:rsidRPr="00767F63" w:rsidRDefault="000B7F16" w:rsidP="00877198">
            <w:pPr>
              <w:spacing w:line="360" w:lineRule="auto"/>
              <w:rPr>
                <w:sz w:val="16"/>
                <w:szCs w:val="16"/>
              </w:rPr>
            </w:pPr>
            <w:r w:rsidRPr="00767F63">
              <w:rPr>
                <w:sz w:val="16"/>
                <w:szCs w:val="16"/>
              </w:rPr>
              <w:t>AR</w:t>
            </w:r>
            <w:r w:rsidRPr="00767F63">
              <w:rPr>
                <w:sz w:val="16"/>
                <w:szCs w:val="16"/>
              </w:rPr>
              <w:t>级；</w:t>
            </w:r>
            <w:r w:rsidRPr="00767F63">
              <w:rPr>
                <w:sz w:val="16"/>
                <w:szCs w:val="16"/>
              </w:rPr>
              <w:t>99.0%</w:t>
            </w:r>
          </w:p>
        </w:tc>
      </w:tr>
      <w:tr w:rsidR="000B7F16" w:rsidRPr="00767F63" w14:paraId="729AFD35" w14:textId="77777777" w:rsidTr="00767F63">
        <w:tc>
          <w:tcPr>
            <w:tcW w:w="0" w:type="auto"/>
            <w:vAlign w:val="center"/>
            <w:hideMark/>
          </w:tcPr>
          <w:p w14:paraId="7B301A42" w14:textId="292E86CF" w:rsidR="000B7F16" w:rsidRPr="00767F63" w:rsidRDefault="00076599" w:rsidP="00877198">
            <w:pPr>
              <w:spacing w:line="360" w:lineRule="auto"/>
              <w:rPr>
                <w:sz w:val="16"/>
                <w:szCs w:val="16"/>
              </w:rPr>
            </w:pPr>
            <w:r w:rsidRPr="00767F63">
              <w:rPr>
                <w:sz w:val="16"/>
                <w:szCs w:val="16"/>
              </w:rPr>
              <w:t>N-hexane</w:t>
            </w:r>
          </w:p>
        </w:tc>
        <w:tc>
          <w:tcPr>
            <w:tcW w:w="0" w:type="auto"/>
            <w:vAlign w:val="center"/>
            <w:hideMark/>
          </w:tcPr>
          <w:p w14:paraId="7F6C55CD" w14:textId="77777777" w:rsidR="000B7F16" w:rsidRPr="00767F63" w:rsidRDefault="000B7F16" w:rsidP="00877198">
            <w:pPr>
              <w:spacing w:line="360" w:lineRule="auto"/>
              <w:rPr>
                <w:sz w:val="16"/>
                <w:szCs w:val="16"/>
              </w:rPr>
            </w:pPr>
            <w:r w:rsidRPr="00767F63">
              <w:rPr>
                <w:sz w:val="16"/>
                <w:szCs w:val="16"/>
              </w:rPr>
              <w:t>4.011518.0500</w:t>
            </w:r>
          </w:p>
        </w:tc>
        <w:tc>
          <w:tcPr>
            <w:tcW w:w="1693" w:type="dxa"/>
            <w:vAlign w:val="center"/>
            <w:hideMark/>
          </w:tcPr>
          <w:p w14:paraId="7A24952D" w14:textId="77777777" w:rsidR="000B7F16" w:rsidRPr="00767F63" w:rsidRDefault="000B7F16" w:rsidP="00877198">
            <w:pPr>
              <w:spacing w:line="360" w:lineRule="auto"/>
              <w:rPr>
                <w:sz w:val="16"/>
                <w:szCs w:val="16"/>
              </w:rPr>
            </w:pPr>
            <w:r w:rsidRPr="00767F63">
              <w:rPr>
                <w:sz w:val="16"/>
                <w:szCs w:val="16"/>
              </w:rPr>
              <w:t>CNW</w:t>
            </w:r>
          </w:p>
        </w:tc>
        <w:tc>
          <w:tcPr>
            <w:tcW w:w="1321" w:type="dxa"/>
            <w:vAlign w:val="center"/>
            <w:hideMark/>
          </w:tcPr>
          <w:p w14:paraId="687BDB5A"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98.5%</w:t>
            </w:r>
          </w:p>
        </w:tc>
      </w:tr>
      <w:tr w:rsidR="000B7F16" w:rsidRPr="00767F63" w14:paraId="684447AD" w14:textId="77777777" w:rsidTr="00767F63">
        <w:tc>
          <w:tcPr>
            <w:tcW w:w="0" w:type="auto"/>
            <w:vAlign w:val="center"/>
            <w:hideMark/>
          </w:tcPr>
          <w:p w14:paraId="3EF0E193" w14:textId="21044A0E" w:rsidR="000B7F16" w:rsidRPr="00767F63" w:rsidRDefault="00076599" w:rsidP="00877198">
            <w:pPr>
              <w:spacing w:line="360" w:lineRule="auto"/>
              <w:rPr>
                <w:sz w:val="16"/>
                <w:szCs w:val="16"/>
              </w:rPr>
            </w:pPr>
            <w:r w:rsidRPr="00767F63">
              <w:rPr>
                <w:sz w:val="16"/>
                <w:szCs w:val="16"/>
              </w:rPr>
              <w:t>Pyridine</w:t>
            </w:r>
          </w:p>
        </w:tc>
        <w:tc>
          <w:tcPr>
            <w:tcW w:w="0" w:type="auto"/>
            <w:vAlign w:val="center"/>
            <w:hideMark/>
          </w:tcPr>
          <w:p w14:paraId="3A0AA00A" w14:textId="77777777" w:rsidR="000B7F16" w:rsidRPr="00767F63" w:rsidRDefault="000B7F16" w:rsidP="00877198">
            <w:pPr>
              <w:spacing w:line="360" w:lineRule="auto"/>
              <w:rPr>
                <w:sz w:val="16"/>
                <w:szCs w:val="16"/>
              </w:rPr>
            </w:pPr>
            <w:r w:rsidRPr="00767F63">
              <w:rPr>
                <w:sz w:val="16"/>
                <w:szCs w:val="16"/>
              </w:rPr>
              <w:t>P141169-1L</w:t>
            </w:r>
          </w:p>
        </w:tc>
        <w:tc>
          <w:tcPr>
            <w:tcW w:w="1693" w:type="dxa"/>
            <w:vAlign w:val="center"/>
            <w:hideMark/>
          </w:tcPr>
          <w:p w14:paraId="44AA7F17" w14:textId="0A7817F0" w:rsidR="000B7F16" w:rsidRPr="00767F63" w:rsidRDefault="00EE56FE" w:rsidP="00877198">
            <w:pPr>
              <w:spacing w:line="360" w:lineRule="auto"/>
              <w:rPr>
                <w:sz w:val="16"/>
                <w:szCs w:val="16"/>
              </w:rPr>
            </w:pPr>
            <w:r w:rsidRPr="00767F63">
              <w:rPr>
                <w:sz w:val="16"/>
                <w:szCs w:val="16"/>
              </w:rPr>
              <w:t>Aladdin</w:t>
            </w:r>
          </w:p>
        </w:tc>
        <w:tc>
          <w:tcPr>
            <w:tcW w:w="1321" w:type="dxa"/>
            <w:vAlign w:val="center"/>
            <w:hideMark/>
          </w:tcPr>
          <w:p w14:paraId="5BDA7EEE"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32830470" w14:textId="77777777" w:rsidTr="00767F63">
        <w:tc>
          <w:tcPr>
            <w:tcW w:w="0" w:type="auto"/>
            <w:vAlign w:val="center"/>
            <w:hideMark/>
          </w:tcPr>
          <w:p w14:paraId="1E7EA22C" w14:textId="77777777" w:rsidR="000B7F16" w:rsidRPr="00767F63" w:rsidRDefault="000B7F16" w:rsidP="00877198">
            <w:pPr>
              <w:spacing w:line="360" w:lineRule="auto"/>
              <w:rPr>
                <w:sz w:val="16"/>
                <w:szCs w:val="16"/>
              </w:rPr>
            </w:pPr>
            <w:r w:rsidRPr="00767F63">
              <w:rPr>
                <w:sz w:val="16"/>
                <w:szCs w:val="16"/>
              </w:rPr>
              <w:t>BSTFA</w:t>
            </w:r>
          </w:p>
        </w:tc>
        <w:tc>
          <w:tcPr>
            <w:tcW w:w="0" w:type="auto"/>
            <w:vAlign w:val="center"/>
            <w:hideMark/>
          </w:tcPr>
          <w:p w14:paraId="7B204228" w14:textId="77777777" w:rsidR="000B7F16" w:rsidRPr="00767F63" w:rsidRDefault="000B7F16" w:rsidP="00877198">
            <w:pPr>
              <w:spacing w:line="360" w:lineRule="auto"/>
              <w:rPr>
                <w:sz w:val="16"/>
                <w:szCs w:val="16"/>
              </w:rPr>
            </w:pPr>
            <w:r w:rsidRPr="00767F63">
              <w:rPr>
                <w:sz w:val="16"/>
                <w:szCs w:val="16"/>
              </w:rPr>
              <w:t>B0830-25ml</w:t>
            </w:r>
          </w:p>
        </w:tc>
        <w:tc>
          <w:tcPr>
            <w:tcW w:w="1693" w:type="dxa"/>
            <w:vAlign w:val="center"/>
            <w:hideMark/>
          </w:tcPr>
          <w:p w14:paraId="1F96E002" w14:textId="77777777" w:rsidR="000B7F16" w:rsidRPr="00767F63" w:rsidRDefault="000B7F16" w:rsidP="00877198">
            <w:pPr>
              <w:spacing w:line="360" w:lineRule="auto"/>
              <w:rPr>
                <w:sz w:val="16"/>
                <w:szCs w:val="16"/>
              </w:rPr>
            </w:pPr>
            <w:r w:rsidRPr="00767F63">
              <w:rPr>
                <w:sz w:val="16"/>
                <w:szCs w:val="16"/>
              </w:rPr>
              <w:t>TCI</w:t>
            </w:r>
          </w:p>
        </w:tc>
        <w:tc>
          <w:tcPr>
            <w:tcW w:w="1321" w:type="dxa"/>
            <w:vAlign w:val="center"/>
            <w:hideMark/>
          </w:tcPr>
          <w:p w14:paraId="7A1C80B8" w14:textId="77777777" w:rsidR="000B7F16" w:rsidRPr="00767F63" w:rsidRDefault="000B7F16" w:rsidP="00877198">
            <w:pPr>
              <w:spacing w:line="360" w:lineRule="auto"/>
              <w:rPr>
                <w:sz w:val="16"/>
                <w:szCs w:val="16"/>
              </w:rPr>
            </w:pPr>
            <w:r w:rsidRPr="00767F63">
              <w:rPr>
                <w:sz w:val="16"/>
                <w:szCs w:val="16"/>
              </w:rPr>
              <w:t>0.95</w:t>
            </w:r>
          </w:p>
        </w:tc>
      </w:tr>
      <w:tr w:rsidR="000B7F16" w:rsidRPr="00767F63" w14:paraId="3AF4705C" w14:textId="77777777" w:rsidTr="00767F63">
        <w:tc>
          <w:tcPr>
            <w:tcW w:w="0" w:type="auto"/>
            <w:vAlign w:val="center"/>
            <w:hideMark/>
          </w:tcPr>
          <w:p w14:paraId="674DFE3F" w14:textId="703CD792" w:rsidR="000B7F16" w:rsidRPr="00767F63" w:rsidRDefault="004465B4" w:rsidP="00877198">
            <w:pPr>
              <w:spacing w:line="360" w:lineRule="auto"/>
              <w:rPr>
                <w:sz w:val="16"/>
                <w:szCs w:val="16"/>
              </w:rPr>
            </w:pPr>
            <w:r w:rsidRPr="00767F63">
              <w:rPr>
                <w:sz w:val="16"/>
                <w:szCs w:val="16"/>
              </w:rPr>
              <w:t>O-Methylhydroxylamine hydrochloride (97%)</w:t>
            </w:r>
          </w:p>
        </w:tc>
        <w:tc>
          <w:tcPr>
            <w:tcW w:w="0" w:type="auto"/>
            <w:vAlign w:val="center"/>
            <w:hideMark/>
          </w:tcPr>
          <w:p w14:paraId="361FB49E" w14:textId="77777777" w:rsidR="000B7F16" w:rsidRPr="00767F63" w:rsidRDefault="000B7F16" w:rsidP="00877198">
            <w:pPr>
              <w:spacing w:line="360" w:lineRule="auto"/>
              <w:rPr>
                <w:sz w:val="16"/>
                <w:szCs w:val="16"/>
              </w:rPr>
            </w:pPr>
            <w:r w:rsidRPr="00767F63">
              <w:rPr>
                <w:sz w:val="16"/>
                <w:szCs w:val="16"/>
              </w:rPr>
              <w:t>M813479-25g</w:t>
            </w:r>
          </w:p>
        </w:tc>
        <w:tc>
          <w:tcPr>
            <w:tcW w:w="1693" w:type="dxa"/>
            <w:vAlign w:val="center"/>
            <w:hideMark/>
          </w:tcPr>
          <w:p w14:paraId="7960E34B" w14:textId="77777777" w:rsidR="000B7F16" w:rsidRPr="00767F63" w:rsidRDefault="000B7F16" w:rsidP="00877198">
            <w:pPr>
              <w:spacing w:line="360" w:lineRule="auto"/>
              <w:rPr>
                <w:sz w:val="16"/>
                <w:szCs w:val="16"/>
              </w:rPr>
            </w:pPr>
            <w:r w:rsidRPr="00767F63">
              <w:rPr>
                <w:sz w:val="16"/>
                <w:szCs w:val="16"/>
              </w:rPr>
              <w:t>Macklin</w:t>
            </w:r>
          </w:p>
        </w:tc>
        <w:tc>
          <w:tcPr>
            <w:tcW w:w="1321" w:type="dxa"/>
            <w:vAlign w:val="center"/>
            <w:hideMark/>
          </w:tcPr>
          <w:p w14:paraId="14FCA28B" w14:textId="77777777" w:rsidR="000B7F16" w:rsidRPr="00767F63" w:rsidRDefault="000B7F16" w:rsidP="00877198">
            <w:pPr>
              <w:spacing w:line="360" w:lineRule="auto"/>
              <w:rPr>
                <w:sz w:val="16"/>
                <w:szCs w:val="16"/>
              </w:rPr>
            </w:pPr>
            <w:r w:rsidRPr="00767F63">
              <w:rPr>
                <w:sz w:val="16"/>
                <w:szCs w:val="16"/>
              </w:rPr>
              <w:t>0.98</w:t>
            </w:r>
          </w:p>
        </w:tc>
      </w:tr>
      <w:tr w:rsidR="000B7F16" w:rsidRPr="00767F63" w14:paraId="067DB291" w14:textId="77777777" w:rsidTr="00767F63">
        <w:tc>
          <w:tcPr>
            <w:tcW w:w="0" w:type="auto"/>
            <w:vAlign w:val="center"/>
            <w:hideMark/>
          </w:tcPr>
          <w:p w14:paraId="4E87464C" w14:textId="73372907" w:rsidR="000B7F16" w:rsidRPr="00767F63" w:rsidRDefault="00076599" w:rsidP="00877198">
            <w:pPr>
              <w:spacing w:line="360" w:lineRule="auto"/>
              <w:rPr>
                <w:sz w:val="16"/>
                <w:szCs w:val="16"/>
              </w:rPr>
            </w:pPr>
            <w:r w:rsidRPr="00767F63">
              <w:rPr>
                <w:sz w:val="16"/>
                <w:szCs w:val="16"/>
              </w:rPr>
              <w:t>Methyl caprylate standard</w:t>
            </w:r>
          </w:p>
        </w:tc>
        <w:tc>
          <w:tcPr>
            <w:tcW w:w="0" w:type="auto"/>
            <w:vAlign w:val="center"/>
            <w:hideMark/>
          </w:tcPr>
          <w:p w14:paraId="36A0B963" w14:textId="77777777" w:rsidR="000B7F16" w:rsidRPr="00767F63" w:rsidRDefault="000B7F16" w:rsidP="00877198">
            <w:pPr>
              <w:spacing w:line="360" w:lineRule="auto"/>
              <w:rPr>
                <w:sz w:val="16"/>
                <w:szCs w:val="16"/>
              </w:rPr>
            </w:pPr>
            <w:r w:rsidRPr="00767F63">
              <w:rPr>
                <w:sz w:val="16"/>
                <w:szCs w:val="16"/>
              </w:rPr>
              <w:t>G162300</w:t>
            </w:r>
          </w:p>
        </w:tc>
        <w:tc>
          <w:tcPr>
            <w:tcW w:w="1693" w:type="dxa"/>
            <w:vAlign w:val="center"/>
            <w:hideMark/>
          </w:tcPr>
          <w:p w14:paraId="4EF4D465" w14:textId="77777777" w:rsidR="000B7F16" w:rsidRPr="00767F63" w:rsidRDefault="000B7F16" w:rsidP="00877198">
            <w:pPr>
              <w:spacing w:line="360" w:lineRule="auto"/>
              <w:rPr>
                <w:sz w:val="16"/>
                <w:szCs w:val="16"/>
              </w:rPr>
            </w:pPr>
            <w:r w:rsidRPr="00767F63">
              <w:rPr>
                <w:sz w:val="16"/>
                <w:szCs w:val="16"/>
              </w:rPr>
              <w:t>Dr.Ehrenstorfeh</w:t>
            </w:r>
          </w:p>
        </w:tc>
        <w:tc>
          <w:tcPr>
            <w:tcW w:w="1321" w:type="dxa"/>
            <w:vAlign w:val="center"/>
            <w:hideMark/>
          </w:tcPr>
          <w:p w14:paraId="218500D5"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15399626" w14:textId="77777777" w:rsidTr="00767F63">
        <w:tc>
          <w:tcPr>
            <w:tcW w:w="0" w:type="auto"/>
            <w:vAlign w:val="center"/>
            <w:hideMark/>
          </w:tcPr>
          <w:p w14:paraId="1F380738" w14:textId="49B19461" w:rsidR="000B7F16" w:rsidRPr="00767F63" w:rsidRDefault="00076599" w:rsidP="00877198">
            <w:pPr>
              <w:spacing w:line="360" w:lineRule="auto"/>
              <w:rPr>
                <w:sz w:val="16"/>
                <w:szCs w:val="16"/>
              </w:rPr>
            </w:pPr>
            <w:r w:rsidRPr="00767F63">
              <w:rPr>
                <w:sz w:val="16"/>
                <w:szCs w:val="16"/>
              </w:rPr>
              <w:t xml:space="preserve">Methyl </w:t>
            </w:r>
            <w:r w:rsidR="004465B4" w:rsidRPr="00767F63">
              <w:rPr>
                <w:sz w:val="16"/>
                <w:szCs w:val="16"/>
              </w:rPr>
              <w:t>nonanoate (C9:0) standard</w:t>
            </w:r>
          </w:p>
        </w:tc>
        <w:tc>
          <w:tcPr>
            <w:tcW w:w="0" w:type="auto"/>
            <w:vAlign w:val="center"/>
            <w:hideMark/>
          </w:tcPr>
          <w:p w14:paraId="4379BF11" w14:textId="77777777" w:rsidR="000B7F16" w:rsidRPr="00767F63" w:rsidRDefault="000B7F16" w:rsidP="00877198">
            <w:pPr>
              <w:spacing w:line="360" w:lineRule="auto"/>
              <w:rPr>
                <w:sz w:val="16"/>
                <w:szCs w:val="16"/>
              </w:rPr>
            </w:pPr>
            <w:r w:rsidRPr="00767F63">
              <w:rPr>
                <w:sz w:val="16"/>
                <w:szCs w:val="16"/>
              </w:rPr>
              <w:t>N-9M-AU4-B</w:t>
            </w:r>
          </w:p>
        </w:tc>
        <w:tc>
          <w:tcPr>
            <w:tcW w:w="1693" w:type="dxa"/>
            <w:vAlign w:val="center"/>
            <w:hideMark/>
          </w:tcPr>
          <w:p w14:paraId="30A3D335"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17EA5E8A"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68BBC446" w14:textId="77777777" w:rsidTr="00767F63">
        <w:tc>
          <w:tcPr>
            <w:tcW w:w="0" w:type="auto"/>
            <w:vAlign w:val="center"/>
            <w:hideMark/>
          </w:tcPr>
          <w:p w14:paraId="5D41E441" w14:textId="655DB358" w:rsidR="000B7F16" w:rsidRPr="00767F63" w:rsidRDefault="00076599" w:rsidP="00877198">
            <w:pPr>
              <w:spacing w:line="360" w:lineRule="auto"/>
              <w:rPr>
                <w:sz w:val="16"/>
                <w:szCs w:val="16"/>
              </w:rPr>
            </w:pPr>
            <w:r w:rsidRPr="00767F63">
              <w:rPr>
                <w:sz w:val="16"/>
                <w:szCs w:val="16"/>
              </w:rPr>
              <w:t xml:space="preserve">Methyl </w:t>
            </w:r>
            <w:r w:rsidR="004465B4" w:rsidRPr="00767F63">
              <w:rPr>
                <w:sz w:val="16"/>
                <w:szCs w:val="16"/>
              </w:rPr>
              <w:t>decanoate (C10:0) standard</w:t>
            </w:r>
          </w:p>
        </w:tc>
        <w:tc>
          <w:tcPr>
            <w:tcW w:w="0" w:type="auto"/>
            <w:vAlign w:val="center"/>
            <w:hideMark/>
          </w:tcPr>
          <w:p w14:paraId="43DE7126" w14:textId="77777777" w:rsidR="000B7F16" w:rsidRPr="00767F63" w:rsidRDefault="000B7F16" w:rsidP="00877198">
            <w:pPr>
              <w:spacing w:line="360" w:lineRule="auto"/>
              <w:rPr>
                <w:sz w:val="16"/>
                <w:szCs w:val="16"/>
              </w:rPr>
            </w:pPr>
            <w:r w:rsidRPr="00767F63">
              <w:rPr>
                <w:sz w:val="16"/>
                <w:szCs w:val="16"/>
              </w:rPr>
              <w:t>N-10M-A18-D</w:t>
            </w:r>
          </w:p>
        </w:tc>
        <w:tc>
          <w:tcPr>
            <w:tcW w:w="1693" w:type="dxa"/>
            <w:vAlign w:val="center"/>
            <w:hideMark/>
          </w:tcPr>
          <w:p w14:paraId="47A788FC"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013EFEA6"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631A6009" w14:textId="77777777" w:rsidTr="00767F63">
        <w:tc>
          <w:tcPr>
            <w:tcW w:w="0" w:type="auto"/>
            <w:vAlign w:val="center"/>
            <w:hideMark/>
          </w:tcPr>
          <w:p w14:paraId="0665A473" w14:textId="242AEA4B" w:rsidR="000B7F16" w:rsidRPr="00767F63" w:rsidRDefault="00076599" w:rsidP="00877198">
            <w:pPr>
              <w:spacing w:line="360" w:lineRule="auto"/>
              <w:rPr>
                <w:sz w:val="16"/>
                <w:szCs w:val="16"/>
              </w:rPr>
            </w:pPr>
            <w:r w:rsidRPr="00767F63">
              <w:rPr>
                <w:sz w:val="16"/>
                <w:szCs w:val="16"/>
              </w:rPr>
              <w:t xml:space="preserve">Methyl </w:t>
            </w:r>
            <w:r w:rsidR="004465B4" w:rsidRPr="00767F63">
              <w:rPr>
                <w:sz w:val="16"/>
                <w:szCs w:val="16"/>
              </w:rPr>
              <w:t>laurate (C12:0) standard</w:t>
            </w:r>
          </w:p>
        </w:tc>
        <w:tc>
          <w:tcPr>
            <w:tcW w:w="0" w:type="auto"/>
            <w:vAlign w:val="center"/>
            <w:hideMark/>
          </w:tcPr>
          <w:p w14:paraId="046287C1" w14:textId="77777777" w:rsidR="000B7F16" w:rsidRPr="00767F63" w:rsidRDefault="000B7F16" w:rsidP="00877198">
            <w:pPr>
              <w:spacing w:line="360" w:lineRule="auto"/>
              <w:rPr>
                <w:sz w:val="16"/>
                <w:szCs w:val="16"/>
              </w:rPr>
            </w:pPr>
            <w:r w:rsidRPr="00767F63">
              <w:rPr>
                <w:sz w:val="16"/>
                <w:szCs w:val="16"/>
              </w:rPr>
              <w:t>N-12M-AU15-D</w:t>
            </w:r>
          </w:p>
        </w:tc>
        <w:tc>
          <w:tcPr>
            <w:tcW w:w="1693" w:type="dxa"/>
            <w:vAlign w:val="center"/>
            <w:hideMark/>
          </w:tcPr>
          <w:p w14:paraId="52FE9E86"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0D14695A"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051FE41F" w14:textId="77777777" w:rsidTr="00767F63">
        <w:tc>
          <w:tcPr>
            <w:tcW w:w="0" w:type="auto"/>
            <w:vAlign w:val="center"/>
            <w:hideMark/>
          </w:tcPr>
          <w:p w14:paraId="05E317E8" w14:textId="2C5B8475" w:rsidR="000B7F16" w:rsidRPr="00767F63" w:rsidRDefault="00076599" w:rsidP="00877198">
            <w:pPr>
              <w:spacing w:line="360" w:lineRule="auto"/>
              <w:rPr>
                <w:sz w:val="16"/>
                <w:szCs w:val="16"/>
              </w:rPr>
            </w:pPr>
            <w:r w:rsidRPr="00767F63">
              <w:rPr>
                <w:sz w:val="16"/>
                <w:szCs w:val="16"/>
              </w:rPr>
              <w:t xml:space="preserve">Methyl </w:t>
            </w:r>
            <w:r w:rsidR="004465B4" w:rsidRPr="00767F63">
              <w:rPr>
                <w:sz w:val="16"/>
                <w:szCs w:val="16"/>
              </w:rPr>
              <w:t>myristate (C14:0) standard</w:t>
            </w:r>
          </w:p>
        </w:tc>
        <w:tc>
          <w:tcPr>
            <w:tcW w:w="0" w:type="auto"/>
            <w:vAlign w:val="center"/>
            <w:hideMark/>
          </w:tcPr>
          <w:p w14:paraId="7418E290" w14:textId="77777777" w:rsidR="000B7F16" w:rsidRPr="00767F63" w:rsidRDefault="000B7F16" w:rsidP="00877198">
            <w:pPr>
              <w:spacing w:line="360" w:lineRule="auto"/>
              <w:rPr>
                <w:sz w:val="16"/>
                <w:szCs w:val="16"/>
              </w:rPr>
            </w:pPr>
            <w:r w:rsidRPr="00767F63">
              <w:rPr>
                <w:sz w:val="16"/>
                <w:szCs w:val="16"/>
              </w:rPr>
              <w:t>N-14M-A24-E</w:t>
            </w:r>
          </w:p>
        </w:tc>
        <w:tc>
          <w:tcPr>
            <w:tcW w:w="1693" w:type="dxa"/>
            <w:vAlign w:val="center"/>
            <w:hideMark/>
          </w:tcPr>
          <w:p w14:paraId="79B8B2DC"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3DB28833"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7EF96AD5" w14:textId="77777777" w:rsidTr="00767F63">
        <w:tc>
          <w:tcPr>
            <w:tcW w:w="0" w:type="auto"/>
            <w:vAlign w:val="center"/>
            <w:hideMark/>
          </w:tcPr>
          <w:p w14:paraId="337F39B3" w14:textId="543B4AF7" w:rsidR="000B7F16" w:rsidRPr="00767F63" w:rsidRDefault="00076599" w:rsidP="00877198">
            <w:pPr>
              <w:spacing w:line="360" w:lineRule="auto"/>
              <w:rPr>
                <w:sz w:val="16"/>
                <w:szCs w:val="16"/>
              </w:rPr>
            </w:pPr>
            <w:r w:rsidRPr="00767F63">
              <w:rPr>
                <w:sz w:val="16"/>
                <w:szCs w:val="16"/>
              </w:rPr>
              <w:t xml:space="preserve">Methyl </w:t>
            </w:r>
            <w:r w:rsidR="004465B4" w:rsidRPr="00767F63">
              <w:rPr>
                <w:sz w:val="16"/>
                <w:szCs w:val="16"/>
              </w:rPr>
              <w:t>palmitate (C16:0) standard</w:t>
            </w:r>
          </w:p>
        </w:tc>
        <w:tc>
          <w:tcPr>
            <w:tcW w:w="0" w:type="auto"/>
            <w:vAlign w:val="center"/>
            <w:hideMark/>
          </w:tcPr>
          <w:p w14:paraId="32D569F6" w14:textId="77777777" w:rsidR="000B7F16" w:rsidRPr="00767F63" w:rsidRDefault="000B7F16" w:rsidP="00877198">
            <w:pPr>
              <w:spacing w:line="360" w:lineRule="auto"/>
              <w:rPr>
                <w:sz w:val="16"/>
                <w:szCs w:val="16"/>
              </w:rPr>
            </w:pPr>
            <w:r w:rsidRPr="00767F63">
              <w:rPr>
                <w:sz w:val="16"/>
                <w:szCs w:val="16"/>
              </w:rPr>
              <w:t>G161798</w:t>
            </w:r>
          </w:p>
        </w:tc>
        <w:tc>
          <w:tcPr>
            <w:tcW w:w="1693" w:type="dxa"/>
            <w:vAlign w:val="center"/>
            <w:hideMark/>
          </w:tcPr>
          <w:p w14:paraId="404EC55A" w14:textId="77777777" w:rsidR="000B7F16" w:rsidRPr="00767F63" w:rsidRDefault="000B7F16" w:rsidP="00877198">
            <w:pPr>
              <w:spacing w:line="360" w:lineRule="auto"/>
              <w:rPr>
                <w:sz w:val="16"/>
                <w:szCs w:val="16"/>
              </w:rPr>
            </w:pPr>
            <w:r w:rsidRPr="00767F63">
              <w:rPr>
                <w:sz w:val="16"/>
                <w:szCs w:val="16"/>
              </w:rPr>
              <w:t>Dr.Ehrenstorfeh</w:t>
            </w:r>
          </w:p>
        </w:tc>
        <w:tc>
          <w:tcPr>
            <w:tcW w:w="1321" w:type="dxa"/>
            <w:vAlign w:val="center"/>
            <w:hideMark/>
          </w:tcPr>
          <w:p w14:paraId="28F5F65F"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237BE369" w14:textId="77777777" w:rsidTr="00767F63">
        <w:tc>
          <w:tcPr>
            <w:tcW w:w="0" w:type="auto"/>
            <w:vAlign w:val="center"/>
            <w:hideMark/>
          </w:tcPr>
          <w:p w14:paraId="418462CB" w14:textId="0117B765" w:rsidR="000B7F16" w:rsidRPr="00767F63" w:rsidRDefault="00076599" w:rsidP="00877198">
            <w:pPr>
              <w:spacing w:line="360" w:lineRule="auto"/>
              <w:rPr>
                <w:sz w:val="16"/>
                <w:szCs w:val="16"/>
              </w:rPr>
            </w:pPr>
            <w:r w:rsidRPr="00767F63">
              <w:rPr>
                <w:sz w:val="16"/>
                <w:szCs w:val="16"/>
              </w:rPr>
              <w:t xml:space="preserve">Methyl </w:t>
            </w:r>
            <w:r w:rsidR="00ED113A" w:rsidRPr="00767F63">
              <w:rPr>
                <w:sz w:val="16"/>
                <w:szCs w:val="16"/>
              </w:rPr>
              <w:t>stearate (C18:0) standard</w:t>
            </w:r>
          </w:p>
        </w:tc>
        <w:tc>
          <w:tcPr>
            <w:tcW w:w="0" w:type="auto"/>
            <w:vAlign w:val="center"/>
            <w:hideMark/>
          </w:tcPr>
          <w:p w14:paraId="0ECED180" w14:textId="77777777" w:rsidR="000B7F16" w:rsidRPr="00767F63" w:rsidRDefault="000B7F16" w:rsidP="00877198">
            <w:pPr>
              <w:spacing w:line="360" w:lineRule="auto"/>
              <w:rPr>
                <w:sz w:val="16"/>
                <w:szCs w:val="16"/>
              </w:rPr>
            </w:pPr>
            <w:r w:rsidRPr="00767F63">
              <w:rPr>
                <w:sz w:val="16"/>
                <w:szCs w:val="16"/>
              </w:rPr>
              <w:t>N-18M-O9-C</w:t>
            </w:r>
          </w:p>
        </w:tc>
        <w:tc>
          <w:tcPr>
            <w:tcW w:w="1693" w:type="dxa"/>
            <w:vAlign w:val="center"/>
            <w:hideMark/>
          </w:tcPr>
          <w:p w14:paraId="2F47E77B"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74881433"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4BB92FC5" w14:textId="77777777" w:rsidTr="00767F63">
        <w:tc>
          <w:tcPr>
            <w:tcW w:w="0" w:type="auto"/>
            <w:vAlign w:val="center"/>
            <w:hideMark/>
          </w:tcPr>
          <w:p w14:paraId="62D008C9" w14:textId="7EE40DCF" w:rsidR="000B7F16" w:rsidRPr="00767F63" w:rsidRDefault="00076599" w:rsidP="00877198">
            <w:pPr>
              <w:spacing w:line="360" w:lineRule="auto"/>
              <w:rPr>
                <w:sz w:val="16"/>
                <w:szCs w:val="16"/>
              </w:rPr>
            </w:pPr>
            <w:r w:rsidRPr="00767F63">
              <w:rPr>
                <w:sz w:val="16"/>
                <w:szCs w:val="16"/>
              </w:rPr>
              <w:t xml:space="preserve">Methyl </w:t>
            </w:r>
            <w:r w:rsidR="00ED113A" w:rsidRPr="00767F63">
              <w:rPr>
                <w:sz w:val="16"/>
                <w:szCs w:val="16"/>
              </w:rPr>
              <w:t>arachidate (C20:0) standard</w:t>
            </w:r>
          </w:p>
        </w:tc>
        <w:tc>
          <w:tcPr>
            <w:tcW w:w="0" w:type="auto"/>
            <w:vAlign w:val="center"/>
            <w:hideMark/>
          </w:tcPr>
          <w:p w14:paraId="61EDF876" w14:textId="77777777" w:rsidR="000B7F16" w:rsidRPr="00767F63" w:rsidRDefault="000B7F16" w:rsidP="00877198">
            <w:pPr>
              <w:spacing w:line="360" w:lineRule="auto"/>
              <w:rPr>
                <w:sz w:val="16"/>
                <w:szCs w:val="16"/>
              </w:rPr>
            </w:pPr>
            <w:r w:rsidRPr="00767F63">
              <w:rPr>
                <w:sz w:val="16"/>
                <w:szCs w:val="16"/>
              </w:rPr>
              <w:t>N-20M-J27-E</w:t>
            </w:r>
          </w:p>
        </w:tc>
        <w:tc>
          <w:tcPr>
            <w:tcW w:w="1693" w:type="dxa"/>
            <w:vAlign w:val="center"/>
            <w:hideMark/>
          </w:tcPr>
          <w:p w14:paraId="0161A0DC"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1964D12B"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3CF4979B" w14:textId="77777777" w:rsidTr="00767F63">
        <w:tc>
          <w:tcPr>
            <w:tcW w:w="0" w:type="auto"/>
            <w:vAlign w:val="center"/>
            <w:hideMark/>
          </w:tcPr>
          <w:p w14:paraId="1A6A730C" w14:textId="3505A923" w:rsidR="000B7F16" w:rsidRPr="00767F63" w:rsidRDefault="00076599" w:rsidP="00877198">
            <w:pPr>
              <w:spacing w:line="360" w:lineRule="auto"/>
              <w:rPr>
                <w:sz w:val="16"/>
                <w:szCs w:val="16"/>
              </w:rPr>
            </w:pPr>
            <w:r w:rsidRPr="00767F63">
              <w:rPr>
                <w:sz w:val="16"/>
                <w:szCs w:val="16"/>
              </w:rPr>
              <w:t xml:space="preserve">Methyl </w:t>
            </w:r>
            <w:r w:rsidR="00ED113A" w:rsidRPr="00767F63">
              <w:rPr>
                <w:sz w:val="16"/>
                <w:szCs w:val="16"/>
              </w:rPr>
              <w:t>behenate (C22:0) standard</w:t>
            </w:r>
          </w:p>
        </w:tc>
        <w:tc>
          <w:tcPr>
            <w:tcW w:w="0" w:type="auto"/>
            <w:vAlign w:val="center"/>
            <w:hideMark/>
          </w:tcPr>
          <w:p w14:paraId="00CC4052" w14:textId="77777777" w:rsidR="000B7F16" w:rsidRPr="00767F63" w:rsidRDefault="000B7F16" w:rsidP="00877198">
            <w:pPr>
              <w:spacing w:line="360" w:lineRule="auto"/>
              <w:rPr>
                <w:sz w:val="16"/>
                <w:szCs w:val="16"/>
              </w:rPr>
            </w:pPr>
            <w:r w:rsidRPr="00767F63">
              <w:rPr>
                <w:sz w:val="16"/>
                <w:szCs w:val="16"/>
              </w:rPr>
              <w:t>N-22M-JY30-E</w:t>
            </w:r>
          </w:p>
        </w:tc>
        <w:tc>
          <w:tcPr>
            <w:tcW w:w="1693" w:type="dxa"/>
            <w:vAlign w:val="center"/>
            <w:hideMark/>
          </w:tcPr>
          <w:p w14:paraId="36CC3CAB" w14:textId="77777777" w:rsidR="000B7F16" w:rsidRPr="00767F63" w:rsidRDefault="000B7F16" w:rsidP="00877198">
            <w:pPr>
              <w:spacing w:line="360" w:lineRule="auto"/>
              <w:rPr>
                <w:sz w:val="16"/>
                <w:szCs w:val="16"/>
              </w:rPr>
            </w:pPr>
            <w:r w:rsidRPr="00767F63">
              <w:rPr>
                <w:sz w:val="16"/>
                <w:szCs w:val="16"/>
              </w:rPr>
              <w:t>NU-chek</w:t>
            </w:r>
          </w:p>
        </w:tc>
        <w:tc>
          <w:tcPr>
            <w:tcW w:w="1321" w:type="dxa"/>
            <w:vAlign w:val="center"/>
            <w:hideMark/>
          </w:tcPr>
          <w:p w14:paraId="54402C69"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r w:rsidR="000B7F16" w:rsidRPr="00767F63" w14:paraId="5239C549" w14:textId="77777777" w:rsidTr="00767F63">
        <w:tc>
          <w:tcPr>
            <w:tcW w:w="0" w:type="auto"/>
            <w:tcBorders>
              <w:bottom w:val="single" w:sz="4" w:space="0" w:color="auto"/>
            </w:tcBorders>
            <w:vAlign w:val="center"/>
            <w:hideMark/>
          </w:tcPr>
          <w:p w14:paraId="0E68D886" w14:textId="07981575" w:rsidR="000B7F16" w:rsidRPr="00767F63" w:rsidRDefault="00076599" w:rsidP="00877198">
            <w:pPr>
              <w:spacing w:line="360" w:lineRule="auto"/>
              <w:rPr>
                <w:sz w:val="16"/>
                <w:szCs w:val="16"/>
              </w:rPr>
            </w:pPr>
            <w:r w:rsidRPr="00767F63">
              <w:rPr>
                <w:sz w:val="16"/>
                <w:szCs w:val="16"/>
              </w:rPr>
              <w:t xml:space="preserve">Methyl </w:t>
            </w:r>
            <w:r w:rsidR="00ED113A" w:rsidRPr="00767F63">
              <w:rPr>
                <w:sz w:val="16"/>
                <w:szCs w:val="16"/>
              </w:rPr>
              <w:t>lignocerate (C24:0) standard</w:t>
            </w:r>
          </w:p>
        </w:tc>
        <w:tc>
          <w:tcPr>
            <w:tcW w:w="0" w:type="auto"/>
            <w:tcBorders>
              <w:bottom w:val="single" w:sz="4" w:space="0" w:color="auto"/>
            </w:tcBorders>
            <w:vAlign w:val="center"/>
            <w:hideMark/>
          </w:tcPr>
          <w:p w14:paraId="67473D88" w14:textId="77777777" w:rsidR="000B7F16" w:rsidRPr="00767F63" w:rsidRDefault="000B7F16" w:rsidP="00877198">
            <w:pPr>
              <w:spacing w:line="360" w:lineRule="auto"/>
              <w:rPr>
                <w:sz w:val="16"/>
                <w:szCs w:val="16"/>
              </w:rPr>
            </w:pPr>
            <w:r w:rsidRPr="00767F63">
              <w:rPr>
                <w:sz w:val="16"/>
                <w:szCs w:val="16"/>
              </w:rPr>
              <w:t>N-24M-S6-A</w:t>
            </w:r>
          </w:p>
        </w:tc>
        <w:tc>
          <w:tcPr>
            <w:tcW w:w="1693" w:type="dxa"/>
            <w:tcBorders>
              <w:bottom w:val="single" w:sz="4" w:space="0" w:color="auto"/>
            </w:tcBorders>
            <w:vAlign w:val="center"/>
            <w:hideMark/>
          </w:tcPr>
          <w:p w14:paraId="331074BB" w14:textId="77777777" w:rsidR="000B7F16" w:rsidRPr="00767F63" w:rsidRDefault="000B7F16" w:rsidP="00877198">
            <w:pPr>
              <w:spacing w:line="360" w:lineRule="auto"/>
              <w:rPr>
                <w:sz w:val="16"/>
                <w:szCs w:val="16"/>
              </w:rPr>
            </w:pPr>
            <w:r w:rsidRPr="00767F63">
              <w:rPr>
                <w:sz w:val="16"/>
                <w:szCs w:val="16"/>
              </w:rPr>
              <w:t>NU-chek</w:t>
            </w:r>
          </w:p>
        </w:tc>
        <w:tc>
          <w:tcPr>
            <w:tcW w:w="1321" w:type="dxa"/>
            <w:tcBorders>
              <w:bottom w:val="single" w:sz="4" w:space="0" w:color="auto"/>
            </w:tcBorders>
            <w:vAlign w:val="center"/>
            <w:hideMark/>
          </w:tcPr>
          <w:p w14:paraId="195AFA1C" w14:textId="77777777" w:rsidR="000B7F16" w:rsidRPr="00767F63" w:rsidRDefault="000B7F16" w:rsidP="00877198">
            <w:pPr>
              <w:spacing w:line="360" w:lineRule="auto"/>
              <w:rPr>
                <w:sz w:val="16"/>
                <w:szCs w:val="16"/>
              </w:rPr>
            </w:pPr>
            <w:r w:rsidRPr="00767F63">
              <w:rPr>
                <w:sz w:val="16"/>
                <w:szCs w:val="16"/>
              </w:rPr>
              <w:t>HPLC</w:t>
            </w:r>
            <w:r w:rsidRPr="00767F63">
              <w:rPr>
                <w:sz w:val="16"/>
                <w:szCs w:val="16"/>
              </w:rPr>
              <w:t>，</w:t>
            </w:r>
            <w:r w:rsidRPr="00767F63">
              <w:rPr>
                <w:sz w:val="16"/>
                <w:szCs w:val="16"/>
              </w:rPr>
              <w:t>99.0%</w:t>
            </w:r>
          </w:p>
        </w:tc>
      </w:tr>
    </w:tbl>
    <w:p w14:paraId="57CB3720" w14:textId="77777777" w:rsidR="007E0256" w:rsidRPr="00A71BEC" w:rsidRDefault="007E0256" w:rsidP="00EE56FE">
      <w:pPr>
        <w:spacing w:line="480" w:lineRule="auto"/>
        <w:rPr>
          <w:b/>
          <w:bCs/>
          <w:sz w:val="20"/>
          <w:szCs w:val="20"/>
        </w:rPr>
      </w:pPr>
      <w:r w:rsidRPr="00A71BEC">
        <w:rPr>
          <w:b/>
          <w:bCs/>
          <w:sz w:val="20"/>
          <w:szCs w:val="20"/>
        </w:rPr>
        <w:br w:type="page"/>
      </w:r>
    </w:p>
    <w:p w14:paraId="1BDEF3F5" w14:textId="0019B163" w:rsidR="000B7F16" w:rsidRPr="00A71BEC" w:rsidRDefault="0075785D" w:rsidP="00EE56FE">
      <w:pPr>
        <w:spacing w:line="480" w:lineRule="auto"/>
        <w:rPr>
          <w:b/>
          <w:bCs/>
          <w:sz w:val="20"/>
          <w:szCs w:val="20"/>
        </w:rPr>
      </w:pPr>
      <w:r w:rsidRPr="00D353C9">
        <w:rPr>
          <w:b/>
          <w:sz w:val="20"/>
          <w:szCs w:val="20"/>
        </w:rPr>
        <w:lastRenderedPageBreak/>
        <w:t xml:space="preserve">Supplementary </w:t>
      </w:r>
      <w:r w:rsidR="00C05359" w:rsidRPr="009133C6">
        <w:rPr>
          <w:rFonts w:eastAsia="Times New Roman"/>
          <w:b/>
          <w:sz w:val="20"/>
        </w:rPr>
        <w:t>Data S1.4</w:t>
      </w:r>
      <w:r w:rsidR="0062790D" w:rsidRPr="00A71BEC">
        <w:rPr>
          <w:b/>
          <w:bCs/>
          <w:sz w:val="20"/>
          <w:szCs w:val="20"/>
        </w:rPr>
        <w:t xml:space="preserve"> </w:t>
      </w:r>
      <w:r w:rsidR="008C07A6" w:rsidRPr="00A71BEC">
        <w:rPr>
          <w:b/>
          <w:bCs/>
          <w:sz w:val="20"/>
          <w:szCs w:val="20"/>
        </w:rPr>
        <w:t>Metabolomics Data Acquisition</w:t>
      </w:r>
    </w:p>
    <w:p w14:paraId="49E2F8A9" w14:textId="592E4E6F" w:rsidR="0062790D" w:rsidRPr="00A71BEC" w:rsidRDefault="0062790D" w:rsidP="00A05C19">
      <w:pPr>
        <w:spacing w:line="480" w:lineRule="auto"/>
        <w:ind w:firstLine="420"/>
        <w:rPr>
          <w:sz w:val="20"/>
          <w:szCs w:val="20"/>
        </w:rPr>
      </w:pPr>
      <w:r w:rsidRPr="00A71BEC">
        <w:rPr>
          <w:sz w:val="20"/>
          <w:szCs w:val="20"/>
        </w:rPr>
        <w:t xml:space="preserve">The experimental instrumentation used in this study consisted of a mass spectrometry platform system comprising Waters ACQUITY UPLC I-Class plus/Thermo QE ultra-high performance liquid </w:t>
      </w:r>
      <w:r w:rsidR="00B83130" w:rsidRPr="00A71BEC">
        <w:rPr>
          <w:sz w:val="20"/>
          <w:szCs w:val="20"/>
        </w:rPr>
        <w:t>chromatography-tandem</w:t>
      </w:r>
      <w:r w:rsidRPr="00A71BEC">
        <w:rPr>
          <w:sz w:val="20"/>
          <w:szCs w:val="20"/>
        </w:rPr>
        <w:t xml:space="preserve"> high-resolution mass spectrometer and Agilent 7890B-5977A gas </w:t>
      </w:r>
      <w:r w:rsidR="00B83130" w:rsidRPr="00A71BEC">
        <w:rPr>
          <w:sz w:val="20"/>
          <w:szCs w:val="20"/>
        </w:rPr>
        <w:t>chromatography-mass</w:t>
      </w:r>
      <w:r w:rsidRPr="00A71BEC">
        <w:rPr>
          <w:sz w:val="20"/>
          <w:szCs w:val="20"/>
        </w:rPr>
        <w:t xml:space="preserve"> spectrometer. MS-DIAL was used for small molecule mass deconvolution qualitative and quantitative analysis of gas chromatography-mass spectrometry (GC-MS) data collected in Full Scan mode. The original GC-MS data (D format) was converted to Analysis Base File (abf) format using Analysis Base File Converter software for rapid data retrieval. Subsequently, the data was imported into MS-DIAL software for preprocessing, where algorithms were used to extract chromatographic "model peaks," remove background noise, and achieve compound qualitative and quantitative analysis by matching retention time, fragment ion mass spectra, and similarity with in-house library databases. Compound identification was based on retention time (RT), accurate mass, secondary fragments, and isotopic distribution, using databases such as The Human Metabolome Database (HMDB), Lipidmaps (v2.3), METLIN, and the local LuMet-Animal3.0 database.</w:t>
      </w:r>
    </w:p>
    <w:p w14:paraId="4EFCBF4F" w14:textId="77777777" w:rsidR="00BB4678" w:rsidRDefault="00BB4678" w:rsidP="00EE56FE">
      <w:pPr>
        <w:spacing w:line="480" w:lineRule="auto"/>
        <w:rPr>
          <w:b/>
          <w:bCs/>
          <w:color w:val="000000" w:themeColor="text1"/>
          <w:sz w:val="20"/>
          <w:szCs w:val="20"/>
        </w:rPr>
      </w:pPr>
      <w:r>
        <w:rPr>
          <w:b/>
          <w:bCs/>
          <w:color w:val="000000" w:themeColor="text1"/>
          <w:sz w:val="20"/>
          <w:szCs w:val="20"/>
        </w:rPr>
        <w:br w:type="page"/>
      </w:r>
    </w:p>
    <w:p w14:paraId="37902392" w14:textId="77DC06C6" w:rsidR="00441A38" w:rsidRPr="00A71BEC" w:rsidRDefault="0075785D" w:rsidP="00EE56FE">
      <w:pPr>
        <w:spacing w:line="480" w:lineRule="auto"/>
        <w:rPr>
          <w:b/>
          <w:bCs/>
          <w:sz w:val="20"/>
          <w:szCs w:val="20"/>
        </w:rPr>
      </w:pPr>
      <w:r w:rsidRPr="00D353C9">
        <w:rPr>
          <w:b/>
          <w:bCs/>
          <w:color w:val="000000" w:themeColor="text1"/>
          <w:sz w:val="20"/>
          <w:szCs w:val="20"/>
        </w:rPr>
        <w:lastRenderedPageBreak/>
        <w:t xml:space="preserve">Supplementary </w:t>
      </w:r>
      <w:r w:rsidR="004B3489" w:rsidRPr="009133C6">
        <w:rPr>
          <w:rFonts w:eastAsia="Times New Roman"/>
          <w:b/>
          <w:color w:val="000000"/>
          <w:sz w:val="20"/>
        </w:rPr>
        <w:t>Data S1.5</w:t>
      </w:r>
      <w:r w:rsidR="0062790D" w:rsidRPr="00A71BEC">
        <w:rPr>
          <w:b/>
          <w:bCs/>
          <w:sz w:val="20"/>
          <w:szCs w:val="20"/>
        </w:rPr>
        <w:t xml:space="preserve"> Metabolomics </w:t>
      </w:r>
      <w:r w:rsidR="008C07A6" w:rsidRPr="00A71BEC">
        <w:rPr>
          <w:b/>
          <w:bCs/>
          <w:sz w:val="20"/>
          <w:szCs w:val="20"/>
        </w:rPr>
        <w:t>Data Processing</w:t>
      </w:r>
    </w:p>
    <w:p w14:paraId="5D6A7903" w14:textId="55542C17" w:rsidR="0049672F" w:rsidRDefault="0062790D" w:rsidP="00390F72">
      <w:pPr>
        <w:spacing w:line="480" w:lineRule="auto"/>
        <w:ind w:firstLine="420"/>
        <w:rPr>
          <w:sz w:val="20"/>
          <w:szCs w:val="20"/>
        </w:rPr>
      </w:pPr>
      <w:r w:rsidRPr="00A71BEC">
        <w:rPr>
          <w:sz w:val="20"/>
          <w:szCs w:val="20"/>
        </w:rPr>
        <w:t>LC-MS/MS: Data extracted was processed for missing values, zero value replacement, score filtering, and data integration. Missing values and zero value replacement: Ion peaks with &gt;50% missing values within each group were removed</w:t>
      </w:r>
      <w:r w:rsidR="00B83130" w:rsidRPr="00A71BEC">
        <w:rPr>
          <w:sz w:val="20"/>
          <w:szCs w:val="20"/>
        </w:rPr>
        <w:t>. The</w:t>
      </w:r>
      <w:r w:rsidRPr="00A71BEC">
        <w:rPr>
          <w:sz w:val="20"/>
          <w:szCs w:val="20"/>
        </w:rPr>
        <w:t xml:space="preserve"> remaining zero values were replaced with half the minimum intensity across all </w:t>
      </w:r>
      <w:r w:rsidR="00B83130" w:rsidRPr="00A71BEC">
        <w:rPr>
          <w:sz w:val="20"/>
          <w:szCs w:val="20"/>
        </w:rPr>
        <w:t>ion samples</w:t>
      </w:r>
      <w:r w:rsidRPr="00A71BEC">
        <w:rPr>
          <w:sz w:val="20"/>
          <w:szCs w:val="20"/>
        </w:rPr>
        <w:t xml:space="preserve">. Score filtering: Compounds were filtered based on qualitative results score, with a cutoff of 36 points (maximum score 80); compounds scoring below 36 were considered inaccurately identified and removed. GC-MS: Internal standards were used for quality control of data. Internal standard peaks and known false positive peaks (including noise, column bleed, and derivatization reagent peaks) were removed from the original data matrix. Missing values and zero value replacement: Ion peaks with &gt;50% missing values (zero values) within each group were deleted; remaining missing values (zero values) were replaced with half of the minimum value. GC-MS normalization: Total ion area normalization algorithm/peak area normalization algorithm: Modified from sample peak area/total peak area x 10000 to sample peak area/total peak area x </w:t>
      </w:r>
      <w:r w:rsidR="00BB4678" w:rsidRPr="00A71BEC">
        <w:rPr>
          <w:sz w:val="20"/>
          <w:szCs w:val="20"/>
        </w:rPr>
        <w:t>means</w:t>
      </w:r>
      <w:r w:rsidRPr="00A71BEC">
        <w:rPr>
          <w:sz w:val="20"/>
          <w:szCs w:val="20"/>
        </w:rPr>
        <w:t xml:space="preserve"> total peak area of all samples. Internal standard segmented normalization algorithm: For each sample, internal standards were used to segmentally normalize data based on RSD &lt;0.1, i.e., segmented sample peak area/segmented internal standard peak area x </w:t>
      </w:r>
      <w:r w:rsidR="00B83130" w:rsidRPr="00A71BEC">
        <w:rPr>
          <w:sz w:val="20"/>
          <w:szCs w:val="20"/>
        </w:rPr>
        <w:t>means</w:t>
      </w:r>
      <w:r w:rsidRPr="00A71BEC">
        <w:rPr>
          <w:sz w:val="20"/>
          <w:szCs w:val="20"/>
        </w:rPr>
        <w:t xml:space="preserve"> segmented internal standard peak area of all samples. Score filtering: After normalization, data underwent redundancy removal and peak merging. Compounds were filtered based on qualitative results score (Score), with a cutoff of 70 points (maximum score 100); compounds scoring below 70 were considered inaccurately identified and removed, resulting in a data matrix. Data integration: Positive and negative ion data from LC-MS/MS and data obtained from GC-MS were merged into a data matrix table containing all relevant information extracted from the original data for subsequent analysis.</w:t>
      </w:r>
      <w:r w:rsidR="0049672F">
        <w:rPr>
          <w:sz w:val="20"/>
          <w:szCs w:val="20"/>
        </w:rPr>
        <w:br w:type="page"/>
      </w:r>
    </w:p>
    <w:tbl>
      <w:tblPr>
        <w:tblStyle w:val="a7"/>
        <w:tblpPr w:leftFromText="180" w:rightFromText="180" w:vertAnchor="text" w:horzAnchor="margin" w:tblpXSpec="center" w:tblpY="3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639"/>
        <w:gridCol w:w="1559"/>
        <w:gridCol w:w="1559"/>
        <w:gridCol w:w="2042"/>
      </w:tblGrid>
      <w:tr w:rsidR="0049672F" w:rsidRPr="0048209F" w14:paraId="23213A4C" w14:textId="77777777" w:rsidTr="009E33CA">
        <w:tc>
          <w:tcPr>
            <w:tcW w:w="5000" w:type="pct"/>
            <w:gridSpan w:val="5"/>
            <w:tcBorders>
              <w:bottom w:val="single" w:sz="4" w:space="0" w:color="auto"/>
            </w:tcBorders>
            <w:vAlign w:val="center"/>
          </w:tcPr>
          <w:p w14:paraId="58B14141" w14:textId="3187C3DC" w:rsidR="0049672F" w:rsidRPr="006576C7" w:rsidRDefault="0049672F" w:rsidP="009E33CA">
            <w:pPr>
              <w:spacing w:line="480" w:lineRule="auto"/>
              <w:rPr>
                <w:sz w:val="20"/>
                <w:szCs w:val="20"/>
              </w:rPr>
            </w:pPr>
            <w:r w:rsidRPr="006576C7">
              <w:rPr>
                <w:b/>
                <w:bCs/>
                <w:sz w:val="20"/>
                <w:szCs w:val="20"/>
              </w:rPr>
              <w:lastRenderedPageBreak/>
              <w:t xml:space="preserve">Supplementary </w:t>
            </w:r>
            <w:r w:rsidR="004B3489" w:rsidRPr="009133C6">
              <w:rPr>
                <w:rFonts w:eastAsia="Times New Roman"/>
                <w:b/>
                <w:color w:val="000000"/>
                <w:sz w:val="20"/>
              </w:rPr>
              <w:t xml:space="preserve">Table </w:t>
            </w:r>
            <w:r w:rsidR="00652F40">
              <w:rPr>
                <w:rFonts w:eastAsiaTheme="minorEastAsia" w:hint="eastAsia"/>
                <w:b/>
                <w:color w:val="000000"/>
                <w:sz w:val="20"/>
              </w:rPr>
              <w:t>S</w:t>
            </w:r>
            <w:r w:rsidR="004B3489" w:rsidRPr="009133C6">
              <w:rPr>
                <w:rFonts w:eastAsia="Times New Roman"/>
                <w:b/>
                <w:color w:val="000000"/>
                <w:sz w:val="20"/>
              </w:rPr>
              <w:t>1</w:t>
            </w:r>
            <w:r w:rsidRPr="006576C7">
              <w:rPr>
                <w:b/>
                <w:bCs/>
                <w:sz w:val="20"/>
                <w:szCs w:val="20"/>
              </w:rPr>
              <w:t>. Demographic and clinical characteristics of PACNS and non-inflammatory disease patients at admission.</w:t>
            </w:r>
          </w:p>
        </w:tc>
      </w:tr>
      <w:tr w:rsidR="0049672F" w:rsidRPr="0048209F" w14:paraId="4C153437" w14:textId="77777777" w:rsidTr="009E33CA">
        <w:tc>
          <w:tcPr>
            <w:tcW w:w="1014" w:type="pct"/>
            <w:tcBorders>
              <w:top w:val="single" w:sz="4" w:space="0" w:color="auto"/>
              <w:bottom w:val="single" w:sz="4" w:space="0" w:color="auto"/>
            </w:tcBorders>
            <w:vAlign w:val="center"/>
          </w:tcPr>
          <w:p w14:paraId="4CC64DB9" w14:textId="77777777" w:rsidR="0049672F" w:rsidRPr="0048209F" w:rsidRDefault="0049672F" w:rsidP="009E33CA">
            <w:pPr>
              <w:spacing w:line="480" w:lineRule="auto"/>
              <w:rPr>
                <w:sz w:val="16"/>
                <w:szCs w:val="16"/>
              </w:rPr>
            </w:pPr>
          </w:p>
        </w:tc>
        <w:tc>
          <w:tcPr>
            <w:tcW w:w="961" w:type="pct"/>
            <w:tcBorders>
              <w:top w:val="single" w:sz="4" w:space="0" w:color="auto"/>
              <w:bottom w:val="single" w:sz="4" w:space="0" w:color="auto"/>
            </w:tcBorders>
            <w:vAlign w:val="center"/>
          </w:tcPr>
          <w:p w14:paraId="6EA0A36C" w14:textId="77777777" w:rsidR="0049672F" w:rsidRDefault="0049672F" w:rsidP="009E33CA">
            <w:pPr>
              <w:spacing w:line="480" w:lineRule="auto"/>
              <w:rPr>
                <w:b/>
                <w:sz w:val="16"/>
                <w:szCs w:val="16"/>
              </w:rPr>
            </w:pPr>
            <w:r w:rsidRPr="0048209F">
              <w:rPr>
                <w:b/>
                <w:sz w:val="16"/>
                <w:szCs w:val="16"/>
              </w:rPr>
              <w:t>PACNS</w:t>
            </w:r>
          </w:p>
          <w:p w14:paraId="23AA51AF" w14:textId="77777777" w:rsidR="0049672F" w:rsidRPr="0048209F" w:rsidRDefault="0049672F" w:rsidP="009E33CA">
            <w:pPr>
              <w:spacing w:line="480" w:lineRule="auto"/>
              <w:rPr>
                <w:sz w:val="16"/>
                <w:szCs w:val="16"/>
              </w:rPr>
            </w:pPr>
            <w:r w:rsidRPr="0048209F">
              <w:rPr>
                <w:b/>
                <w:sz w:val="16"/>
                <w:szCs w:val="16"/>
              </w:rPr>
              <w:t xml:space="preserve"> (N=35)</w:t>
            </w:r>
          </w:p>
        </w:tc>
        <w:tc>
          <w:tcPr>
            <w:tcW w:w="914" w:type="pct"/>
            <w:tcBorders>
              <w:top w:val="single" w:sz="4" w:space="0" w:color="auto"/>
              <w:bottom w:val="single" w:sz="4" w:space="0" w:color="auto"/>
            </w:tcBorders>
            <w:vAlign w:val="center"/>
          </w:tcPr>
          <w:p w14:paraId="580C6C55" w14:textId="77777777" w:rsidR="0049672F" w:rsidRDefault="0049672F" w:rsidP="009E33CA">
            <w:pPr>
              <w:spacing w:line="480" w:lineRule="auto"/>
              <w:rPr>
                <w:b/>
                <w:sz w:val="16"/>
                <w:szCs w:val="16"/>
              </w:rPr>
            </w:pPr>
            <w:r w:rsidRPr="0048209F">
              <w:rPr>
                <w:b/>
                <w:sz w:val="16"/>
                <w:szCs w:val="16"/>
              </w:rPr>
              <w:t>ACTIVE</w:t>
            </w:r>
          </w:p>
          <w:p w14:paraId="6FA4D6D6" w14:textId="77777777" w:rsidR="0049672F" w:rsidRPr="0048209F" w:rsidRDefault="0049672F" w:rsidP="009E33CA">
            <w:pPr>
              <w:spacing w:line="480" w:lineRule="auto"/>
              <w:rPr>
                <w:b/>
                <w:sz w:val="16"/>
                <w:szCs w:val="16"/>
              </w:rPr>
            </w:pPr>
            <w:r w:rsidRPr="0048209F">
              <w:rPr>
                <w:b/>
                <w:sz w:val="16"/>
                <w:szCs w:val="16"/>
              </w:rPr>
              <w:t xml:space="preserve"> (N=26)</w:t>
            </w:r>
          </w:p>
        </w:tc>
        <w:tc>
          <w:tcPr>
            <w:tcW w:w="914" w:type="pct"/>
            <w:tcBorders>
              <w:top w:val="single" w:sz="4" w:space="0" w:color="auto"/>
              <w:bottom w:val="single" w:sz="4" w:space="0" w:color="auto"/>
            </w:tcBorders>
            <w:vAlign w:val="center"/>
          </w:tcPr>
          <w:p w14:paraId="21D2C768" w14:textId="77777777" w:rsidR="0049672F" w:rsidRPr="0048209F" w:rsidRDefault="0049672F" w:rsidP="009E33CA">
            <w:pPr>
              <w:spacing w:line="480" w:lineRule="auto"/>
              <w:rPr>
                <w:b/>
                <w:sz w:val="16"/>
                <w:szCs w:val="16"/>
              </w:rPr>
            </w:pPr>
            <w:r w:rsidRPr="0048209F">
              <w:rPr>
                <w:b/>
                <w:sz w:val="16"/>
                <w:szCs w:val="16"/>
              </w:rPr>
              <w:t>REMISSION (N=15)</w:t>
            </w:r>
          </w:p>
        </w:tc>
        <w:tc>
          <w:tcPr>
            <w:tcW w:w="1197" w:type="pct"/>
            <w:tcBorders>
              <w:top w:val="single" w:sz="4" w:space="0" w:color="auto"/>
              <w:bottom w:val="single" w:sz="4" w:space="0" w:color="auto"/>
            </w:tcBorders>
            <w:vAlign w:val="center"/>
          </w:tcPr>
          <w:p w14:paraId="2E389768" w14:textId="77777777" w:rsidR="0049672F" w:rsidRPr="0048209F" w:rsidRDefault="0049672F" w:rsidP="009E33CA">
            <w:pPr>
              <w:spacing w:line="480" w:lineRule="auto"/>
              <w:rPr>
                <w:b/>
                <w:sz w:val="16"/>
                <w:szCs w:val="16"/>
              </w:rPr>
            </w:pPr>
            <w:r w:rsidRPr="0048209F">
              <w:rPr>
                <w:b/>
                <w:sz w:val="16"/>
                <w:szCs w:val="16"/>
              </w:rPr>
              <w:t>NON-INFLAMMATORY (N=22)</w:t>
            </w:r>
          </w:p>
        </w:tc>
      </w:tr>
      <w:tr w:rsidR="0049672F" w:rsidRPr="0048209F" w14:paraId="4606D968" w14:textId="77777777" w:rsidTr="009E33CA">
        <w:tc>
          <w:tcPr>
            <w:tcW w:w="5000" w:type="pct"/>
            <w:gridSpan w:val="5"/>
            <w:tcBorders>
              <w:top w:val="single" w:sz="4" w:space="0" w:color="auto"/>
            </w:tcBorders>
            <w:vAlign w:val="center"/>
          </w:tcPr>
          <w:p w14:paraId="64810E1A" w14:textId="77777777" w:rsidR="0049672F" w:rsidRPr="0048209F" w:rsidRDefault="0049672F" w:rsidP="009E33CA">
            <w:pPr>
              <w:spacing w:line="480" w:lineRule="auto"/>
              <w:rPr>
                <w:sz w:val="16"/>
                <w:szCs w:val="16"/>
              </w:rPr>
            </w:pPr>
            <w:r w:rsidRPr="0048209F">
              <w:rPr>
                <w:b/>
                <w:sz w:val="16"/>
                <w:szCs w:val="16"/>
              </w:rPr>
              <w:t>Basic Information</w:t>
            </w:r>
          </w:p>
        </w:tc>
      </w:tr>
      <w:tr w:rsidR="0049672F" w:rsidRPr="0048209F" w14:paraId="7C31349C" w14:textId="77777777" w:rsidTr="009E33CA">
        <w:tc>
          <w:tcPr>
            <w:tcW w:w="1014" w:type="pct"/>
            <w:vAlign w:val="center"/>
          </w:tcPr>
          <w:p w14:paraId="0FCF3C15" w14:textId="77777777" w:rsidR="0049672F" w:rsidRPr="0048209F" w:rsidRDefault="0049672F" w:rsidP="009E33CA">
            <w:pPr>
              <w:spacing w:line="480" w:lineRule="auto"/>
              <w:rPr>
                <w:sz w:val="16"/>
                <w:szCs w:val="16"/>
              </w:rPr>
            </w:pPr>
            <w:r w:rsidRPr="0048209F">
              <w:rPr>
                <w:sz w:val="16"/>
                <w:szCs w:val="16"/>
              </w:rPr>
              <w:t>Age, median (range), y</w:t>
            </w:r>
          </w:p>
        </w:tc>
        <w:tc>
          <w:tcPr>
            <w:tcW w:w="961" w:type="pct"/>
            <w:vAlign w:val="center"/>
          </w:tcPr>
          <w:p w14:paraId="1C40A82E" w14:textId="77777777" w:rsidR="0049672F" w:rsidRPr="0048209F" w:rsidRDefault="0049672F" w:rsidP="009E33CA">
            <w:pPr>
              <w:spacing w:line="480" w:lineRule="auto"/>
              <w:rPr>
                <w:sz w:val="16"/>
                <w:szCs w:val="16"/>
              </w:rPr>
            </w:pPr>
            <w:r w:rsidRPr="0048209F">
              <w:rPr>
                <w:sz w:val="16"/>
                <w:szCs w:val="16"/>
              </w:rPr>
              <w:t>34 (28–45)</w:t>
            </w:r>
          </w:p>
        </w:tc>
        <w:tc>
          <w:tcPr>
            <w:tcW w:w="914" w:type="pct"/>
            <w:vAlign w:val="center"/>
          </w:tcPr>
          <w:p w14:paraId="7780A92D" w14:textId="77777777" w:rsidR="0049672F" w:rsidRPr="0048209F" w:rsidRDefault="0049672F" w:rsidP="009E33CA">
            <w:pPr>
              <w:spacing w:line="480" w:lineRule="auto"/>
              <w:rPr>
                <w:sz w:val="16"/>
                <w:szCs w:val="16"/>
              </w:rPr>
            </w:pPr>
            <w:r w:rsidRPr="0048209F">
              <w:rPr>
                <w:sz w:val="16"/>
                <w:szCs w:val="16"/>
              </w:rPr>
              <w:t>31.0 (27.5–42.25)</w:t>
            </w:r>
          </w:p>
        </w:tc>
        <w:tc>
          <w:tcPr>
            <w:tcW w:w="914" w:type="pct"/>
            <w:vAlign w:val="center"/>
          </w:tcPr>
          <w:p w14:paraId="1DE71398" w14:textId="77777777" w:rsidR="0049672F" w:rsidRPr="0048209F" w:rsidRDefault="0049672F" w:rsidP="009E33CA">
            <w:pPr>
              <w:spacing w:line="480" w:lineRule="auto"/>
              <w:rPr>
                <w:sz w:val="16"/>
                <w:szCs w:val="16"/>
              </w:rPr>
            </w:pPr>
            <w:r w:rsidRPr="0048209F">
              <w:rPr>
                <w:sz w:val="16"/>
                <w:szCs w:val="16"/>
              </w:rPr>
              <w:t>34 (29.0–45.0)</w:t>
            </w:r>
          </w:p>
        </w:tc>
        <w:tc>
          <w:tcPr>
            <w:tcW w:w="1197" w:type="pct"/>
            <w:vAlign w:val="center"/>
          </w:tcPr>
          <w:p w14:paraId="44E76597" w14:textId="77777777" w:rsidR="0049672F" w:rsidRPr="0048209F" w:rsidRDefault="0049672F" w:rsidP="009E33CA">
            <w:pPr>
              <w:spacing w:line="480" w:lineRule="auto"/>
              <w:rPr>
                <w:sz w:val="16"/>
                <w:szCs w:val="16"/>
              </w:rPr>
            </w:pPr>
            <w:r w:rsidRPr="0048209F">
              <w:rPr>
                <w:sz w:val="16"/>
                <w:szCs w:val="16"/>
              </w:rPr>
              <w:t>38 (27.0–46.25)</w:t>
            </w:r>
          </w:p>
        </w:tc>
      </w:tr>
      <w:tr w:rsidR="0049672F" w:rsidRPr="0048209F" w14:paraId="08E11662" w14:textId="77777777" w:rsidTr="009E33CA">
        <w:tc>
          <w:tcPr>
            <w:tcW w:w="1014" w:type="pct"/>
            <w:vAlign w:val="center"/>
          </w:tcPr>
          <w:p w14:paraId="06BC2DF3" w14:textId="77777777" w:rsidR="0049672F" w:rsidRPr="0048209F" w:rsidRDefault="0049672F" w:rsidP="009E33CA">
            <w:pPr>
              <w:spacing w:line="480" w:lineRule="auto"/>
              <w:rPr>
                <w:sz w:val="16"/>
                <w:szCs w:val="16"/>
              </w:rPr>
            </w:pPr>
            <w:r w:rsidRPr="0048209F">
              <w:rPr>
                <w:sz w:val="16"/>
                <w:szCs w:val="16"/>
              </w:rPr>
              <w:t>Male, n (%)</w:t>
            </w:r>
          </w:p>
        </w:tc>
        <w:tc>
          <w:tcPr>
            <w:tcW w:w="961" w:type="pct"/>
            <w:vAlign w:val="center"/>
          </w:tcPr>
          <w:p w14:paraId="7C3B7EB1" w14:textId="77777777" w:rsidR="0049672F" w:rsidRPr="0048209F" w:rsidRDefault="0049672F" w:rsidP="009E33CA">
            <w:pPr>
              <w:spacing w:line="480" w:lineRule="auto"/>
              <w:rPr>
                <w:sz w:val="16"/>
                <w:szCs w:val="16"/>
              </w:rPr>
            </w:pPr>
            <w:r w:rsidRPr="0048209F">
              <w:rPr>
                <w:sz w:val="16"/>
                <w:szCs w:val="16"/>
              </w:rPr>
              <w:t>21 (60)</w:t>
            </w:r>
          </w:p>
        </w:tc>
        <w:tc>
          <w:tcPr>
            <w:tcW w:w="914" w:type="pct"/>
            <w:vAlign w:val="center"/>
          </w:tcPr>
          <w:p w14:paraId="11784E14" w14:textId="77777777" w:rsidR="0049672F" w:rsidRPr="0048209F" w:rsidRDefault="0049672F" w:rsidP="009E33CA">
            <w:pPr>
              <w:spacing w:line="480" w:lineRule="auto"/>
              <w:rPr>
                <w:sz w:val="16"/>
                <w:szCs w:val="16"/>
              </w:rPr>
            </w:pPr>
            <w:r w:rsidRPr="0048209F">
              <w:rPr>
                <w:sz w:val="16"/>
                <w:szCs w:val="16"/>
              </w:rPr>
              <w:t>16 (61.5)</w:t>
            </w:r>
          </w:p>
        </w:tc>
        <w:tc>
          <w:tcPr>
            <w:tcW w:w="914" w:type="pct"/>
            <w:vAlign w:val="center"/>
          </w:tcPr>
          <w:p w14:paraId="4F581FD2" w14:textId="77777777" w:rsidR="0049672F" w:rsidRPr="0048209F" w:rsidRDefault="0049672F" w:rsidP="009E33CA">
            <w:pPr>
              <w:spacing w:line="480" w:lineRule="auto"/>
              <w:rPr>
                <w:sz w:val="16"/>
                <w:szCs w:val="16"/>
              </w:rPr>
            </w:pPr>
            <w:r w:rsidRPr="0048209F">
              <w:rPr>
                <w:sz w:val="16"/>
                <w:szCs w:val="16"/>
              </w:rPr>
              <w:t>10 (66.7)</w:t>
            </w:r>
          </w:p>
        </w:tc>
        <w:tc>
          <w:tcPr>
            <w:tcW w:w="1197" w:type="pct"/>
            <w:vAlign w:val="center"/>
          </w:tcPr>
          <w:p w14:paraId="02C98ADE" w14:textId="77777777" w:rsidR="0049672F" w:rsidRPr="0048209F" w:rsidRDefault="0049672F" w:rsidP="009E33CA">
            <w:pPr>
              <w:spacing w:line="480" w:lineRule="auto"/>
              <w:rPr>
                <w:sz w:val="16"/>
                <w:szCs w:val="16"/>
              </w:rPr>
            </w:pPr>
            <w:r w:rsidRPr="0048209F">
              <w:rPr>
                <w:sz w:val="16"/>
                <w:szCs w:val="16"/>
              </w:rPr>
              <w:t>10 (45.5)</w:t>
            </w:r>
          </w:p>
        </w:tc>
      </w:tr>
      <w:tr w:rsidR="0049672F" w:rsidRPr="0048209F" w14:paraId="12FB1876" w14:textId="77777777" w:rsidTr="009E33CA">
        <w:tc>
          <w:tcPr>
            <w:tcW w:w="5000" w:type="pct"/>
            <w:gridSpan w:val="5"/>
            <w:vAlign w:val="center"/>
          </w:tcPr>
          <w:p w14:paraId="3E2455C4" w14:textId="77777777" w:rsidR="0049672F" w:rsidRPr="0048209F" w:rsidRDefault="0049672F" w:rsidP="009E33CA">
            <w:pPr>
              <w:spacing w:line="480" w:lineRule="auto"/>
              <w:rPr>
                <w:sz w:val="16"/>
                <w:szCs w:val="16"/>
              </w:rPr>
            </w:pPr>
            <w:r w:rsidRPr="0048209F">
              <w:rPr>
                <w:b/>
                <w:kern w:val="0"/>
                <w:sz w:val="16"/>
                <w:szCs w:val="16"/>
              </w:rPr>
              <w:t>Neurological symptoms, n (%)</w:t>
            </w:r>
          </w:p>
        </w:tc>
      </w:tr>
      <w:tr w:rsidR="0049672F" w:rsidRPr="0048209F" w14:paraId="73FBCEF7" w14:textId="77777777" w:rsidTr="009E33CA">
        <w:tc>
          <w:tcPr>
            <w:tcW w:w="1014" w:type="pct"/>
            <w:vAlign w:val="center"/>
          </w:tcPr>
          <w:p w14:paraId="45E6305F" w14:textId="77777777" w:rsidR="0049672F" w:rsidRPr="0048209F" w:rsidRDefault="0049672F" w:rsidP="009E33CA">
            <w:pPr>
              <w:spacing w:line="480" w:lineRule="auto"/>
              <w:rPr>
                <w:sz w:val="16"/>
                <w:szCs w:val="16"/>
              </w:rPr>
            </w:pPr>
            <w:r w:rsidRPr="0048209F">
              <w:rPr>
                <w:kern w:val="0"/>
                <w:sz w:val="16"/>
                <w:szCs w:val="16"/>
              </w:rPr>
              <w:t>Focal symptoms</w:t>
            </w:r>
          </w:p>
        </w:tc>
        <w:tc>
          <w:tcPr>
            <w:tcW w:w="961" w:type="pct"/>
            <w:vAlign w:val="center"/>
          </w:tcPr>
          <w:p w14:paraId="2ADA8D9F" w14:textId="77777777" w:rsidR="0049672F" w:rsidRPr="0048209F" w:rsidRDefault="0049672F" w:rsidP="009E33CA">
            <w:pPr>
              <w:spacing w:line="480" w:lineRule="auto"/>
              <w:rPr>
                <w:sz w:val="16"/>
                <w:szCs w:val="16"/>
              </w:rPr>
            </w:pPr>
            <w:r w:rsidRPr="0048209F">
              <w:rPr>
                <w:sz w:val="16"/>
                <w:szCs w:val="16"/>
              </w:rPr>
              <w:t>23 (65.7)</w:t>
            </w:r>
          </w:p>
        </w:tc>
        <w:tc>
          <w:tcPr>
            <w:tcW w:w="914" w:type="pct"/>
            <w:vAlign w:val="center"/>
          </w:tcPr>
          <w:p w14:paraId="1D77CFD3" w14:textId="77777777" w:rsidR="0049672F" w:rsidRPr="0048209F" w:rsidRDefault="0049672F" w:rsidP="009E33CA">
            <w:pPr>
              <w:spacing w:line="480" w:lineRule="auto"/>
              <w:rPr>
                <w:sz w:val="16"/>
                <w:szCs w:val="16"/>
              </w:rPr>
            </w:pPr>
            <w:r w:rsidRPr="0048209F">
              <w:rPr>
                <w:sz w:val="16"/>
                <w:szCs w:val="16"/>
              </w:rPr>
              <w:t>17 (65.4)</w:t>
            </w:r>
          </w:p>
        </w:tc>
        <w:tc>
          <w:tcPr>
            <w:tcW w:w="914" w:type="pct"/>
            <w:vAlign w:val="center"/>
          </w:tcPr>
          <w:p w14:paraId="186C9AEF" w14:textId="77777777" w:rsidR="0049672F" w:rsidRPr="0048209F" w:rsidRDefault="0049672F" w:rsidP="009E33CA">
            <w:pPr>
              <w:spacing w:line="480" w:lineRule="auto"/>
              <w:rPr>
                <w:sz w:val="16"/>
                <w:szCs w:val="16"/>
              </w:rPr>
            </w:pPr>
            <w:r w:rsidRPr="0048209F">
              <w:rPr>
                <w:sz w:val="16"/>
                <w:szCs w:val="16"/>
              </w:rPr>
              <w:t>12 (80.0)</w:t>
            </w:r>
          </w:p>
        </w:tc>
        <w:tc>
          <w:tcPr>
            <w:tcW w:w="1197" w:type="pct"/>
            <w:vAlign w:val="center"/>
          </w:tcPr>
          <w:p w14:paraId="19808F07"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5A5164B7" w14:textId="77777777" w:rsidTr="009E33CA">
        <w:tc>
          <w:tcPr>
            <w:tcW w:w="1014" w:type="pct"/>
            <w:vAlign w:val="center"/>
          </w:tcPr>
          <w:p w14:paraId="1E3FC841" w14:textId="77777777" w:rsidR="0049672F" w:rsidRPr="0048209F" w:rsidRDefault="0049672F" w:rsidP="009E33CA">
            <w:pPr>
              <w:spacing w:line="480" w:lineRule="auto"/>
              <w:rPr>
                <w:sz w:val="16"/>
                <w:szCs w:val="16"/>
              </w:rPr>
            </w:pPr>
            <w:r w:rsidRPr="0048209F">
              <w:rPr>
                <w:kern w:val="0"/>
                <w:sz w:val="16"/>
                <w:szCs w:val="16"/>
              </w:rPr>
              <w:t>Headache</w:t>
            </w:r>
          </w:p>
        </w:tc>
        <w:tc>
          <w:tcPr>
            <w:tcW w:w="961" w:type="pct"/>
            <w:vAlign w:val="center"/>
          </w:tcPr>
          <w:p w14:paraId="0FF21618" w14:textId="77777777" w:rsidR="0049672F" w:rsidRPr="0048209F" w:rsidRDefault="0049672F" w:rsidP="009E33CA">
            <w:pPr>
              <w:spacing w:line="480" w:lineRule="auto"/>
              <w:rPr>
                <w:sz w:val="16"/>
                <w:szCs w:val="16"/>
              </w:rPr>
            </w:pPr>
            <w:r w:rsidRPr="0048209F">
              <w:rPr>
                <w:sz w:val="16"/>
                <w:szCs w:val="16"/>
              </w:rPr>
              <w:t>11 (31.4)</w:t>
            </w:r>
          </w:p>
        </w:tc>
        <w:tc>
          <w:tcPr>
            <w:tcW w:w="914" w:type="pct"/>
            <w:vAlign w:val="center"/>
          </w:tcPr>
          <w:p w14:paraId="55465E33" w14:textId="77777777" w:rsidR="0049672F" w:rsidRPr="0048209F" w:rsidRDefault="0049672F" w:rsidP="009E33CA">
            <w:pPr>
              <w:spacing w:line="480" w:lineRule="auto"/>
              <w:rPr>
                <w:sz w:val="16"/>
                <w:szCs w:val="16"/>
              </w:rPr>
            </w:pPr>
            <w:r w:rsidRPr="0048209F">
              <w:rPr>
                <w:sz w:val="16"/>
                <w:szCs w:val="16"/>
              </w:rPr>
              <w:t>9 (34.6)</w:t>
            </w:r>
          </w:p>
        </w:tc>
        <w:tc>
          <w:tcPr>
            <w:tcW w:w="914" w:type="pct"/>
            <w:vAlign w:val="center"/>
          </w:tcPr>
          <w:p w14:paraId="0798AF4F" w14:textId="77777777" w:rsidR="0049672F" w:rsidRPr="0048209F" w:rsidRDefault="0049672F" w:rsidP="009E33CA">
            <w:pPr>
              <w:spacing w:line="480" w:lineRule="auto"/>
              <w:rPr>
                <w:sz w:val="16"/>
                <w:szCs w:val="16"/>
              </w:rPr>
            </w:pPr>
            <w:r w:rsidRPr="0048209F">
              <w:rPr>
                <w:sz w:val="16"/>
                <w:szCs w:val="16"/>
              </w:rPr>
              <w:t>4 (26.7)</w:t>
            </w:r>
          </w:p>
        </w:tc>
        <w:tc>
          <w:tcPr>
            <w:tcW w:w="1197" w:type="pct"/>
            <w:vAlign w:val="center"/>
          </w:tcPr>
          <w:p w14:paraId="078A28F1"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6EAED24D" w14:textId="77777777" w:rsidTr="009E33CA">
        <w:tc>
          <w:tcPr>
            <w:tcW w:w="1014" w:type="pct"/>
            <w:vAlign w:val="center"/>
          </w:tcPr>
          <w:p w14:paraId="7F919F09" w14:textId="77777777" w:rsidR="0049672F" w:rsidRPr="0048209F" w:rsidRDefault="0049672F" w:rsidP="009E33CA">
            <w:pPr>
              <w:spacing w:line="480" w:lineRule="auto"/>
              <w:rPr>
                <w:sz w:val="16"/>
                <w:szCs w:val="16"/>
              </w:rPr>
            </w:pPr>
            <w:r w:rsidRPr="0048209F">
              <w:rPr>
                <w:kern w:val="0"/>
                <w:sz w:val="16"/>
                <w:szCs w:val="16"/>
              </w:rPr>
              <w:t>Seizures</w:t>
            </w:r>
          </w:p>
        </w:tc>
        <w:tc>
          <w:tcPr>
            <w:tcW w:w="961" w:type="pct"/>
            <w:vAlign w:val="center"/>
          </w:tcPr>
          <w:p w14:paraId="108F2551" w14:textId="77777777" w:rsidR="0049672F" w:rsidRPr="0048209F" w:rsidRDefault="0049672F" w:rsidP="009E33CA">
            <w:pPr>
              <w:spacing w:line="480" w:lineRule="auto"/>
              <w:rPr>
                <w:sz w:val="16"/>
                <w:szCs w:val="16"/>
              </w:rPr>
            </w:pPr>
            <w:r w:rsidRPr="0048209F">
              <w:rPr>
                <w:sz w:val="16"/>
                <w:szCs w:val="16"/>
              </w:rPr>
              <w:t>14 (40.0)</w:t>
            </w:r>
          </w:p>
        </w:tc>
        <w:tc>
          <w:tcPr>
            <w:tcW w:w="914" w:type="pct"/>
            <w:vAlign w:val="center"/>
          </w:tcPr>
          <w:p w14:paraId="5E975071" w14:textId="77777777" w:rsidR="0049672F" w:rsidRPr="0048209F" w:rsidRDefault="0049672F" w:rsidP="009E33CA">
            <w:pPr>
              <w:spacing w:line="480" w:lineRule="auto"/>
              <w:rPr>
                <w:sz w:val="16"/>
                <w:szCs w:val="16"/>
              </w:rPr>
            </w:pPr>
            <w:r w:rsidRPr="0048209F">
              <w:rPr>
                <w:sz w:val="16"/>
                <w:szCs w:val="16"/>
              </w:rPr>
              <w:t>11 (42.3)</w:t>
            </w:r>
          </w:p>
        </w:tc>
        <w:tc>
          <w:tcPr>
            <w:tcW w:w="914" w:type="pct"/>
            <w:vAlign w:val="center"/>
          </w:tcPr>
          <w:p w14:paraId="6DF5EBD8" w14:textId="77777777" w:rsidR="0049672F" w:rsidRPr="0048209F" w:rsidRDefault="0049672F" w:rsidP="009E33CA">
            <w:pPr>
              <w:spacing w:line="480" w:lineRule="auto"/>
              <w:rPr>
                <w:sz w:val="16"/>
                <w:szCs w:val="16"/>
              </w:rPr>
            </w:pPr>
            <w:r w:rsidRPr="0048209F">
              <w:rPr>
                <w:sz w:val="16"/>
                <w:szCs w:val="16"/>
              </w:rPr>
              <w:t>6 (40.0)</w:t>
            </w:r>
          </w:p>
        </w:tc>
        <w:tc>
          <w:tcPr>
            <w:tcW w:w="1197" w:type="pct"/>
            <w:vAlign w:val="center"/>
          </w:tcPr>
          <w:p w14:paraId="0E65B3C9"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2412158F" w14:textId="77777777" w:rsidTr="009E33CA">
        <w:tc>
          <w:tcPr>
            <w:tcW w:w="1014" w:type="pct"/>
            <w:vAlign w:val="center"/>
          </w:tcPr>
          <w:p w14:paraId="43C6BB39" w14:textId="77777777" w:rsidR="0049672F" w:rsidRPr="0048209F" w:rsidRDefault="0049672F" w:rsidP="009E33CA">
            <w:pPr>
              <w:spacing w:line="480" w:lineRule="auto"/>
              <w:rPr>
                <w:sz w:val="16"/>
                <w:szCs w:val="16"/>
              </w:rPr>
            </w:pPr>
            <w:r w:rsidRPr="0048209F">
              <w:rPr>
                <w:kern w:val="0"/>
                <w:sz w:val="16"/>
                <w:szCs w:val="16"/>
              </w:rPr>
              <w:t>Cognition</w:t>
            </w:r>
          </w:p>
        </w:tc>
        <w:tc>
          <w:tcPr>
            <w:tcW w:w="961" w:type="pct"/>
            <w:vAlign w:val="center"/>
          </w:tcPr>
          <w:p w14:paraId="3A095F3C" w14:textId="77777777" w:rsidR="0049672F" w:rsidRPr="0048209F" w:rsidRDefault="0049672F" w:rsidP="009E33CA">
            <w:pPr>
              <w:spacing w:line="480" w:lineRule="auto"/>
              <w:rPr>
                <w:sz w:val="16"/>
                <w:szCs w:val="16"/>
              </w:rPr>
            </w:pPr>
            <w:r w:rsidRPr="0048209F">
              <w:rPr>
                <w:sz w:val="16"/>
                <w:szCs w:val="16"/>
              </w:rPr>
              <w:t>7 (20.0)</w:t>
            </w:r>
          </w:p>
        </w:tc>
        <w:tc>
          <w:tcPr>
            <w:tcW w:w="914" w:type="pct"/>
            <w:vAlign w:val="center"/>
          </w:tcPr>
          <w:p w14:paraId="14975F5C" w14:textId="77777777" w:rsidR="0049672F" w:rsidRPr="0048209F" w:rsidRDefault="0049672F" w:rsidP="009E33CA">
            <w:pPr>
              <w:spacing w:line="480" w:lineRule="auto"/>
              <w:rPr>
                <w:sz w:val="16"/>
                <w:szCs w:val="16"/>
              </w:rPr>
            </w:pPr>
            <w:r w:rsidRPr="0048209F">
              <w:rPr>
                <w:sz w:val="16"/>
                <w:szCs w:val="16"/>
              </w:rPr>
              <w:t>6 (23.1)</w:t>
            </w:r>
          </w:p>
        </w:tc>
        <w:tc>
          <w:tcPr>
            <w:tcW w:w="914" w:type="pct"/>
            <w:vAlign w:val="center"/>
          </w:tcPr>
          <w:p w14:paraId="0E3208BE" w14:textId="77777777" w:rsidR="0049672F" w:rsidRPr="0048209F" w:rsidRDefault="0049672F" w:rsidP="009E33CA">
            <w:pPr>
              <w:spacing w:line="480" w:lineRule="auto"/>
              <w:rPr>
                <w:sz w:val="16"/>
                <w:szCs w:val="16"/>
              </w:rPr>
            </w:pPr>
            <w:r w:rsidRPr="0048209F">
              <w:rPr>
                <w:sz w:val="16"/>
                <w:szCs w:val="16"/>
              </w:rPr>
              <w:t>2 (13.3)</w:t>
            </w:r>
          </w:p>
        </w:tc>
        <w:tc>
          <w:tcPr>
            <w:tcW w:w="1197" w:type="pct"/>
            <w:vAlign w:val="center"/>
          </w:tcPr>
          <w:p w14:paraId="30861CF8"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62FF0903" w14:textId="77777777" w:rsidTr="009E33CA">
        <w:tc>
          <w:tcPr>
            <w:tcW w:w="5000" w:type="pct"/>
            <w:gridSpan w:val="5"/>
            <w:vAlign w:val="center"/>
          </w:tcPr>
          <w:p w14:paraId="64D1E304" w14:textId="77777777" w:rsidR="0049672F" w:rsidRPr="0048209F" w:rsidRDefault="0049672F" w:rsidP="009E33CA">
            <w:pPr>
              <w:spacing w:line="480" w:lineRule="auto"/>
              <w:rPr>
                <w:sz w:val="16"/>
                <w:szCs w:val="16"/>
              </w:rPr>
            </w:pPr>
            <w:r w:rsidRPr="0048209F">
              <w:rPr>
                <w:b/>
                <w:kern w:val="0"/>
                <w:sz w:val="16"/>
                <w:szCs w:val="16"/>
              </w:rPr>
              <w:t>CSF parameters</w:t>
            </w:r>
          </w:p>
        </w:tc>
      </w:tr>
      <w:tr w:rsidR="0049672F" w:rsidRPr="0048209F" w14:paraId="1493E91A" w14:textId="77777777" w:rsidTr="009E33CA">
        <w:tc>
          <w:tcPr>
            <w:tcW w:w="1014" w:type="pct"/>
            <w:vAlign w:val="center"/>
          </w:tcPr>
          <w:p w14:paraId="6D099BE4" w14:textId="77777777" w:rsidR="0049672F" w:rsidRPr="0048209F" w:rsidRDefault="0049672F" w:rsidP="009E33CA">
            <w:pPr>
              <w:spacing w:line="480" w:lineRule="auto"/>
              <w:rPr>
                <w:sz w:val="16"/>
                <w:szCs w:val="16"/>
              </w:rPr>
            </w:pPr>
            <w:r w:rsidRPr="0048209F">
              <w:rPr>
                <w:kern w:val="0"/>
                <w:sz w:val="16"/>
                <w:szCs w:val="16"/>
              </w:rPr>
              <w:t xml:space="preserve">WBC count, </w:t>
            </w:r>
            <w:r w:rsidRPr="0048209F">
              <w:rPr>
                <w:sz w:val="16"/>
                <w:szCs w:val="16"/>
              </w:rPr>
              <w:t>cells/mm3</w:t>
            </w:r>
          </w:p>
        </w:tc>
        <w:tc>
          <w:tcPr>
            <w:tcW w:w="961" w:type="pct"/>
            <w:vAlign w:val="center"/>
          </w:tcPr>
          <w:p w14:paraId="24AE77EF" w14:textId="77777777" w:rsidR="0049672F" w:rsidRPr="0048209F" w:rsidRDefault="0049672F" w:rsidP="009E33CA">
            <w:pPr>
              <w:spacing w:line="480" w:lineRule="auto"/>
              <w:rPr>
                <w:sz w:val="16"/>
                <w:szCs w:val="16"/>
              </w:rPr>
            </w:pPr>
            <w:r w:rsidRPr="0048209F">
              <w:rPr>
                <w:sz w:val="16"/>
                <w:szCs w:val="16"/>
              </w:rPr>
              <w:t>5 (3–11)</w:t>
            </w:r>
          </w:p>
        </w:tc>
        <w:tc>
          <w:tcPr>
            <w:tcW w:w="914" w:type="pct"/>
            <w:vAlign w:val="center"/>
          </w:tcPr>
          <w:p w14:paraId="543BDA46" w14:textId="77777777" w:rsidR="0049672F" w:rsidRPr="0048209F" w:rsidRDefault="0049672F" w:rsidP="009E33CA">
            <w:pPr>
              <w:spacing w:line="480" w:lineRule="auto"/>
              <w:rPr>
                <w:sz w:val="16"/>
                <w:szCs w:val="16"/>
              </w:rPr>
            </w:pPr>
            <w:r w:rsidRPr="0048209F">
              <w:rPr>
                <w:sz w:val="16"/>
                <w:szCs w:val="16"/>
              </w:rPr>
              <w:t>5 (3–12)</w:t>
            </w:r>
          </w:p>
        </w:tc>
        <w:tc>
          <w:tcPr>
            <w:tcW w:w="914" w:type="pct"/>
            <w:vAlign w:val="center"/>
          </w:tcPr>
          <w:p w14:paraId="17319017" w14:textId="77777777" w:rsidR="0049672F" w:rsidRPr="0048209F" w:rsidRDefault="0049672F" w:rsidP="009E33CA">
            <w:pPr>
              <w:spacing w:line="480" w:lineRule="auto"/>
              <w:rPr>
                <w:sz w:val="16"/>
                <w:szCs w:val="16"/>
              </w:rPr>
            </w:pPr>
            <w:r w:rsidRPr="0048209F">
              <w:rPr>
                <w:sz w:val="16"/>
                <w:szCs w:val="16"/>
              </w:rPr>
              <w:t>5 (2–17)</w:t>
            </w:r>
          </w:p>
        </w:tc>
        <w:tc>
          <w:tcPr>
            <w:tcW w:w="1197" w:type="pct"/>
            <w:vAlign w:val="center"/>
          </w:tcPr>
          <w:p w14:paraId="637181F8"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0D07006D" w14:textId="77777777" w:rsidTr="009E33CA">
        <w:tc>
          <w:tcPr>
            <w:tcW w:w="1014" w:type="pct"/>
            <w:vAlign w:val="center"/>
          </w:tcPr>
          <w:p w14:paraId="09625467" w14:textId="77777777" w:rsidR="0049672F" w:rsidRPr="0048209F" w:rsidRDefault="0049672F" w:rsidP="009E33CA">
            <w:pPr>
              <w:spacing w:line="480" w:lineRule="auto"/>
              <w:rPr>
                <w:sz w:val="16"/>
                <w:szCs w:val="16"/>
              </w:rPr>
            </w:pPr>
            <w:r w:rsidRPr="0048209F">
              <w:rPr>
                <w:kern w:val="0"/>
                <w:sz w:val="16"/>
                <w:szCs w:val="16"/>
              </w:rPr>
              <w:t xml:space="preserve">Protein level, </w:t>
            </w:r>
            <w:r w:rsidRPr="0048209F">
              <w:rPr>
                <w:sz w:val="16"/>
                <w:szCs w:val="16"/>
              </w:rPr>
              <w:t>mg/dL</w:t>
            </w:r>
          </w:p>
        </w:tc>
        <w:tc>
          <w:tcPr>
            <w:tcW w:w="961" w:type="pct"/>
            <w:vAlign w:val="center"/>
          </w:tcPr>
          <w:p w14:paraId="1C4CB19C" w14:textId="77777777" w:rsidR="0049672F" w:rsidRPr="0048209F" w:rsidRDefault="0049672F" w:rsidP="009E33CA">
            <w:pPr>
              <w:spacing w:line="480" w:lineRule="auto"/>
              <w:rPr>
                <w:sz w:val="16"/>
                <w:szCs w:val="16"/>
              </w:rPr>
            </w:pPr>
            <w:r w:rsidRPr="0048209F">
              <w:rPr>
                <w:sz w:val="16"/>
                <w:szCs w:val="16"/>
              </w:rPr>
              <w:t>35.36 (27.73–55.06)</w:t>
            </w:r>
          </w:p>
        </w:tc>
        <w:tc>
          <w:tcPr>
            <w:tcW w:w="914" w:type="pct"/>
            <w:vAlign w:val="center"/>
          </w:tcPr>
          <w:p w14:paraId="45467E5F" w14:textId="77777777" w:rsidR="0049672F" w:rsidRPr="0048209F" w:rsidRDefault="0049672F" w:rsidP="009E33CA">
            <w:pPr>
              <w:spacing w:line="480" w:lineRule="auto"/>
              <w:rPr>
                <w:sz w:val="16"/>
                <w:szCs w:val="16"/>
              </w:rPr>
            </w:pPr>
            <w:r w:rsidRPr="0048209F">
              <w:rPr>
                <w:sz w:val="16"/>
                <w:szCs w:val="16"/>
              </w:rPr>
              <w:t>36.00 (28.86–51.88)</w:t>
            </w:r>
          </w:p>
        </w:tc>
        <w:tc>
          <w:tcPr>
            <w:tcW w:w="914" w:type="pct"/>
            <w:vAlign w:val="center"/>
          </w:tcPr>
          <w:p w14:paraId="3C6ACE0A" w14:textId="77777777" w:rsidR="0049672F" w:rsidRPr="0048209F" w:rsidRDefault="0049672F" w:rsidP="009E33CA">
            <w:pPr>
              <w:spacing w:line="480" w:lineRule="auto"/>
              <w:rPr>
                <w:sz w:val="16"/>
                <w:szCs w:val="16"/>
              </w:rPr>
            </w:pPr>
            <w:r w:rsidRPr="0048209F">
              <w:rPr>
                <w:sz w:val="16"/>
                <w:szCs w:val="16"/>
              </w:rPr>
              <w:t>48.14 (16.59–59.44)</w:t>
            </w:r>
          </w:p>
        </w:tc>
        <w:tc>
          <w:tcPr>
            <w:tcW w:w="1197" w:type="pct"/>
            <w:vAlign w:val="center"/>
          </w:tcPr>
          <w:p w14:paraId="686F3311"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2879BAB3" w14:textId="77777777" w:rsidTr="009E33CA">
        <w:tc>
          <w:tcPr>
            <w:tcW w:w="5000" w:type="pct"/>
            <w:gridSpan w:val="5"/>
            <w:vAlign w:val="center"/>
          </w:tcPr>
          <w:p w14:paraId="60A802A1" w14:textId="77777777" w:rsidR="0049672F" w:rsidRPr="0048209F" w:rsidRDefault="0049672F" w:rsidP="009E33CA">
            <w:pPr>
              <w:spacing w:line="480" w:lineRule="auto"/>
              <w:rPr>
                <w:b/>
                <w:sz w:val="16"/>
                <w:szCs w:val="16"/>
              </w:rPr>
            </w:pPr>
            <w:r w:rsidRPr="0048209F">
              <w:rPr>
                <w:b/>
                <w:sz w:val="16"/>
                <w:szCs w:val="16"/>
              </w:rPr>
              <w:t>Brain imaging, n (%)</w:t>
            </w:r>
          </w:p>
        </w:tc>
      </w:tr>
      <w:tr w:rsidR="0049672F" w:rsidRPr="0048209F" w14:paraId="7FC1B1A6" w14:textId="77777777" w:rsidTr="009E33CA">
        <w:tc>
          <w:tcPr>
            <w:tcW w:w="1014" w:type="pct"/>
            <w:vAlign w:val="center"/>
          </w:tcPr>
          <w:p w14:paraId="60FC2131" w14:textId="77777777" w:rsidR="0049672F" w:rsidRPr="0048209F" w:rsidRDefault="0049672F" w:rsidP="009E33CA">
            <w:pPr>
              <w:spacing w:line="480" w:lineRule="auto"/>
              <w:rPr>
                <w:sz w:val="16"/>
                <w:szCs w:val="16"/>
              </w:rPr>
            </w:pPr>
            <w:r w:rsidRPr="0048209F">
              <w:rPr>
                <w:sz w:val="16"/>
                <w:szCs w:val="16"/>
              </w:rPr>
              <w:t>Angiographic abnormality</w:t>
            </w:r>
          </w:p>
        </w:tc>
        <w:tc>
          <w:tcPr>
            <w:tcW w:w="961" w:type="pct"/>
            <w:vAlign w:val="center"/>
          </w:tcPr>
          <w:p w14:paraId="43924F89" w14:textId="77777777" w:rsidR="0049672F" w:rsidRPr="0048209F" w:rsidRDefault="0049672F" w:rsidP="009E33CA">
            <w:pPr>
              <w:spacing w:line="480" w:lineRule="auto"/>
              <w:rPr>
                <w:sz w:val="16"/>
                <w:szCs w:val="16"/>
              </w:rPr>
            </w:pPr>
            <w:r w:rsidRPr="0048209F">
              <w:rPr>
                <w:sz w:val="16"/>
                <w:szCs w:val="16"/>
              </w:rPr>
              <w:t>19 (54.3)</w:t>
            </w:r>
          </w:p>
        </w:tc>
        <w:tc>
          <w:tcPr>
            <w:tcW w:w="914" w:type="pct"/>
            <w:vAlign w:val="center"/>
          </w:tcPr>
          <w:p w14:paraId="5F020279" w14:textId="77777777" w:rsidR="0049672F" w:rsidRPr="0048209F" w:rsidRDefault="0049672F" w:rsidP="009E33CA">
            <w:pPr>
              <w:spacing w:line="480" w:lineRule="auto"/>
              <w:rPr>
                <w:sz w:val="16"/>
                <w:szCs w:val="16"/>
              </w:rPr>
            </w:pPr>
            <w:r w:rsidRPr="0048209F">
              <w:rPr>
                <w:sz w:val="16"/>
                <w:szCs w:val="16"/>
              </w:rPr>
              <w:t>11 (42.3)</w:t>
            </w:r>
          </w:p>
        </w:tc>
        <w:tc>
          <w:tcPr>
            <w:tcW w:w="914" w:type="pct"/>
            <w:vAlign w:val="center"/>
          </w:tcPr>
          <w:p w14:paraId="6B25D5A3" w14:textId="77777777" w:rsidR="0049672F" w:rsidRPr="0048209F" w:rsidRDefault="0049672F" w:rsidP="009E33CA">
            <w:pPr>
              <w:spacing w:line="480" w:lineRule="auto"/>
              <w:rPr>
                <w:sz w:val="16"/>
                <w:szCs w:val="16"/>
              </w:rPr>
            </w:pPr>
            <w:r w:rsidRPr="0048209F">
              <w:rPr>
                <w:sz w:val="16"/>
                <w:szCs w:val="16"/>
              </w:rPr>
              <w:t>8 (53.3)</w:t>
            </w:r>
          </w:p>
        </w:tc>
        <w:tc>
          <w:tcPr>
            <w:tcW w:w="1197" w:type="pct"/>
            <w:vAlign w:val="center"/>
          </w:tcPr>
          <w:p w14:paraId="2581CDD2"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612EFC79" w14:textId="77777777" w:rsidTr="009E33CA">
        <w:tc>
          <w:tcPr>
            <w:tcW w:w="1014" w:type="pct"/>
            <w:tcBorders>
              <w:bottom w:val="single" w:sz="4" w:space="0" w:color="auto"/>
            </w:tcBorders>
            <w:vAlign w:val="center"/>
          </w:tcPr>
          <w:p w14:paraId="44C92EA2" w14:textId="77777777" w:rsidR="0049672F" w:rsidRPr="0048209F" w:rsidRDefault="0049672F" w:rsidP="009E33CA">
            <w:pPr>
              <w:spacing w:line="480" w:lineRule="auto"/>
              <w:rPr>
                <w:sz w:val="16"/>
                <w:szCs w:val="16"/>
              </w:rPr>
            </w:pPr>
            <w:r w:rsidRPr="0048209F">
              <w:rPr>
                <w:sz w:val="16"/>
                <w:szCs w:val="16"/>
              </w:rPr>
              <w:t>Intensify</w:t>
            </w:r>
          </w:p>
        </w:tc>
        <w:tc>
          <w:tcPr>
            <w:tcW w:w="961" w:type="pct"/>
            <w:tcBorders>
              <w:bottom w:val="single" w:sz="4" w:space="0" w:color="auto"/>
            </w:tcBorders>
            <w:vAlign w:val="center"/>
          </w:tcPr>
          <w:p w14:paraId="750EC41B" w14:textId="77777777" w:rsidR="0049672F" w:rsidRPr="0048209F" w:rsidRDefault="0049672F" w:rsidP="009E33CA">
            <w:pPr>
              <w:spacing w:line="480" w:lineRule="auto"/>
              <w:rPr>
                <w:sz w:val="16"/>
                <w:szCs w:val="16"/>
              </w:rPr>
            </w:pPr>
            <w:r w:rsidRPr="0048209F">
              <w:rPr>
                <w:sz w:val="16"/>
                <w:szCs w:val="16"/>
              </w:rPr>
              <w:t>34 (97.1)</w:t>
            </w:r>
          </w:p>
        </w:tc>
        <w:tc>
          <w:tcPr>
            <w:tcW w:w="914" w:type="pct"/>
            <w:tcBorders>
              <w:bottom w:val="single" w:sz="4" w:space="0" w:color="auto"/>
            </w:tcBorders>
            <w:vAlign w:val="center"/>
          </w:tcPr>
          <w:p w14:paraId="5286360B" w14:textId="77777777" w:rsidR="0049672F" w:rsidRPr="0048209F" w:rsidRDefault="0049672F" w:rsidP="009E33CA">
            <w:pPr>
              <w:spacing w:line="480" w:lineRule="auto"/>
              <w:rPr>
                <w:sz w:val="16"/>
                <w:szCs w:val="16"/>
              </w:rPr>
            </w:pPr>
            <w:r w:rsidRPr="0048209F">
              <w:rPr>
                <w:sz w:val="16"/>
                <w:szCs w:val="16"/>
              </w:rPr>
              <w:t>25 (96.2)</w:t>
            </w:r>
          </w:p>
        </w:tc>
        <w:tc>
          <w:tcPr>
            <w:tcW w:w="914" w:type="pct"/>
            <w:tcBorders>
              <w:bottom w:val="single" w:sz="4" w:space="0" w:color="auto"/>
            </w:tcBorders>
            <w:vAlign w:val="center"/>
          </w:tcPr>
          <w:p w14:paraId="01D4361E" w14:textId="77777777" w:rsidR="0049672F" w:rsidRPr="0048209F" w:rsidRDefault="0049672F" w:rsidP="009E33CA">
            <w:pPr>
              <w:spacing w:line="480" w:lineRule="auto"/>
              <w:rPr>
                <w:sz w:val="16"/>
                <w:szCs w:val="16"/>
              </w:rPr>
            </w:pPr>
            <w:r w:rsidRPr="0048209F">
              <w:rPr>
                <w:sz w:val="16"/>
                <w:szCs w:val="16"/>
              </w:rPr>
              <w:t>15 (100)</w:t>
            </w:r>
          </w:p>
        </w:tc>
        <w:tc>
          <w:tcPr>
            <w:tcW w:w="1197" w:type="pct"/>
            <w:tcBorders>
              <w:bottom w:val="single" w:sz="4" w:space="0" w:color="auto"/>
            </w:tcBorders>
            <w:vAlign w:val="center"/>
          </w:tcPr>
          <w:p w14:paraId="452CC283" w14:textId="77777777" w:rsidR="0049672F" w:rsidRPr="0048209F" w:rsidRDefault="0049672F" w:rsidP="009E33CA">
            <w:pPr>
              <w:spacing w:line="480" w:lineRule="auto"/>
              <w:rPr>
                <w:sz w:val="16"/>
                <w:szCs w:val="16"/>
              </w:rPr>
            </w:pPr>
            <w:r w:rsidRPr="0048209F">
              <w:rPr>
                <w:sz w:val="16"/>
                <w:szCs w:val="16"/>
              </w:rPr>
              <w:t>-</w:t>
            </w:r>
          </w:p>
        </w:tc>
      </w:tr>
      <w:tr w:rsidR="0049672F" w:rsidRPr="0048209F" w14:paraId="1344D043" w14:textId="77777777" w:rsidTr="009E33CA">
        <w:tc>
          <w:tcPr>
            <w:tcW w:w="5000" w:type="pct"/>
            <w:gridSpan w:val="5"/>
            <w:tcBorders>
              <w:top w:val="single" w:sz="4" w:space="0" w:color="auto"/>
            </w:tcBorders>
            <w:vAlign w:val="center"/>
          </w:tcPr>
          <w:p w14:paraId="6298997A" w14:textId="77777777" w:rsidR="0049672F" w:rsidRPr="0048209F" w:rsidRDefault="0049672F" w:rsidP="009E33CA">
            <w:pPr>
              <w:spacing w:line="480" w:lineRule="auto"/>
              <w:rPr>
                <w:sz w:val="16"/>
                <w:szCs w:val="16"/>
              </w:rPr>
            </w:pPr>
            <w:r>
              <w:rPr>
                <w:rFonts w:hint="eastAsia"/>
                <w:sz w:val="16"/>
                <w:szCs w:val="16"/>
              </w:rPr>
              <w:t>PACNS:</w:t>
            </w:r>
            <w:r w:rsidRPr="006576C7">
              <w:rPr>
                <w:sz w:val="16"/>
                <w:szCs w:val="16"/>
              </w:rPr>
              <w:t xml:space="preserve"> </w:t>
            </w:r>
            <w:r>
              <w:rPr>
                <w:rFonts w:hint="eastAsia"/>
                <w:sz w:val="16"/>
                <w:szCs w:val="16"/>
              </w:rPr>
              <w:t>P</w:t>
            </w:r>
            <w:r w:rsidRPr="006576C7">
              <w:rPr>
                <w:sz w:val="16"/>
                <w:szCs w:val="16"/>
              </w:rPr>
              <w:t>rimary angiitis of the central nervous system</w:t>
            </w:r>
            <w:r>
              <w:rPr>
                <w:rFonts w:hint="eastAsia"/>
                <w:sz w:val="16"/>
                <w:szCs w:val="16"/>
              </w:rPr>
              <w:t>;</w:t>
            </w:r>
            <w:r w:rsidRPr="006576C7">
              <w:rPr>
                <w:sz w:val="16"/>
                <w:szCs w:val="16"/>
              </w:rPr>
              <w:t xml:space="preserve"> CSF</w:t>
            </w:r>
            <w:r w:rsidRPr="006576C7">
              <w:rPr>
                <w:rFonts w:hint="eastAsia"/>
                <w:sz w:val="16"/>
                <w:szCs w:val="16"/>
              </w:rPr>
              <w:t>:</w:t>
            </w:r>
            <w:r w:rsidRPr="006576C7">
              <w:rPr>
                <w:sz w:val="16"/>
                <w:szCs w:val="16"/>
              </w:rPr>
              <w:t xml:space="preserve">  </w:t>
            </w:r>
            <w:r w:rsidRPr="006576C7">
              <w:rPr>
                <w:rFonts w:hint="eastAsia"/>
                <w:sz w:val="16"/>
                <w:szCs w:val="16"/>
              </w:rPr>
              <w:t>C</w:t>
            </w:r>
            <w:r w:rsidRPr="006576C7">
              <w:rPr>
                <w:sz w:val="16"/>
                <w:szCs w:val="16"/>
              </w:rPr>
              <w:t>erebrospinal fluid</w:t>
            </w:r>
            <w:r w:rsidRPr="006576C7">
              <w:rPr>
                <w:rFonts w:hint="eastAsia"/>
                <w:sz w:val="16"/>
                <w:szCs w:val="16"/>
              </w:rPr>
              <w:t>;</w:t>
            </w:r>
            <w:r w:rsidRPr="0048209F">
              <w:rPr>
                <w:sz w:val="16"/>
                <w:szCs w:val="16"/>
              </w:rPr>
              <w:t xml:space="preserve"> </w:t>
            </w:r>
            <w:r w:rsidRPr="006576C7">
              <w:rPr>
                <w:sz w:val="16"/>
                <w:szCs w:val="16"/>
              </w:rPr>
              <w:t>WBC</w:t>
            </w:r>
            <w:r>
              <w:rPr>
                <w:rFonts w:hint="eastAsia"/>
                <w:sz w:val="16"/>
                <w:szCs w:val="16"/>
              </w:rPr>
              <w:t>:</w:t>
            </w:r>
            <w:r w:rsidRPr="006576C7">
              <w:rPr>
                <w:sz w:val="16"/>
                <w:szCs w:val="16"/>
              </w:rPr>
              <w:t xml:space="preserve"> </w:t>
            </w:r>
            <w:r>
              <w:rPr>
                <w:rFonts w:hint="eastAsia"/>
                <w:sz w:val="16"/>
                <w:szCs w:val="16"/>
              </w:rPr>
              <w:t>W</w:t>
            </w:r>
            <w:r w:rsidRPr="006576C7">
              <w:rPr>
                <w:sz w:val="16"/>
                <w:szCs w:val="16"/>
              </w:rPr>
              <w:t>hite blood cell</w:t>
            </w:r>
            <w:r>
              <w:rPr>
                <w:rFonts w:hint="eastAsia"/>
                <w:sz w:val="16"/>
                <w:szCs w:val="16"/>
              </w:rPr>
              <w:t xml:space="preserve">; </w:t>
            </w:r>
            <w:r w:rsidRPr="0048209F">
              <w:rPr>
                <w:sz w:val="16"/>
                <w:szCs w:val="16"/>
              </w:rPr>
              <w:t>Imaging modalities included magnetic resonance angiography, CT angiography, or cerebral angiogram.</w:t>
            </w:r>
          </w:p>
        </w:tc>
      </w:tr>
    </w:tbl>
    <w:p w14:paraId="65FBF2F0" w14:textId="3C106E76" w:rsidR="00547AD7" w:rsidRPr="00A71BEC" w:rsidRDefault="00547AD7" w:rsidP="0075785D">
      <w:pPr>
        <w:spacing w:line="480" w:lineRule="auto"/>
        <w:ind w:firstLine="420"/>
        <w:rPr>
          <w:color w:val="333333"/>
          <w:kern w:val="0"/>
          <w:sz w:val="20"/>
          <w:szCs w:val="20"/>
        </w:rPr>
      </w:pPr>
      <w:r w:rsidRPr="00A71BEC">
        <w:rPr>
          <w:sz w:val="20"/>
          <w:szCs w:val="20"/>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tblGrid>
      <w:tr w:rsidR="00547AD7" w:rsidRPr="00A71BEC" w14:paraId="735E9321" w14:textId="77777777" w:rsidTr="0075785D">
        <w:trPr>
          <w:trHeight w:val="839"/>
        </w:trPr>
        <w:tc>
          <w:tcPr>
            <w:tcW w:w="8040" w:type="dxa"/>
          </w:tcPr>
          <w:p w14:paraId="6821CA66" w14:textId="214F3B4D" w:rsidR="00547AD7" w:rsidRPr="00A71BEC" w:rsidRDefault="005271C9" w:rsidP="00AC2CBC">
            <w:pPr>
              <w:spacing w:line="480" w:lineRule="auto"/>
              <w:rPr>
                <w:kern w:val="0"/>
                <w:sz w:val="20"/>
                <w:szCs w:val="20"/>
              </w:rPr>
            </w:pPr>
            <w:r>
              <w:rPr>
                <w:noProof/>
                <w:kern w:val="0"/>
                <w:sz w:val="20"/>
                <w:szCs w:val="20"/>
              </w:rPr>
              <w:lastRenderedPageBreak/>
              <w:drawing>
                <wp:inline distT="0" distB="0" distL="0" distR="0" wp14:anchorId="2498E904" wp14:editId="222A0AC0">
                  <wp:extent cx="5272405" cy="5382260"/>
                  <wp:effectExtent l="0" t="0" r="0" b="0"/>
                  <wp:docPr id="20865194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2405" cy="5382260"/>
                          </a:xfrm>
                          <a:prstGeom prst="rect">
                            <a:avLst/>
                          </a:prstGeom>
                          <a:noFill/>
                          <a:ln>
                            <a:noFill/>
                          </a:ln>
                        </pic:spPr>
                      </pic:pic>
                    </a:graphicData>
                  </a:graphic>
                </wp:inline>
              </w:drawing>
            </w:r>
          </w:p>
        </w:tc>
      </w:tr>
      <w:tr w:rsidR="00547AD7" w:rsidRPr="00A71BEC" w14:paraId="2B458CE7" w14:textId="77777777" w:rsidTr="0075785D">
        <w:tc>
          <w:tcPr>
            <w:tcW w:w="8040" w:type="dxa"/>
          </w:tcPr>
          <w:p w14:paraId="0E3F3E4B" w14:textId="71FF29F0" w:rsidR="00547AD7" w:rsidRPr="00A71BEC" w:rsidRDefault="0019785A" w:rsidP="00AC2CBC">
            <w:pPr>
              <w:spacing w:line="480" w:lineRule="auto"/>
              <w:rPr>
                <w:noProof/>
                <w:sz w:val="20"/>
                <w:szCs w:val="20"/>
              </w:rPr>
            </w:pPr>
            <w:r w:rsidRPr="000C4B9F">
              <w:rPr>
                <w:b/>
                <w:bCs/>
                <w:kern w:val="0"/>
                <w:sz w:val="20"/>
                <w:szCs w:val="20"/>
              </w:rPr>
              <w:t>Suppleme</w:t>
            </w:r>
            <w:r w:rsidRPr="001F539E">
              <w:rPr>
                <w:rFonts w:eastAsia="Times New Roman"/>
                <w:b/>
                <w:sz w:val="20"/>
              </w:rPr>
              <w:t xml:space="preserve">ntary </w:t>
            </w:r>
            <w:r w:rsidR="00F52898" w:rsidRPr="009133C6">
              <w:rPr>
                <w:rFonts w:eastAsia="Times New Roman"/>
                <w:b/>
                <w:sz w:val="20"/>
              </w:rPr>
              <w:t>Fig</w:t>
            </w:r>
            <w:r w:rsidR="001F539E" w:rsidRPr="001F539E">
              <w:rPr>
                <w:rFonts w:eastAsia="Times New Roman" w:hint="eastAsia"/>
                <w:b/>
                <w:sz w:val="20"/>
              </w:rPr>
              <w:t>ure</w:t>
            </w:r>
            <w:r w:rsidR="00F52898">
              <w:rPr>
                <w:rFonts w:eastAsia="Times New Roman"/>
                <w:b/>
                <w:sz w:val="20"/>
              </w:rPr>
              <w:t xml:space="preserve"> </w:t>
            </w:r>
            <w:r w:rsidR="00F52898">
              <w:rPr>
                <w:rFonts w:eastAsiaTheme="minorEastAsia" w:hint="eastAsia"/>
                <w:b/>
                <w:sz w:val="20"/>
              </w:rPr>
              <w:t>S</w:t>
            </w:r>
            <w:r w:rsidR="00F52898" w:rsidRPr="009133C6">
              <w:rPr>
                <w:rFonts w:eastAsia="Times New Roman"/>
                <w:b/>
                <w:sz w:val="20"/>
              </w:rPr>
              <w:t>1</w:t>
            </w:r>
            <w:r w:rsidRPr="00A71BEC">
              <w:rPr>
                <w:kern w:val="0"/>
                <w:sz w:val="20"/>
                <w:szCs w:val="20"/>
              </w:rPr>
              <w:t xml:space="preserve"> Representative LCMS</w:t>
            </w:r>
            <w:r w:rsidR="0006541C">
              <w:rPr>
                <w:rFonts w:hint="eastAsia"/>
                <w:kern w:val="0"/>
                <w:sz w:val="20"/>
                <w:szCs w:val="20"/>
              </w:rPr>
              <w:t xml:space="preserve"> (a)</w:t>
            </w:r>
            <w:r w:rsidRPr="00A71BEC">
              <w:rPr>
                <w:kern w:val="0"/>
                <w:sz w:val="20"/>
                <w:szCs w:val="20"/>
              </w:rPr>
              <w:t xml:space="preserve"> and GCMS</w:t>
            </w:r>
            <w:r w:rsidR="0006541C">
              <w:rPr>
                <w:rFonts w:hint="eastAsia"/>
                <w:kern w:val="0"/>
                <w:sz w:val="20"/>
                <w:szCs w:val="20"/>
              </w:rPr>
              <w:t xml:space="preserve"> (b)</w:t>
            </w:r>
            <w:r w:rsidRPr="00A71BEC">
              <w:rPr>
                <w:kern w:val="0"/>
                <w:sz w:val="20"/>
                <w:szCs w:val="20"/>
              </w:rPr>
              <w:t xml:space="preserve"> chromatograms of PACNS-1 (spectra obtained by successive depiction of the intensity of the strongest ion in the chromatogram at each time point).</w:t>
            </w:r>
          </w:p>
        </w:tc>
      </w:tr>
    </w:tbl>
    <w:p w14:paraId="356112FA" w14:textId="402D1E08" w:rsidR="00547AD7" w:rsidRPr="00A71BEC" w:rsidRDefault="00547AD7" w:rsidP="00AC2CBC">
      <w:pPr>
        <w:spacing w:line="480" w:lineRule="auto"/>
        <w:rPr>
          <w:sz w:val="20"/>
          <w:szCs w:val="20"/>
        </w:rPr>
      </w:pPr>
      <w:r w:rsidRPr="00A71BEC">
        <w:rPr>
          <w:sz w:val="20"/>
          <w:szCs w:val="20"/>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tblGrid>
      <w:tr w:rsidR="00547AD7" w:rsidRPr="00A71BEC" w14:paraId="2779F249" w14:textId="77777777" w:rsidTr="006272BA">
        <w:trPr>
          <w:trHeight w:val="944"/>
        </w:trPr>
        <w:tc>
          <w:tcPr>
            <w:tcW w:w="8262" w:type="dxa"/>
          </w:tcPr>
          <w:p w14:paraId="73B5FB63" w14:textId="6A81B062" w:rsidR="00547AD7" w:rsidRPr="00A71BEC" w:rsidRDefault="00D67267" w:rsidP="00AC2CBC">
            <w:pPr>
              <w:spacing w:line="480" w:lineRule="auto"/>
              <w:rPr>
                <w:sz w:val="20"/>
                <w:szCs w:val="20"/>
              </w:rPr>
            </w:pPr>
            <w:r>
              <w:rPr>
                <w:noProof/>
                <w:kern w:val="0"/>
                <w:sz w:val="20"/>
                <w:szCs w:val="20"/>
              </w:rPr>
              <w:lastRenderedPageBreak/>
              <w:drawing>
                <wp:inline distT="0" distB="0" distL="0" distR="0" wp14:anchorId="50CD90F6" wp14:editId="37705B66">
                  <wp:extent cx="5272405" cy="3495675"/>
                  <wp:effectExtent l="0" t="0" r="0" b="0"/>
                  <wp:docPr id="205472869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405" cy="3495675"/>
                          </a:xfrm>
                          <a:prstGeom prst="rect">
                            <a:avLst/>
                          </a:prstGeom>
                          <a:noFill/>
                          <a:ln>
                            <a:noFill/>
                          </a:ln>
                        </pic:spPr>
                      </pic:pic>
                    </a:graphicData>
                  </a:graphic>
                </wp:inline>
              </w:drawing>
            </w:r>
          </w:p>
        </w:tc>
      </w:tr>
      <w:tr w:rsidR="00547AD7" w:rsidRPr="00A71BEC" w14:paraId="0F3AFE10" w14:textId="77777777" w:rsidTr="006272BA">
        <w:tc>
          <w:tcPr>
            <w:tcW w:w="8262" w:type="dxa"/>
          </w:tcPr>
          <w:p w14:paraId="0C50B4F6" w14:textId="1881B3A7" w:rsidR="00547AD7" w:rsidRPr="006272BA" w:rsidRDefault="0019785A" w:rsidP="009624ED">
            <w:pPr>
              <w:spacing w:line="480" w:lineRule="auto"/>
              <w:rPr>
                <w:kern w:val="0"/>
                <w:sz w:val="20"/>
                <w:szCs w:val="20"/>
              </w:rPr>
            </w:pPr>
            <w:r w:rsidRPr="0075474D">
              <w:rPr>
                <w:b/>
                <w:bCs/>
                <w:kern w:val="0"/>
                <w:sz w:val="20"/>
                <w:szCs w:val="20"/>
              </w:rPr>
              <w:t xml:space="preserve">Supplementary </w:t>
            </w:r>
            <w:r w:rsidR="00965DA4" w:rsidRPr="009133C6">
              <w:rPr>
                <w:rFonts w:eastAsia="Times New Roman"/>
                <w:b/>
                <w:sz w:val="20"/>
              </w:rPr>
              <w:t>Fig</w:t>
            </w:r>
            <w:r w:rsidR="001F539E">
              <w:rPr>
                <w:rFonts w:eastAsiaTheme="minorEastAsia" w:hint="eastAsia"/>
                <w:b/>
                <w:sz w:val="20"/>
              </w:rPr>
              <w:t>ure</w:t>
            </w:r>
            <w:r w:rsidR="004B3489">
              <w:rPr>
                <w:rFonts w:eastAsia="Times New Roman"/>
                <w:b/>
                <w:sz w:val="20"/>
              </w:rPr>
              <w:t xml:space="preserve"> </w:t>
            </w:r>
            <w:r w:rsidR="00965DA4">
              <w:rPr>
                <w:rFonts w:eastAsiaTheme="minorEastAsia" w:hint="eastAsia"/>
                <w:b/>
                <w:sz w:val="20"/>
              </w:rPr>
              <w:t>S</w:t>
            </w:r>
            <w:r w:rsidR="004B3489" w:rsidRPr="009133C6">
              <w:rPr>
                <w:rFonts w:eastAsia="Times New Roman"/>
                <w:b/>
                <w:sz w:val="20"/>
              </w:rPr>
              <w:t>2</w:t>
            </w:r>
            <w:r w:rsidRPr="00A71BEC">
              <w:rPr>
                <w:kern w:val="0"/>
                <w:sz w:val="20"/>
                <w:szCs w:val="20"/>
              </w:rPr>
              <w:t xml:space="preserve"> Model score plots for orthogonal PLS-DA (OPLS-DA). </w:t>
            </w:r>
            <w:r w:rsidR="009624ED" w:rsidRPr="009624ED">
              <w:rPr>
                <w:kern w:val="0"/>
                <w:sz w:val="20"/>
                <w:szCs w:val="20"/>
              </w:rPr>
              <w:t>a, b: OPLS-DA of LC-MS and GC-MS between V</w:t>
            </w:r>
            <w:r w:rsidR="00AA7C5D">
              <w:rPr>
                <w:rFonts w:hint="eastAsia"/>
                <w:kern w:val="0"/>
                <w:sz w:val="20"/>
                <w:szCs w:val="20"/>
              </w:rPr>
              <w:t>2</w:t>
            </w:r>
            <w:r w:rsidR="009624ED" w:rsidRPr="009624ED">
              <w:rPr>
                <w:kern w:val="0"/>
                <w:sz w:val="20"/>
                <w:szCs w:val="20"/>
              </w:rPr>
              <w:t xml:space="preserve"> vs. V</w:t>
            </w:r>
            <w:r w:rsidR="00AA7C5D">
              <w:rPr>
                <w:rFonts w:hint="eastAsia"/>
                <w:kern w:val="0"/>
                <w:sz w:val="20"/>
                <w:szCs w:val="20"/>
              </w:rPr>
              <w:t>1</w:t>
            </w:r>
            <w:r w:rsidR="009624ED" w:rsidRPr="009624ED">
              <w:rPr>
                <w:kern w:val="0"/>
                <w:sz w:val="20"/>
                <w:szCs w:val="20"/>
              </w:rPr>
              <w:t>;</w:t>
            </w:r>
            <w:r w:rsidR="009624ED">
              <w:rPr>
                <w:rFonts w:hint="eastAsia"/>
                <w:kern w:val="0"/>
                <w:sz w:val="20"/>
                <w:szCs w:val="20"/>
              </w:rPr>
              <w:t xml:space="preserve"> </w:t>
            </w:r>
            <w:r w:rsidR="009624ED" w:rsidRPr="009624ED">
              <w:rPr>
                <w:kern w:val="0"/>
                <w:sz w:val="20"/>
                <w:szCs w:val="20"/>
              </w:rPr>
              <w:t>c, d: OPLS-DA of LC-MS and GC-MS between V</w:t>
            </w:r>
            <w:r w:rsidR="00AA7C5D">
              <w:rPr>
                <w:rFonts w:hint="eastAsia"/>
                <w:kern w:val="0"/>
                <w:sz w:val="20"/>
                <w:szCs w:val="20"/>
              </w:rPr>
              <w:t>1</w:t>
            </w:r>
            <w:r w:rsidR="009624ED" w:rsidRPr="009624ED">
              <w:rPr>
                <w:kern w:val="0"/>
                <w:sz w:val="20"/>
                <w:szCs w:val="20"/>
              </w:rPr>
              <w:t xml:space="preserve"> vs. V3;</w:t>
            </w:r>
            <w:r w:rsidR="006272BA">
              <w:rPr>
                <w:rFonts w:hint="eastAsia"/>
                <w:kern w:val="0"/>
                <w:sz w:val="20"/>
                <w:szCs w:val="20"/>
              </w:rPr>
              <w:t xml:space="preserve"> </w:t>
            </w:r>
            <w:r w:rsidR="009624ED">
              <w:rPr>
                <w:rFonts w:hint="eastAsia"/>
                <w:kern w:val="0"/>
                <w:sz w:val="20"/>
                <w:szCs w:val="20"/>
              </w:rPr>
              <w:t>e, f</w:t>
            </w:r>
            <w:r w:rsidR="009624ED" w:rsidRPr="009624ED">
              <w:rPr>
                <w:kern w:val="0"/>
                <w:sz w:val="20"/>
                <w:szCs w:val="20"/>
              </w:rPr>
              <w:t>: OPLS-DA of LC-MS and GC-MS between V2 vs. V</w:t>
            </w:r>
            <w:r w:rsidR="00AA7C5D">
              <w:rPr>
                <w:rFonts w:hint="eastAsia"/>
                <w:kern w:val="0"/>
                <w:sz w:val="20"/>
                <w:szCs w:val="20"/>
              </w:rPr>
              <w:t>3</w:t>
            </w:r>
            <w:r w:rsidR="009624ED">
              <w:rPr>
                <w:rFonts w:hint="eastAsia"/>
                <w:kern w:val="0"/>
                <w:sz w:val="20"/>
                <w:szCs w:val="20"/>
              </w:rPr>
              <w:t xml:space="preserve">; </w:t>
            </w:r>
            <w:r w:rsidR="009624ED" w:rsidRPr="002373C5">
              <w:rPr>
                <w:sz w:val="20"/>
                <w:szCs w:val="20"/>
              </w:rPr>
              <w:t>blue, orange, and green dots correspond to V1, V2, and V3 groups, respectively.</w:t>
            </w:r>
          </w:p>
        </w:tc>
      </w:tr>
    </w:tbl>
    <w:p w14:paraId="1DE5F2D3" w14:textId="06B4C457" w:rsidR="00547AD7" w:rsidRPr="00A71BEC" w:rsidRDefault="00547AD7" w:rsidP="00AC2CBC">
      <w:pPr>
        <w:spacing w:line="480" w:lineRule="auto"/>
        <w:rPr>
          <w:sz w:val="20"/>
          <w:szCs w:val="20"/>
        </w:rPr>
      </w:pPr>
      <w:r w:rsidRPr="00A71BEC">
        <w:rPr>
          <w:sz w:val="20"/>
          <w:szCs w:val="20"/>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tblGrid>
      <w:tr w:rsidR="00547AD7" w:rsidRPr="00A71BEC" w14:paraId="30808DDA" w14:textId="77777777" w:rsidTr="006272BA">
        <w:trPr>
          <w:trHeight w:val="944"/>
        </w:trPr>
        <w:tc>
          <w:tcPr>
            <w:tcW w:w="8262" w:type="dxa"/>
          </w:tcPr>
          <w:p w14:paraId="4B37A34D" w14:textId="4CFAE6E0" w:rsidR="00547AD7" w:rsidRPr="00A71BEC" w:rsidRDefault="00E33EC9" w:rsidP="00AC2CBC">
            <w:pPr>
              <w:spacing w:line="480" w:lineRule="auto"/>
              <w:rPr>
                <w:sz w:val="20"/>
                <w:szCs w:val="20"/>
              </w:rPr>
            </w:pPr>
            <w:r>
              <w:rPr>
                <w:noProof/>
                <w:sz w:val="20"/>
                <w:szCs w:val="20"/>
              </w:rPr>
              <w:lastRenderedPageBreak/>
              <w:drawing>
                <wp:inline distT="0" distB="0" distL="0" distR="0" wp14:anchorId="4BA5A4EE" wp14:editId="7AB55304">
                  <wp:extent cx="5272405" cy="3778885"/>
                  <wp:effectExtent l="0" t="0" r="0" b="0"/>
                  <wp:docPr id="7854105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2405" cy="3778885"/>
                          </a:xfrm>
                          <a:prstGeom prst="rect">
                            <a:avLst/>
                          </a:prstGeom>
                          <a:noFill/>
                          <a:ln>
                            <a:noFill/>
                          </a:ln>
                        </pic:spPr>
                      </pic:pic>
                    </a:graphicData>
                  </a:graphic>
                </wp:inline>
              </w:drawing>
            </w:r>
          </w:p>
        </w:tc>
      </w:tr>
      <w:tr w:rsidR="00547AD7" w:rsidRPr="00A71BEC" w14:paraId="68B41B19" w14:textId="77777777" w:rsidTr="006272BA">
        <w:tc>
          <w:tcPr>
            <w:tcW w:w="8262" w:type="dxa"/>
          </w:tcPr>
          <w:p w14:paraId="4ECEA59B" w14:textId="42D5CE7B" w:rsidR="00547AD7" w:rsidRPr="006272BA" w:rsidRDefault="0019785A" w:rsidP="006272BA">
            <w:pPr>
              <w:spacing w:line="480" w:lineRule="auto"/>
              <w:rPr>
                <w:kern w:val="0"/>
                <w:sz w:val="20"/>
                <w:szCs w:val="20"/>
              </w:rPr>
            </w:pPr>
            <w:r w:rsidRPr="004B3489">
              <w:rPr>
                <w:b/>
                <w:bCs/>
                <w:kern w:val="0"/>
                <w:sz w:val="20"/>
                <w:szCs w:val="20"/>
              </w:rPr>
              <w:t xml:space="preserve">Supplementary </w:t>
            </w:r>
            <w:r w:rsidR="00965DA4" w:rsidRPr="009133C6">
              <w:rPr>
                <w:rFonts w:eastAsia="Times New Roman"/>
                <w:b/>
                <w:sz w:val="20"/>
              </w:rPr>
              <w:t>Fig</w:t>
            </w:r>
            <w:r w:rsidR="001F539E">
              <w:rPr>
                <w:rFonts w:eastAsiaTheme="minorEastAsia" w:hint="eastAsia"/>
                <w:b/>
                <w:sz w:val="20"/>
              </w:rPr>
              <w:t>ure</w:t>
            </w:r>
            <w:r w:rsidR="004B3489" w:rsidRPr="004B3489">
              <w:rPr>
                <w:rFonts w:eastAsia="Times New Roman"/>
                <w:b/>
                <w:bCs/>
                <w:sz w:val="20"/>
              </w:rPr>
              <w:t xml:space="preserve"> </w:t>
            </w:r>
            <w:r w:rsidR="00965DA4">
              <w:rPr>
                <w:rFonts w:eastAsiaTheme="minorEastAsia" w:hint="eastAsia"/>
                <w:b/>
                <w:bCs/>
                <w:sz w:val="20"/>
              </w:rPr>
              <w:t>S</w:t>
            </w:r>
            <w:r w:rsidR="004B3489" w:rsidRPr="004B3489">
              <w:rPr>
                <w:rFonts w:eastAsiaTheme="minorEastAsia" w:hint="eastAsia"/>
                <w:b/>
                <w:bCs/>
                <w:sz w:val="20"/>
              </w:rPr>
              <w:t>3</w:t>
            </w:r>
            <w:r w:rsidRPr="00A71BEC">
              <w:rPr>
                <w:kern w:val="0"/>
                <w:sz w:val="20"/>
                <w:szCs w:val="20"/>
              </w:rPr>
              <w:t xml:space="preserve"> Unsupervised Principal Component Analysis (PCA)</w:t>
            </w:r>
            <w:r w:rsidR="006272BA">
              <w:rPr>
                <w:rFonts w:hint="eastAsia"/>
                <w:kern w:val="0"/>
                <w:sz w:val="20"/>
                <w:szCs w:val="20"/>
              </w:rPr>
              <w:t>.</w:t>
            </w:r>
            <w:r w:rsidR="006272BA" w:rsidRPr="009624ED">
              <w:rPr>
                <w:kern w:val="0"/>
                <w:sz w:val="20"/>
                <w:szCs w:val="20"/>
              </w:rPr>
              <w:t xml:space="preserve"> a, b: </w:t>
            </w:r>
            <w:r w:rsidR="006272BA" w:rsidRPr="00A71BEC">
              <w:rPr>
                <w:kern w:val="0"/>
                <w:sz w:val="20"/>
                <w:szCs w:val="20"/>
              </w:rPr>
              <w:t>PCA</w:t>
            </w:r>
            <w:r w:rsidR="006272BA" w:rsidRPr="009624ED">
              <w:rPr>
                <w:kern w:val="0"/>
                <w:sz w:val="20"/>
                <w:szCs w:val="20"/>
              </w:rPr>
              <w:t xml:space="preserve"> of LC-MS and GC-MS between V</w:t>
            </w:r>
            <w:r w:rsidR="00B6109E">
              <w:rPr>
                <w:rFonts w:hint="eastAsia"/>
                <w:kern w:val="0"/>
                <w:sz w:val="20"/>
                <w:szCs w:val="20"/>
              </w:rPr>
              <w:t>2</w:t>
            </w:r>
            <w:r w:rsidR="006272BA" w:rsidRPr="009624ED">
              <w:rPr>
                <w:kern w:val="0"/>
                <w:sz w:val="20"/>
                <w:szCs w:val="20"/>
              </w:rPr>
              <w:t xml:space="preserve"> vs. V</w:t>
            </w:r>
            <w:r w:rsidR="00B6109E">
              <w:rPr>
                <w:rFonts w:hint="eastAsia"/>
                <w:kern w:val="0"/>
                <w:sz w:val="20"/>
                <w:szCs w:val="20"/>
              </w:rPr>
              <w:t>1</w:t>
            </w:r>
            <w:r w:rsidR="006272BA" w:rsidRPr="009624ED">
              <w:rPr>
                <w:kern w:val="0"/>
                <w:sz w:val="20"/>
                <w:szCs w:val="20"/>
              </w:rPr>
              <w:t>;</w:t>
            </w:r>
            <w:r w:rsidR="006272BA">
              <w:rPr>
                <w:rFonts w:hint="eastAsia"/>
                <w:kern w:val="0"/>
                <w:sz w:val="20"/>
                <w:szCs w:val="20"/>
              </w:rPr>
              <w:t xml:space="preserve"> </w:t>
            </w:r>
            <w:r w:rsidR="006272BA" w:rsidRPr="009624ED">
              <w:rPr>
                <w:kern w:val="0"/>
                <w:sz w:val="20"/>
                <w:szCs w:val="20"/>
              </w:rPr>
              <w:t xml:space="preserve">c, d: </w:t>
            </w:r>
            <w:r w:rsidR="006272BA" w:rsidRPr="00A71BEC">
              <w:rPr>
                <w:kern w:val="0"/>
                <w:sz w:val="20"/>
                <w:szCs w:val="20"/>
              </w:rPr>
              <w:t>PCA</w:t>
            </w:r>
            <w:r w:rsidR="006272BA" w:rsidRPr="009624ED">
              <w:rPr>
                <w:kern w:val="0"/>
                <w:sz w:val="20"/>
                <w:szCs w:val="20"/>
              </w:rPr>
              <w:t xml:space="preserve"> of LC-MS and GC-MS between V</w:t>
            </w:r>
            <w:r w:rsidR="00B6109E">
              <w:rPr>
                <w:rFonts w:hint="eastAsia"/>
                <w:kern w:val="0"/>
                <w:sz w:val="20"/>
                <w:szCs w:val="20"/>
              </w:rPr>
              <w:t>1</w:t>
            </w:r>
            <w:r w:rsidR="006272BA" w:rsidRPr="009624ED">
              <w:rPr>
                <w:kern w:val="0"/>
                <w:sz w:val="20"/>
                <w:szCs w:val="20"/>
              </w:rPr>
              <w:t xml:space="preserve"> vs. V3;</w:t>
            </w:r>
            <w:r w:rsidR="006272BA">
              <w:rPr>
                <w:rFonts w:hint="eastAsia"/>
                <w:kern w:val="0"/>
                <w:sz w:val="20"/>
                <w:szCs w:val="20"/>
              </w:rPr>
              <w:t xml:space="preserve"> e, f</w:t>
            </w:r>
            <w:r w:rsidR="006272BA" w:rsidRPr="009624ED">
              <w:rPr>
                <w:kern w:val="0"/>
                <w:sz w:val="20"/>
                <w:szCs w:val="20"/>
              </w:rPr>
              <w:t xml:space="preserve">: </w:t>
            </w:r>
            <w:r w:rsidR="006272BA" w:rsidRPr="00A71BEC">
              <w:rPr>
                <w:kern w:val="0"/>
                <w:sz w:val="20"/>
                <w:szCs w:val="20"/>
              </w:rPr>
              <w:t>PCA</w:t>
            </w:r>
            <w:r w:rsidR="006272BA" w:rsidRPr="009624ED">
              <w:rPr>
                <w:kern w:val="0"/>
                <w:sz w:val="20"/>
                <w:szCs w:val="20"/>
              </w:rPr>
              <w:t xml:space="preserve"> of LC-MS and GC-MS between V2 vs. V</w:t>
            </w:r>
            <w:r w:rsidR="00B6109E">
              <w:rPr>
                <w:rFonts w:hint="eastAsia"/>
                <w:kern w:val="0"/>
                <w:sz w:val="20"/>
                <w:szCs w:val="20"/>
              </w:rPr>
              <w:t>3</w:t>
            </w:r>
            <w:r w:rsidR="006272BA">
              <w:rPr>
                <w:rFonts w:hint="eastAsia"/>
                <w:kern w:val="0"/>
                <w:sz w:val="20"/>
                <w:szCs w:val="20"/>
              </w:rPr>
              <w:t xml:space="preserve">; </w:t>
            </w:r>
            <w:r w:rsidR="006272BA" w:rsidRPr="002373C5">
              <w:rPr>
                <w:sz w:val="20"/>
                <w:szCs w:val="20"/>
              </w:rPr>
              <w:t>blue, orange, and green dots correspond to V1, V2, and V3 groups, respectively.</w:t>
            </w:r>
          </w:p>
        </w:tc>
      </w:tr>
    </w:tbl>
    <w:p w14:paraId="5FDD00AA" w14:textId="7D145636" w:rsidR="00547AD7" w:rsidRPr="00A71BEC" w:rsidRDefault="00547AD7" w:rsidP="00AC2CBC">
      <w:pPr>
        <w:spacing w:line="480" w:lineRule="auto"/>
        <w:rPr>
          <w:sz w:val="20"/>
          <w:szCs w:val="20"/>
        </w:rPr>
      </w:pPr>
      <w:r w:rsidRPr="00A71BEC">
        <w:rPr>
          <w:sz w:val="20"/>
          <w:szCs w:val="20"/>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9"/>
      </w:tblGrid>
      <w:tr w:rsidR="00547AD7" w:rsidRPr="00A71BEC" w14:paraId="5EF8694C" w14:textId="77777777" w:rsidTr="00FA0194">
        <w:trPr>
          <w:trHeight w:val="944"/>
        </w:trPr>
        <w:tc>
          <w:tcPr>
            <w:tcW w:w="8262" w:type="dxa"/>
          </w:tcPr>
          <w:p w14:paraId="0B51DF83" w14:textId="330564E3" w:rsidR="00547AD7" w:rsidRPr="00A71BEC" w:rsidRDefault="003A699B" w:rsidP="00AC2CBC">
            <w:pPr>
              <w:spacing w:line="480" w:lineRule="auto"/>
              <w:rPr>
                <w:sz w:val="20"/>
                <w:szCs w:val="20"/>
              </w:rPr>
            </w:pPr>
            <w:r>
              <w:rPr>
                <w:noProof/>
                <w:sz w:val="20"/>
                <w:szCs w:val="20"/>
              </w:rPr>
              <w:lastRenderedPageBreak/>
              <w:drawing>
                <wp:inline distT="0" distB="0" distL="0" distR="0" wp14:anchorId="646D29B1" wp14:editId="0F14C270">
                  <wp:extent cx="5272405" cy="2858770"/>
                  <wp:effectExtent l="0" t="0" r="0" b="0"/>
                  <wp:docPr id="61450383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2405" cy="2858770"/>
                          </a:xfrm>
                          <a:prstGeom prst="rect">
                            <a:avLst/>
                          </a:prstGeom>
                          <a:noFill/>
                          <a:ln>
                            <a:noFill/>
                          </a:ln>
                        </pic:spPr>
                      </pic:pic>
                    </a:graphicData>
                  </a:graphic>
                </wp:inline>
              </w:drawing>
            </w:r>
          </w:p>
        </w:tc>
      </w:tr>
      <w:tr w:rsidR="00547AD7" w:rsidRPr="00A71BEC" w14:paraId="5CC86213" w14:textId="77777777" w:rsidTr="00FA0194">
        <w:tc>
          <w:tcPr>
            <w:tcW w:w="8262" w:type="dxa"/>
          </w:tcPr>
          <w:p w14:paraId="7AEC7819" w14:textId="5DA3B40C" w:rsidR="00547AD7" w:rsidRPr="00A71BEC" w:rsidRDefault="001C053A" w:rsidP="00AC2CBC">
            <w:pPr>
              <w:spacing w:line="480" w:lineRule="auto"/>
              <w:rPr>
                <w:noProof/>
                <w:sz w:val="20"/>
                <w:szCs w:val="20"/>
              </w:rPr>
            </w:pPr>
            <w:r w:rsidRPr="004B3489">
              <w:rPr>
                <w:b/>
                <w:bCs/>
                <w:kern w:val="0"/>
                <w:sz w:val="20"/>
                <w:szCs w:val="20"/>
              </w:rPr>
              <w:t xml:space="preserve">Supplementary </w:t>
            </w:r>
            <w:r w:rsidR="00965DA4" w:rsidRPr="009133C6">
              <w:rPr>
                <w:rFonts w:eastAsia="Times New Roman"/>
                <w:b/>
                <w:sz w:val="20"/>
              </w:rPr>
              <w:t>Fig</w:t>
            </w:r>
            <w:r w:rsidR="001F539E">
              <w:rPr>
                <w:rFonts w:eastAsiaTheme="minorEastAsia" w:hint="eastAsia"/>
                <w:b/>
                <w:sz w:val="20"/>
              </w:rPr>
              <w:t>ure</w:t>
            </w:r>
            <w:r w:rsidR="004B3489" w:rsidRPr="004B3489">
              <w:rPr>
                <w:rFonts w:eastAsia="Times New Roman"/>
                <w:b/>
                <w:bCs/>
                <w:sz w:val="20"/>
              </w:rPr>
              <w:t xml:space="preserve"> </w:t>
            </w:r>
            <w:r w:rsidR="00965DA4">
              <w:rPr>
                <w:rFonts w:eastAsiaTheme="minorEastAsia" w:hint="eastAsia"/>
                <w:b/>
                <w:bCs/>
                <w:sz w:val="20"/>
              </w:rPr>
              <w:t>S</w:t>
            </w:r>
            <w:r w:rsidR="004B3489" w:rsidRPr="004B3489">
              <w:rPr>
                <w:rFonts w:eastAsia="Times New Roman"/>
                <w:b/>
                <w:bCs/>
                <w:sz w:val="20"/>
              </w:rPr>
              <w:t>4</w:t>
            </w:r>
            <w:r w:rsidRPr="00A71BEC">
              <w:rPr>
                <w:kern w:val="0"/>
                <w:sz w:val="20"/>
                <w:szCs w:val="20"/>
              </w:rPr>
              <w:t xml:space="preserve"> Permutation test for supervised methods (n=200 permutations)</w:t>
            </w:r>
            <w:r w:rsidR="00AC2CBC" w:rsidRPr="00A71BEC">
              <w:rPr>
                <w:kern w:val="0"/>
                <w:sz w:val="20"/>
                <w:szCs w:val="20"/>
              </w:rPr>
              <w:t>.</w:t>
            </w:r>
            <w:r w:rsidR="00FE0085" w:rsidRPr="009624ED">
              <w:rPr>
                <w:kern w:val="0"/>
                <w:sz w:val="20"/>
                <w:szCs w:val="20"/>
              </w:rPr>
              <w:t xml:space="preserve"> a, b: LC-MS and GC-MS between V</w:t>
            </w:r>
            <w:r w:rsidR="00E6660A">
              <w:rPr>
                <w:rFonts w:hint="eastAsia"/>
                <w:kern w:val="0"/>
                <w:sz w:val="20"/>
                <w:szCs w:val="20"/>
              </w:rPr>
              <w:t>2</w:t>
            </w:r>
            <w:r w:rsidR="00FE0085" w:rsidRPr="009624ED">
              <w:rPr>
                <w:kern w:val="0"/>
                <w:sz w:val="20"/>
                <w:szCs w:val="20"/>
              </w:rPr>
              <w:t xml:space="preserve"> vs. V</w:t>
            </w:r>
            <w:r w:rsidR="00E6660A">
              <w:rPr>
                <w:rFonts w:hint="eastAsia"/>
                <w:kern w:val="0"/>
                <w:sz w:val="20"/>
                <w:szCs w:val="20"/>
              </w:rPr>
              <w:t>1</w:t>
            </w:r>
            <w:r w:rsidR="00FE0085" w:rsidRPr="009624ED">
              <w:rPr>
                <w:kern w:val="0"/>
                <w:sz w:val="20"/>
                <w:szCs w:val="20"/>
              </w:rPr>
              <w:t>;</w:t>
            </w:r>
            <w:r w:rsidR="00FE0085">
              <w:rPr>
                <w:rFonts w:hint="eastAsia"/>
                <w:kern w:val="0"/>
                <w:sz w:val="20"/>
                <w:szCs w:val="20"/>
              </w:rPr>
              <w:t xml:space="preserve"> </w:t>
            </w:r>
            <w:r w:rsidR="00FE0085" w:rsidRPr="009624ED">
              <w:rPr>
                <w:kern w:val="0"/>
                <w:sz w:val="20"/>
                <w:szCs w:val="20"/>
              </w:rPr>
              <w:t>c, d: LC-MS and GC-MS between V</w:t>
            </w:r>
            <w:r w:rsidR="00E6660A">
              <w:rPr>
                <w:rFonts w:hint="eastAsia"/>
                <w:kern w:val="0"/>
                <w:sz w:val="20"/>
                <w:szCs w:val="20"/>
              </w:rPr>
              <w:t>1</w:t>
            </w:r>
            <w:r w:rsidR="00FE0085" w:rsidRPr="009624ED">
              <w:rPr>
                <w:kern w:val="0"/>
                <w:sz w:val="20"/>
                <w:szCs w:val="20"/>
              </w:rPr>
              <w:t xml:space="preserve"> vs. V3;</w:t>
            </w:r>
            <w:r w:rsidR="00FE0085">
              <w:rPr>
                <w:rFonts w:hint="eastAsia"/>
                <w:kern w:val="0"/>
                <w:sz w:val="20"/>
                <w:szCs w:val="20"/>
              </w:rPr>
              <w:t xml:space="preserve"> e, f</w:t>
            </w:r>
            <w:r w:rsidR="00FE0085" w:rsidRPr="009624ED">
              <w:rPr>
                <w:kern w:val="0"/>
                <w:sz w:val="20"/>
                <w:szCs w:val="20"/>
              </w:rPr>
              <w:t>: LC-MS and GC-MS between V2 vs. V</w:t>
            </w:r>
            <w:r w:rsidR="00E6660A">
              <w:rPr>
                <w:rFonts w:hint="eastAsia"/>
                <w:kern w:val="0"/>
                <w:sz w:val="20"/>
                <w:szCs w:val="20"/>
              </w:rPr>
              <w:t>3</w:t>
            </w:r>
            <w:r w:rsidR="00FE0085" w:rsidRPr="002373C5">
              <w:rPr>
                <w:sz w:val="20"/>
                <w:szCs w:val="20"/>
              </w:rPr>
              <w:t>.</w:t>
            </w:r>
          </w:p>
        </w:tc>
      </w:tr>
    </w:tbl>
    <w:p w14:paraId="17F7BE64" w14:textId="77777777" w:rsidR="003A699B" w:rsidRPr="003A699B" w:rsidRDefault="003A699B" w:rsidP="003A699B"/>
    <w:sectPr w:rsidR="003A699B" w:rsidRPr="003A699B" w:rsidSect="0088467B">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FE65" w14:textId="77777777" w:rsidR="0068410D" w:rsidRDefault="0068410D" w:rsidP="000B7F16">
      <w:r>
        <w:separator/>
      </w:r>
    </w:p>
  </w:endnote>
  <w:endnote w:type="continuationSeparator" w:id="0">
    <w:p w14:paraId="74197282" w14:textId="77777777" w:rsidR="0068410D" w:rsidRDefault="0068410D" w:rsidP="000B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D2C9" w14:textId="77777777" w:rsidR="0068410D" w:rsidRDefault="0068410D" w:rsidP="000B7F16">
      <w:r>
        <w:separator/>
      </w:r>
    </w:p>
  </w:footnote>
  <w:footnote w:type="continuationSeparator" w:id="0">
    <w:p w14:paraId="0CDCB50E" w14:textId="77777777" w:rsidR="0068410D" w:rsidRDefault="0068410D" w:rsidP="000B7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5F77"/>
    <w:rsid w:val="00015894"/>
    <w:rsid w:val="00032D66"/>
    <w:rsid w:val="00040A92"/>
    <w:rsid w:val="0005172F"/>
    <w:rsid w:val="000552FC"/>
    <w:rsid w:val="0006541C"/>
    <w:rsid w:val="00076599"/>
    <w:rsid w:val="000A51E0"/>
    <w:rsid w:val="000B6716"/>
    <w:rsid w:val="000B711A"/>
    <w:rsid w:val="000B7F16"/>
    <w:rsid w:val="000C4B9F"/>
    <w:rsid w:val="000E3470"/>
    <w:rsid w:val="000E3792"/>
    <w:rsid w:val="000F6693"/>
    <w:rsid w:val="001020F9"/>
    <w:rsid w:val="0011758D"/>
    <w:rsid w:val="00133432"/>
    <w:rsid w:val="00154A6E"/>
    <w:rsid w:val="001629C2"/>
    <w:rsid w:val="0018736D"/>
    <w:rsid w:val="0019785A"/>
    <w:rsid w:val="001C053A"/>
    <w:rsid w:val="001D2CC9"/>
    <w:rsid w:val="001D3405"/>
    <w:rsid w:val="001E24F7"/>
    <w:rsid w:val="001F2237"/>
    <w:rsid w:val="001F2307"/>
    <w:rsid w:val="001F539E"/>
    <w:rsid w:val="001F7E91"/>
    <w:rsid w:val="0021684B"/>
    <w:rsid w:val="00251B0B"/>
    <w:rsid w:val="00263BE6"/>
    <w:rsid w:val="002C2EFA"/>
    <w:rsid w:val="002D21E9"/>
    <w:rsid w:val="00305786"/>
    <w:rsid w:val="003403E3"/>
    <w:rsid w:val="00353949"/>
    <w:rsid w:val="00361FB9"/>
    <w:rsid w:val="00372A8B"/>
    <w:rsid w:val="00390F72"/>
    <w:rsid w:val="003A699B"/>
    <w:rsid w:val="003B24F4"/>
    <w:rsid w:val="003E056C"/>
    <w:rsid w:val="00401926"/>
    <w:rsid w:val="00403E23"/>
    <w:rsid w:val="00410056"/>
    <w:rsid w:val="0041149A"/>
    <w:rsid w:val="004238BC"/>
    <w:rsid w:val="00424626"/>
    <w:rsid w:val="00441A38"/>
    <w:rsid w:val="004465B4"/>
    <w:rsid w:val="0048209F"/>
    <w:rsid w:val="0049672F"/>
    <w:rsid w:val="004979FF"/>
    <w:rsid w:val="004B3489"/>
    <w:rsid w:val="004B4EED"/>
    <w:rsid w:val="004C1DCE"/>
    <w:rsid w:val="004E0ED1"/>
    <w:rsid w:val="005057BB"/>
    <w:rsid w:val="005271C9"/>
    <w:rsid w:val="00540111"/>
    <w:rsid w:val="00547AD7"/>
    <w:rsid w:val="005625FB"/>
    <w:rsid w:val="0057505F"/>
    <w:rsid w:val="00594672"/>
    <w:rsid w:val="005A5379"/>
    <w:rsid w:val="005B01FA"/>
    <w:rsid w:val="005B14AC"/>
    <w:rsid w:val="005E06E2"/>
    <w:rsid w:val="005E528B"/>
    <w:rsid w:val="005F01A5"/>
    <w:rsid w:val="005F2E4D"/>
    <w:rsid w:val="00625BE1"/>
    <w:rsid w:val="006272BA"/>
    <w:rsid w:val="0062790D"/>
    <w:rsid w:val="00630EEE"/>
    <w:rsid w:val="006513C5"/>
    <w:rsid w:val="00652F40"/>
    <w:rsid w:val="006576C7"/>
    <w:rsid w:val="0068410D"/>
    <w:rsid w:val="006A5518"/>
    <w:rsid w:val="006C2623"/>
    <w:rsid w:val="006D71FC"/>
    <w:rsid w:val="00703582"/>
    <w:rsid w:val="00721AFB"/>
    <w:rsid w:val="007520E7"/>
    <w:rsid w:val="0075295F"/>
    <w:rsid w:val="0075474D"/>
    <w:rsid w:val="0075785D"/>
    <w:rsid w:val="00767F63"/>
    <w:rsid w:val="007976A6"/>
    <w:rsid w:val="007A2DB5"/>
    <w:rsid w:val="007A7C66"/>
    <w:rsid w:val="007B17A9"/>
    <w:rsid w:val="007C6229"/>
    <w:rsid w:val="007C71C3"/>
    <w:rsid w:val="007E0256"/>
    <w:rsid w:val="007E4D68"/>
    <w:rsid w:val="007E7D9F"/>
    <w:rsid w:val="0082007C"/>
    <w:rsid w:val="008317A9"/>
    <w:rsid w:val="00832287"/>
    <w:rsid w:val="008472D4"/>
    <w:rsid w:val="008523ED"/>
    <w:rsid w:val="00854D3C"/>
    <w:rsid w:val="00877198"/>
    <w:rsid w:val="008801B6"/>
    <w:rsid w:val="0088467B"/>
    <w:rsid w:val="008B37E6"/>
    <w:rsid w:val="008C07A6"/>
    <w:rsid w:val="008E7AE2"/>
    <w:rsid w:val="008E7E35"/>
    <w:rsid w:val="00921BD0"/>
    <w:rsid w:val="00924006"/>
    <w:rsid w:val="0093399A"/>
    <w:rsid w:val="0094250E"/>
    <w:rsid w:val="009624ED"/>
    <w:rsid w:val="0096572A"/>
    <w:rsid w:val="00965DA4"/>
    <w:rsid w:val="00995276"/>
    <w:rsid w:val="0099701A"/>
    <w:rsid w:val="009B0B67"/>
    <w:rsid w:val="009E6AD1"/>
    <w:rsid w:val="00A05C19"/>
    <w:rsid w:val="00A139B9"/>
    <w:rsid w:val="00A178AF"/>
    <w:rsid w:val="00A23F22"/>
    <w:rsid w:val="00A35F77"/>
    <w:rsid w:val="00A51E60"/>
    <w:rsid w:val="00A67578"/>
    <w:rsid w:val="00A71BEC"/>
    <w:rsid w:val="00A731C8"/>
    <w:rsid w:val="00A97C02"/>
    <w:rsid w:val="00AA7C5D"/>
    <w:rsid w:val="00AC2CBC"/>
    <w:rsid w:val="00AC5EC8"/>
    <w:rsid w:val="00AD40D1"/>
    <w:rsid w:val="00AF1B7F"/>
    <w:rsid w:val="00B5598D"/>
    <w:rsid w:val="00B6109E"/>
    <w:rsid w:val="00B83130"/>
    <w:rsid w:val="00B85D46"/>
    <w:rsid w:val="00B919F5"/>
    <w:rsid w:val="00BA14F2"/>
    <w:rsid w:val="00BB4678"/>
    <w:rsid w:val="00BD0754"/>
    <w:rsid w:val="00C05359"/>
    <w:rsid w:val="00C05B5D"/>
    <w:rsid w:val="00C14F65"/>
    <w:rsid w:val="00C425D4"/>
    <w:rsid w:val="00C54B22"/>
    <w:rsid w:val="00C60C77"/>
    <w:rsid w:val="00CD5DF2"/>
    <w:rsid w:val="00CE0C42"/>
    <w:rsid w:val="00CE13B0"/>
    <w:rsid w:val="00D04033"/>
    <w:rsid w:val="00D331C6"/>
    <w:rsid w:val="00D33F4E"/>
    <w:rsid w:val="00D519F3"/>
    <w:rsid w:val="00D67267"/>
    <w:rsid w:val="00D764F7"/>
    <w:rsid w:val="00D966DD"/>
    <w:rsid w:val="00DA13D5"/>
    <w:rsid w:val="00DB2230"/>
    <w:rsid w:val="00DB29A9"/>
    <w:rsid w:val="00DE702B"/>
    <w:rsid w:val="00E00DF9"/>
    <w:rsid w:val="00E20C33"/>
    <w:rsid w:val="00E23436"/>
    <w:rsid w:val="00E33EC9"/>
    <w:rsid w:val="00E4100A"/>
    <w:rsid w:val="00E62AEE"/>
    <w:rsid w:val="00E6660A"/>
    <w:rsid w:val="00E81A44"/>
    <w:rsid w:val="00E94A3A"/>
    <w:rsid w:val="00E97FD2"/>
    <w:rsid w:val="00EC2A60"/>
    <w:rsid w:val="00ED113A"/>
    <w:rsid w:val="00ED232B"/>
    <w:rsid w:val="00EE56FE"/>
    <w:rsid w:val="00EF087A"/>
    <w:rsid w:val="00EF2877"/>
    <w:rsid w:val="00EF44E5"/>
    <w:rsid w:val="00F16267"/>
    <w:rsid w:val="00F363DE"/>
    <w:rsid w:val="00F37C3D"/>
    <w:rsid w:val="00F41F7A"/>
    <w:rsid w:val="00F4395A"/>
    <w:rsid w:val="00F47926"/>
    <w:rsid w:val="00F52898"/>
    <w:rsid w:val="00F95255"/>
    <w:rsid w:val="00FA0194"/>
    <w:rsid w:val="00FA19CB"/>
    <w:rsid w:val="00FA452E"/>
    <w:rsid w:val="00FC6FC4"/>
    <w:rsid w:val="00FE0085"/>
    <w:rsid w:val="00FF3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890E5"/>
  <w15:chartTrackingRefBased/>
  <w15:docId w15:val="{A65DA906-100A-41DF-87CC-F82ECF50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4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F16"/>
    <w:pPr>
      <w:tabs>
        <w:tab w:val="center" w:pos="4153"/>
        <w:tab w:val="right" w:pos="8306"/>
      </w:tabs>
      <w:snapToGrid w:val="0"/>
      <w:jc w:val="center"/>
    </w:pPr>
    <w:rPr>
      <w:sz w:val="18"/>
      <w:szCs w:val="18"/>
    </w:rPr>
  </w:style>
  <w:style w:type="character" w:customStyle="1" w:styleId="a4">
    <w:name w:val="页眉 字符"/>
    <w:basedOn w:val="a0"/>
    <w:link w:val="a3"/>
    <w:uiPriority w:val="99"/>
    <w:rsid w:val="000B7F16"/>
    <w:rPr>
      <w:sz w:val="18"/>
      <w:szCs w:val="18"/>
    </w:rPr>
  </w:style>
  <w:style w:type="paragraph" w:styleId="a5">
    <w:name w:val="footer"/>
    <w:basedOn w:val="a"/>
    <w:link w:val="a6"/>
    <w:uiPriority w:val="99"/>
    <w:unhideWhenUsed/>
    <w:rsid w:val="000B7F16"/>
    <w:pPr>
      <w:tabs>
        <w:tab w:val="center" w:pos="4153"/>
        <w:tab w:val="right" w:pos="8306"/>
      </w:tabs>
      <w:snapToGrid w:val="0"/>
      <w:jc w:val="left"/>
    </w:pPr>
    <w:rPr>
      <w:sz w:val="18"/>
      <w:szCs w:val="18"/>
    </w:rPr>
  </w:style>
  <w:style w:type="character" w:customStyle="1" w:styleId="a6">
    <w:name w:val="页脚 字符"/>
    <w:basedOn w:val="a0"/>
    <w:link w:val="a5"/>
    <w:uiPriority w:val="99"/>
    <w:rsid w:val="000B7F16"/>
    <w:rPr>
      <w:sz w:val="18"/>
      <w:szCs w:val="18"/>
    </w:rPr>
  </w:style>
  <w:style w:type="table" w:styleId="a7">
    <w:name w:val="Table Grid"/>
    <w:basedOn w:val="a1"/>
    <w:uiPriority w:val="39"/>
    <w:qFormat/>
    <w:rsid w:val="000B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657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627011">
      <w:bodyDiv w:val="1"/>
      <w:marLeft w:val="0"/>
      <w:marRight w:val="0"/>
      <w:marTop w:val="0"/>
      <w:marBottom w:val="0"/>
      <w:divBdr>
        <w:top w:val="none" w:sz="0" w:space="0" w:color="auto"/>
        <w:left w:val="none" w:sz="0" w:space="0" w:color="auto"/>
        <w:bottom w:val="none" w:sz="0" w:space="0" w:color="auto"/>
        <w:right w:val="none" w:sz="0" w:space="0" w:color="auto"/>
      </w:divBdr>
    </w:div>
    <w:div w:id="18327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10</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陆</dc:creator>
  <cp:keywords/>
  <dc:description/>
  <cp:lastModifiedBy>平 陆</cp:lastModifiedBy>
  <cp:revision>111</cp:revision>
  <dcterms:created xsi:type="dcterms:W3CDTF">2024-04-28T13:17:00Z</dcterms:created>
  <dcterms:modified xsi:type="dcterms:W3CDTF">2025-02-02T08:24:00Z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0a13fe4414d86143cb212e62b59ac35a1b093df86d3774b4c4fe09b3bc3af99f</vt:lpwstr>
  </property>
</Properties>
</file>