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6D195" w14:textId="77777777" w:rsidR="000647A9" w:rsidRPr="00B14C42" w:rsidRDefault="000647A9" w:rsidP="000647A9">
      <w:pPr>
        <w:pStyle w:val="Title2"/>
        <w:jc w:val="center"/>
        <w:rPr>
          <w:color w:val="000000"/>
          <w:sz w:val="40"/>
          <w:szCs w:val="32"/>
        </w:rPr>
      </w:pPr>
      <w:bookmarkStart w:id="0" w:name="_Hlk185432640"/>
      <w:bookmarkStart w:id="1" w:name="_Hlk91783346"/>
      <w:bookmarkEnd w:id="0"/>
      <w:r w:rsidRPr="00B14C42">
        <w:rPr>
          <w:color w:val="000000"/>
          <w:sz w:val="40"/>
          <w:szCs w:val="32"/>
        </w:rPr>
        <w:t>Supporting Information</w:t>
      </w:r>
    </w:p>
    <w:p w14:paraId="799F98BF" w14:textId="4580B931" w:rsidR="000647A9" w:rsidRDefault="00EF23F5" w:rsidP="000647A9">
      <w:pPr>
        <w:rPr>
          <w:lang w:val="en-US"/>
        </w:rPr>
      </w:pPr>
      <w:bookmarkStart w:id="2" w:name="OLE_LINK5"/>
      <w:bookmarkStart w:id="3" w:name="OLE_LINK6"/>
      <w:bookmarkStart w:id="4" w:name="OLE_LINK29"/>
      <w:bookmarkStart w:id="5" w:name="OLE_LINK30"/>
      <w:bookmarkStart w:id="6" w:name="OLE_LINK49"/>
      <w:bookmarkEnd w:id="1"/>
      <w:r w:rsidRPr="00EF23F5">
        <w:rPr>
          <w:rFonts w:eastAsia="ScalaSansLF-Bold" w:hint="eastAsia"/>
          <w:b/>
          <w:bCs/>
          <w:sz w:val="28"/>
          <w:szCs w:val="23"/>
        </w:rPr>
        <w:t>Development</w:t>
      </w:r>
      <w:r w:rsidRPr="00EF23F5">
        <w:rPr>
          <w:rFonts w:eastAsia="ScalaSansLF-Bold"/>
          <w:b/>
          <w:bCs/>
          <w:sz w:val="28"/>
          <w:szCs w:val="23"/>
        </w:rPr>
        <w:t xml:space="preserve"> of </w:t>
      </w:r>
      <w:r w:rsidRPr="00EF23F5">
        <w:rPr>
          <w:rFonts w:eastAsia="ScalaSansLF-Bold" w:hint="eastAsia"/>
          <w:b/>
          <w:bCs/>
          <w:sz w:val="28"/>
          <w:szCs w:val="23"/>
        </w:rPr>
        <w:t>Cytolytic</w:t>
      </w:r>
      <w:r w:rsidRPr="00EF23F5">
        <w:rPr>
          <w:rFonts w:eastAsia="ScalaSansLF-Bold"/>
          <w:b/>
          <w:bCs/>
          <w:sz w:val="28"/>
          <w:szCs w:val="23"/>
        </w:rPr>
        <w:t xml:space="preserve"> Iridium-Complexed O</w:t>
      </w:r>
      <w:r w:rsidRPr="00EF23F5">
        <w:rPr>
          <w:rFonts w:eastAsia="ScalaSansLF-Bold" w:hint="eastAsia"/>
          <w:b/>
          <w:bCs/>
          <w:sz w:val="28"/>
          <w:szCs w:val="23"/>
        </w:rPr>
        <w:t>cta</w:t>
      </w:r>
      <w:r w:rsidRPr="00EF23F5">
        <w:rPr>
          <w:rFonts w:eastAsia="ScalaSansLF-Bold"/>
          <w:b/>
          <w:bCs/>
          <w:sz w:val="28"/>
          <w:szCs w:val="23"/>
        </w:rPr>
        <w:t>arginine</w:t>
      </w:r>
      <w:r w:rsidRPr="00EF23F5" w:rsidDel="00915B9F">
        <w:rPr>
          <w:rFonts w:eastAsia="ScalaSansLF-Bold"/>
          <w:b/>
          <w:bCs/>
          <w:sz w:val="28"/>
          <w:szCs w:val="23"/>
        </w:rPr>
        <w:t xml:space="preserve"> </w:t>
      </w:r>
      <w:r w:rsidRPr="00EF23F5">
        <w:rPr>
          <w:rFonts w:eastAsia="ScalaSansLF-Bold"/>
          <w:b/>
          <w:bCs/>
          <w:sz w:val="28"/>
          <w:szCs w:val="23"/>
        </w:rPr>
        <w:t>Peptide</w:t>
      </w:r>
      <w:r w:rsidRPr="00EF23F5">
        <w:rPr>
          <w:rFonts w:eastAsia="ScalaSansLF-Bold" w:hint="eastAsia"/>
          <w:b/>
          <w:bCs/>
          <w:sz w:val="28"/>
          <w:szCs w:val="23"/>
        </w:rPr>
        <w:t xml:space="preserve"> </w:t>
      </w:r>
      <w:r w:rsidRPr="00EF23F5">
        <w:rPr>
          <w:rFonts w:eastAsia="ScalaSansLF-Bold"/>
          <w:b/>
          <w:bCs/>
          <w:sz w:val="28"/>
          <w:szCs w:val="23"/>
        </w:rPr>
        <w:t>Albumin Nano</w:t>
      </w:r>
      <w:r w:rsidRPr="00EF23F5">
        <w:rPr>
          <w:rFonts w:eastAsia="ScalaSansLF-Bold" w:hint="eastAsia"/>
          <w:b/>
          <w:bCs/>
          <w:sz w:val="28"/>
          <w:szCs w:val="23"/>
        </w:rPr>
        <w:t>medicine</w:t>
      </w:r>
      <w:r w:rsidRPr="00EF23F5">
        <w:rPr>
          <w:rFonts w:eastAsia="ScalaSansLF-Bold"/>
          <w:b/>
          <w:bCs/>
          <w:sz w:val="28"/>
          <w:szCs w:val="23"/>
        </w:rPr>
        <w:t xml:space="preserve"> </w:t>
      </w:r>
      <w:r w:rsidRPr="00EF23F5">
        <w:rPr>
          <w:rFonts w:eastAsia="ScalaSansLF-Bold" w:hint="eastAsia"/>
          <w:b/>
          <w:bCs/>
          <w:sz w:val="28"/>
          <w:szCs w:val="23"/>
        </w:rPr>
        <w:t>for</w:t>
      </w:r>
      <w:r w:rsidRPr="00EF23F5">
        <w:rPr>
          <w:rFonts w:eastAsia="ScalaSansLF-Bold"/>
          <w:b/>
          <w:bCs/>
          <w:sz w:val="28"/>
          <w:szCs w:val="23"/>
        </w:rPr>
        <w:t xml:space="preserve"> Hepatocellular Carcinoma</w:t>
      </w:r>
      <w:r w:rsidRPr="00EF23F5">
        <w:rPr>
          <w:rFonts w:eastAsia="ScalaSansLF-Bold" w:hint="eastAsia"/>
          <w:b/>
          <w:bCs/>
          <w:sz w:val="28"/>
          <w:szCs w:val="23"/>
        </w:rPr>
        <w:t xml:space="preserve"> Treatment</w:t>
      </w:r>
      <w:bookmarkEnd w:id="2"/>
      <w:bookmarkEnd w:id="3"/>
      <w:bookmarkEnd w:id="4"/>
      <w:bookmarkEnd w:id="5"/>
      <w:bookmarkEnd w:id="6"/>
      <w:r w:rsidR="000647A9">
        <w:rPr>
          <w:lang w:val="en-US"/>
        </w:rPr>
        <w:br w:type="page"/>
      </w:r>
    </w:p>
    <w:p w14:paraId="1043DA99" w14:textId="77777777" w:rsidR="00586AB3" w:rsidRPr="00586AB3" w:rsidRDefault="00586AB3" w:rsidP="00586AB3">
      <w:pPr>
        <w:widowControl w:val="0"/>
        <w:spacing w:beforeLines="50" w:before="156" w:afterLines="50" w:after="156" w:line="360" w:lineRule="auto"/>
        <w:jc w:val="both"/>
        <w:rPr>
          <w:rFonts w:eastAsia="等线"/>
          <w:b/>
          <w:bCs/>
          <w:kern w:val="2"/>
          <w:lang w:val="en-US"/>
        </w:rPr>
      </w:pPr>
      <w:r w:rsidRPr="00586AB3">
        <w:rPr>
          <w:rFonts w:eastAsia="等线"/>
          <w:b/>
          <w:bCs/>
          <w:kern w:val="2"/>
          <w:lang w:val="en-US"/>
        </w:rPr>
        <w:lastRenderedPageBreak/>
        <w:t>1. Experimental section</w:t>
      </w:r>
    </w:p>
    <w:p w14:paraId="1625E93D" w14:textId="77777777" w:rsidR="00586AB3" w:rsidRPr="00586AB3" w:rsidRDefault="00586AB3" w:rsidP="00586AB3">
      <w:pPr>
        <w:widowControl w:val="0"/>
        <w:spacing w:beforeLines="50" w:before="156" w:afterLines="50" w:after="156" w:line="360" w:lineRule="auto"/>
        <w:jc w:val="both"/>
        <w:rPr>
          <w:rFonts w:eastAsia="等线"/>
          <w:b/>
          <w:bCs/>
          <w:kern w:val="2"/>
          <w:lang w:val="en-US"/>
        </w:rPr>
      </w:pPr>
      <w:r w:rsidRPr="00586AB3">
        <w:rPr>
          <w:rFonts w:eastAsia="等线"/>
          <w:b/>
          <w:bCs/>
          <w:kern w:val="2"/>
          <w:lang w:val="en-US"/>
        </w:rPr>
        <w:t>1.1Materials</w:t>
      </w:r>
    </w:p>
    <w:p w14:paraId="0C88E0C3" w14:textId="2F7BF87F" w:rsidR="006E44C3" w:rsidRDefault="006E44C3" w:rsidP="00586AB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t xml:space="preserve">1 M Tris-HCl buffer, chlorpromazine and cell freezing medium were purchased from </w:t>
      </w:r>
      <w:proofErr w:type="spellStart"/>
      <w:r w:rsidRPr="006E44C3">
        <w:rPr>
          <w:rFonts w:eastAsia="等线"/>
          <w:kern w:val="2"/>
          <w:lang w:val="en-US" w:eastAsia="zh-CN"/>
        </w:rPr>
        <w:t>BiyunTian</w:t>
      </w:r>
      <w:proofErr w:type="spellEnd"/>
      <w:r w:rsidRPr="006E44C3">
        <w:rPr>
          <w:rFonts w:eastAsia="等线"/>
          <w:kern w:val="2"/>
          <w:lang w:val="en-US" w:eastAsia="zh-CN"/>
        </w:rPr>
        <w:t xml:space="preserve"> Biotechnology Co., Ltd. Ir</w:t>
      </w:r>
      <w:r w:rsidR="00CA0066">
        <w:rPr>
          <w:rFonts w:eastAsia="等线" w:hint="eastAsia"/>
          <w:kern w:val="2"/>
          <w:lang w:val="en-US" w:eastAsia="zh-CN"/>
        </w:rPr>
        <w:t>i</w:t>
      </w:r>
      <w:r w:rsidRPr="006E44C3">
        <w:rPr>
          <w:rFonts w:eastAsia="等线"/>
          <w:kern w:val="2"/>
          <w:lang w:val="en-US" w:eastAsia="zh-CN"/>
        </w:rPr>
        <w:t>dium standard was purchased from National Standard Testing and Certification Co., Ltd. [</w:t>
      </w:r>
      <w:proofErr w:type="spellStart"/>
      <w:r w:rsidRPr="006E44C3">
        <w:rPr>
          <w:rFonts w:eastAsia="等线"/>
          <w:kern w:val="2"/>
          <w:lang w:val="en-US" w:eastAsia="zh-CN"/>
        </w:rPr>
        <w:t>Ir</w:t>
      </w:r>
      <w:proofErr w:type="spellEnd"/>
      <w:r w:rsidRPr="006E44C3">
        <w:rPr>
          <w:rFonts w:eastAsia="等线"/>
          <w:kern w:val="2"/>
          <w:lang w:val="en-US" w:eastAsia="zh-CN"/>
        </w:rPr>
        <w:t>(</w:t>
      </w:r>
      <w:proofErr w:type="spellStart"/>
      <w:r w:rsidRPr="006E44C3">
        <w:rPr>
          <w:rFonts w:eastAsia="等线"/>
          <w:kern w:val="2"/>
          <w:lang w:val="en-US" w:eastAsia="zh-CN"/>
        </w:rPr>
        <w:t>ppy</w:t>
      </w:r>
      <w:proofErr w:type="spellEnd"/>
      <w:r w:rsidRPr="006E44C3">
        <w:rPr>
          <w:rFonts w:eastAsia="等线"/>
          <w:kern w:val="2"/>
          <w:lang w:val="en-US" w:eastAsia="zh-CN"/>
        </w:rPr>
        <w:t>)</w:t>
      </w:r>
      <w:r w:rsidRPr="00EF23F5">
        <w:rPr>
          <w:rFonts w:eastAsia="等线"/>
          <w:kern w:val="2"/>
          <w:vertAlign w:val="subscript"/>
          <w:lang w:val="en-US" w:eastAsia="zh-CN"/>
        </w:rPr>
        <w:t>2</w:t>
      </w:r>
      <w:r w:rsidRPr="006E44C3">
        <w:rPr>
          <w:rFonts w:eastAsia="等线"/>
          <w:kern w:val="2"/>
          <w:lang w:val="en-US" w:eastAsia="zh-CN"/>
        </w:rPr>
        <w:t>(H</w:t>
      </w:r>
      <w:r w:rsidRPr="00EF23F5">
        <w:rPr>
          <w:rFonts w:eastAsia="等线"/>
          <w:kern w:val="2"/>
          <w:vertAlign w:val="subscript"/>
          <w:lang w:val="en-US" w:eastAsia="zh-CN"/>
        </w:rPr>
        <w:t>2</w:t>
      </w:r>
      <w:r w:rsidRPr="006E44C3">
        <w:rPr>
          <w:rFonts w:eastAsia="等线"/>
          <w:kern w:val="2"/>
          <w:lang w:val="en-US" w:eastAsia="zh-CN"/>
        </w:rPr>
        <w:t>O)</w:t>
      </w:r>
      <w:proofErr w:type="gramStart"/>
      <w:r w:rsidRPr="00EF23F5">
        <w:rPr>
          <w:rFonts w:eastAsia="等线"/>
          <w:kern w:val="2"/>
          <w:vertAlign w:val="subscript"/>
          <w:lang w:val="en-US" w:eastAsia="zh-CN"/>
        </w:rPr>
        <w:t>2</w:t>
      </w:r>
      <w:r w:rsidRPr="006E44C3">
        <w:rPr>
          <w:rFonts w:eastAsia="等线"/>
          <w:kern w:val="2"/>
          <w:lang w:val="en-US" w:eastAsia="zh-CN"/>
        </w:rPr>
        <w:t>]</w:t>
      </w:r>
      <w:proofErr w:type="spellStart"/>
      <w:r w:rsidRPr="006E44C3">
        <w:rPr>
          <w:rFonts w:eastAsia="等线"/>
          <w:kern w:val="2"/>
          <w:lang w:val="en-US" w:eastAsia="zh-CN"/>
        </w:rPr>
        <w:t>OTf</w:t>
      </w:r>
      <w:proofErr w:type="spellEnd"/>
      <w:proofErr w:type="gramEnd"/>
      <w:r w:rsidRPr="006E44C3">
        <w:rPr>
          <w:rFonts w:eastAsia="等线"/>
          <w:kern w:val="2"/>
          <w:lang w:val="en-US" w:eastAsia="zh-CN"/>
        </w:rPr>
        <w:t xml:space="preserve"> was purchased from Suzhou Nakai Technology Co., Ltd. The cRn peptide was purchased from Shanghai G</w:t>
      </w:r>
      <w:r w:rsidR="00CA0066">
        <w:rPr>
          <w:rFonts w:eastAsia="等线" w:hint="eastAsia"/>
          <w:kern w:val="2"/>
          <w:lang w:val="en-US" w:eastAsia="zh-CN"/>
        </w:rPr>
        <w:t>L-</w:t>
      </w:r>
      <w:proofErr w:type="spellStart"/>
      <w:r w:rsidRPr="006E44C3">
        <w:rPr>
          <w:rFonts w:eastAsia="等线"/>
          <w:kern w:val="2"/>
          <w:lang w:val="en-US" w:eastAsia="zh-CN"/>
        </w:rPr>
        <w:t>Biochem</w:t>
      </w:r>
      <w:proofErr w:type="spellEnd"/>
      <w:r w:rsidRPr="006E44C3">
        <w:rPr>
          <w:rFonts w:eastAsia="等线"/>
          <w:kern w:val="2"/>
          <w:lang w:val="en-US" w:eastAsia="zh-CN"/>
        </w:rPr>
        <w:t xml:space="preserve"> Co., Ltd. The 3% </w:t>
      </w:r>
      <w:proofErr w:type="spellStart"/>
      <w:r w:rsidRPr="006E44C3">
        <w:rPr>
          <w:rFonts w:eastAsia="等线"/>
          <w:kern w:val="2"/>
          <w:lang w:val="en-US" w:eastAsia="zh-CN"/>
        </w:rPr>
        <w:t>phosphotungstic</w:t>
      </w:r>
      <w:proofErr w:type="spellEnd"/>
      <w:r w:rsidRPr="006E44C3">
        <w:rPr>
          <w:rFonts w:eastAsia="等线"/>
          <w:kern w:val="2"/>
          <w:lang w:val="en-US" w:eastAsia="zh-CN"/>
        </w:rPr>
        <w:t xml:space="preserve"> acid staining solution was purchased from Beijing Zhongjing Science Instrument Co., Ltd. </w:t>
      </w:r>
      <w:proofErr w:type="spellStart"/>
      <w:r w:rsidRPr="006E44C3">
        <w:rPr>
          <w:rFonts w:eastAsia="等线"/>
          <w:kern w:val="2"/>
          <w:lang w:val="en-US" w:eastAsia="zh-CN"/>
        </w:rPr>
        <w:t>Bosentan</w:t>
      </w:r>
      <w:proofErr w:type="spellEnd"/>
      <w:r w:rsidRPr="006E44C3">
        <w:rPr>
          <w:rFonts w:eastAsia="等线"/>
          <w:kern w:val="2"/>
          <w:lang w:val="en-US" w:eastAsia="zh-CN"/>
        </w:rPr>
        <w:t xml:space="preserve"> and thiazole blue (MTT) were purchased from Shanghai Titan Scientific Co., Ltd. Ibuprofen was purchased from </w:t>
      </w:r>
      <w:proofErr w:type="spellStart"/>
      <w:r w:rsidRPr="006E44C3">
        <w:rPr>
          <w:rFonts w:eastAsia="等线"/>
          <w:kern w:val="2"/>
          <w:lang w:val="en-US" w:eastAsia="zh-CN"/>
        </w:rPr>
        <w:t>MedChemExpress</w:t>
      </w:r>
      <w:proofErr w:type="spellEnd"/>
      <w:r w:rsidRPr="006E44C3">
        <w:rPr>
          <w:rFonts w:eastAsia="等线"/>
          <w:kern w:val="2"/>
          <w:lang w:val="en-US" w:eastAsia="zh-CN"/>
        </w:rPr>
        <w:t xml:space="preserve">. Digitalis glycoside and polyethylene glycol 8000 (PEG 8000) were purchased from Shanghai Macklin Biochemical Co., Ltd. Bovine serum albumin (BSA) powder was purchased from Shanghai </w:t>
      </w:r>
      <w:proofErr w:type="spellStart"/>
      <w:r w:rsidRPr="006E44C3">
        <w:rPr>
          <w:rFonts w:eastAsia="等线"/>
          <w:kern w:val="2"/>
          <w:lang w:val="en-US" w:eastAsia="zh-CN"/>
        </w:rPr>
        <w:t>Sangon</w:t>
      </w:r>
      <w:proofErr w:type="spellEnd"/>
      <w:r w:rsidRPr="006E44C3">
        <w:rPr>
          <w:rFonts w:eastAsia="等线"/>
          <w:kern w:val="2"/>
          <w:lang w:val="en-US" w:eastAsia="zh-CN"/>
        </w:rPr>
        <w:t xml:space="preserve"> Biotech Co., Ltd. CCK-8, propidium iodide (PI), cell </w:t>
      </w:r>
      <w:proofErr w:type="spellStart"/>
      <w:r w:rsidRPr="006E44C3">
        <w:rPr>
          <w:rFonts w:eastAsia="等线"/>
          <w:kern w:val="2"/>
          <w:lang w:val="en-US" w:eastAsia="zh-CN"/>
        </w:rPr>
        <w:t>relaxin</w:t>
      </w:r>
      <w:proofErr w:type="spellEnd"/>
      <w:r w:rsidRPr="006E44C3">
        <w:rPr>
          <w:rFonts w:eastAsia="等线"/>
          <w:kern w:val="2"/>
          <w:lang w:val="en-US" w:eastAsia="zh-CN"/>
        </w:rPr>
        <w:t xml:space="preserve"> D, streptomycin and 20× PBS buffer were purchased from Dalian </w:t>
      </w:r>
      <w:proofErr w:type="spellStart"/>
      <w:r w:rsidRPr="006E44C3">
        <w:rPr>
          <w:rFonts w:eastAsia="等线"/>
          <w:kern w:val="2"/>
          <w:lang w:val="en-US" w:eastAsia="zh-CN"/>
        </w:rPr>
        <w:t>Meilun</w:t>
      </w:r>
      <w:proofErr w:type="spellEnd"/>
      <w:r w:rsidRPr="006E44C3">
        <w:rPr>
          <w:rFonts w:eastAsia="等线"/>
          <w:kern w:val="2"/>
          <w:lang w:val="en-US" w:eastAsia="zh-CN"/>
        </w:rPr>
        <w:t xml:space="preserve"> Biotechnology Co., Ltd. Fetal bovine serum, RPMI 1640 medium and DMEM were purchased from Gibco Company, USA. 100× antibiotics (penicillin-streptomycin mixed solution) and 0.25% trypsin digestion solution were purchased from American </w:t>
      </w:r>
      <w:proofErr w:type="spellStart"/>
      <w:r w:rsidRPr="006E44C3">
        <w:rPr>
          <w:rFonts w:eastAsia="等线"/>
          <w:kern w:val="2"/>
          <w:lang w:val="en-US" w:eastAsia="zh-CN"/>
        </w:rPr>
        <w:t>HyClone</w:t>
      </w:r>
      <w:proofErr w:type="spellEnd"/>
      <w:r w:rsidRPr="006E44C3">
        <w:rPr>
          <w:rFonts w:eastAsia="等线"/>
          <w:kern w:val="2"/>
          <w:lang w:val="en-US" w:eastAsia="zh-CN"/>
        </w:rPr>
        <w:t xml:space="preserve"> Company. The lysosome fluorescent probe dye </w:t>
      </w:r>
      <w:proofErr w:type="spellStart"/>
      <w:r w:rsidRPr="006E44C3">
        <w:rPr>
          <w:rFonts w:eastAsia="等线"/>
          <w:kern w:val="2"/>
          <w:lang w:val="en-US" w:eastAsia="zh-CN"/>
        </w:rPr>
        <w:t>LysoTracker</w:t>
      </w:r>
      <w:proofErr w:type="spellEnd"/>
      <w:r w:rsidRPr="006E44C3">
        <w:rPr>
          <w:rFonts w:eastAsia="等线"/>
          <w:kern w:val="2"/>
          <w:lang w:val="en-US" w:eastAsia="zh-CN"/>
        </w:rPr>
        <w:t xml:space="preserve"> Red DND-99 was purchased from Invitrogen Company, USA. Mice were obtained from Suzhou </w:t>
      </w:r>
      <w:proofErr w:type="spellStart"/>
      <w:r w:rsidRPr="006E44C3">
        <w:rPr>
          <w:rFonts w:eastAsia="等线"/>
          <w:kern w:val="2"/>
          <w:lang w:val="en-US" w:eastAsia="zh-CN"/>
        </w:rPr>
        <w:t>Jingweiyu</w:t>
      </w:r>
      <w:proofErr w:type="spellEnd"/>
      <w:r w:rsidRPr="006E44C3">
        <w:rPr>
          <w:rFonts w:eastAsia="等线"/>
          <w:kern w:val="2"/>
          <w:lang w:val="en-US" w:eastAsia="zh-CN"/>
        </w:rPr>
        <w:t xml:space="preserve"> Biotechnology Co., Ltd. Oxaliplatin was purchased from Sain Chemical Technology (Shanghai) Co., Ltd. Red blood cell lysis buffer and neutral 4% paraformaldehyde fixative were purchased from Wuhan </w:t>
      </w:r>
      <w:proofErr w:type="spellStart"/>
      <w:r w:rsidRPr="006E44C3">
        <w:rPr>
          <w:rFonts w:eastAsia="等线"/>
          <w:kern w:val="2"/>
          <w:lang w:val="en-US" w:eastAsia="zh-CN"/>
        </w:rPr>
        <w:t>Servicebio</w:t>
      </w:r>
      <w:proofErr w:type="spellEnd"/>
      <w:r w:rsidRPr="006E44C3">
        <w:rPr>
          <w:rFonts w:eastAsia="等线"/>
          <w:kern w:val="2"/>
          <w:lang w:val="en-US" w:eastAsia="zh-CN"/>
        </w:rPr>
        <w:t xml:space="preserve"> Technology Co., Ltd. Mouse macrophage colony-stimulating factor (M-CSF), interleukin-4 (IL-4) and mouse granulocyte-macrophage colony-stimulating factor (GM-CSF) were purchased from Pepro Tech Biotechnology Co., Ltd. New Zealand White rabbits were obtained from Suzhou </w:t>
      </w:r>
      <w:proofErr w:type="spellStart"/>
      <w:r w:rsidRPr="006E44C3">
        <w:rPr>
          <w:rFonts w:eastAsia="等线"/>
          <w:kern w:val="2"/>
          <w:lang w:val="en-US" w:eastAsia="zh-CN"/>
        </w:rPr>
        <w:t>Gaoxin</w:t>
      </w:r>
      <w:proofErr w:type="spellEnd"/>
      <w:r w:rsidRPr="006E44C3">
        <w:rPr>
          <w:rFonts w:eastAsia="等线"/>
          <w:kern w:val="2"/>
          <w:lang w:val="en-US" w:eastAsia="zh-CN"/>
        </w:rPr>
        <w:t xml:space="preserve"> District </w:t>
      </w:r>
      <w:proofErr w:type="spellStart"/>
      <w:r w:rsidRPr="006E44C3">
        <w:rPr>
          <w:rFonts w:eastAsia="等线"/>
          <w:kern w:val="2"/>
          <w:lang w:val="en-US" w:eastAsia="zh-CN"/>
        </w:rPr>
        <w:t>Zhenhu</w:t>
      </w:r>
      <w:proofErr w:type="spellEnd"/>
      <w:r w:rsidRPr="006E44C3">
        <w:rPr>
          <w:rFonts w:eastAsia="等线"/>
          <w:kern w:val="2"/>
          <w:lang w:val="en-US" w:eastAsia="zh-CN"/>
        </w:rPr>
        <w:t xml:space="preserve"> Experimental Animal Co., Ltd. D-luciferin sodium salt was purchased from J&amp;K Scientific Co., Ltd. Hydrochloric acid, nitric acid, alcohol and perchloric acid were purchased from China National Pharmaceutical Group Chemical Co., Ltd. Standard matrix gel was purchased from Shanghai </w:t>
      </w:r>
      <w:proofErr w:type="spellStart"/>
      <w:r w:rsidRPr="006E44C3">
        <w:rPr>
          <w:rFonts w:eastAsia="等线"/>
          <w:kern w:val="2"/>
          <w:lang w:val="en-US" w:eastAsia="zh-CN"/>
        </w:rPr>
        <w:t>NovaPharm</w:t>
      </w:r>
      <w:proofErr w:type="spellEnd"/>
      <w:r w:rsidRPr="006E44C3">
        <w:rPr>
          <w:rFonts w:eastAsia="等线"/>
          <w:kern w:val="2"/>
          <w:lang w:val="en-US" w:eastAsia="zh-CN"/>
        </w:rPr>
        <w:t xml:space="preserve"> Pharmaceutical Technology Co., Ltd.</w:t>
      </w:r>
    </w:p>
    <w:p w14:paraId="6AF4C649" w14:textId="7E3D30DF" w:rsidR="00586AB3" w:rsidRPr="00586AB3" w:rsidRDefault="00586AB3" w:rsidP="00586AB3">
      <w:pPr>
        <w:widowControl w:val="0"/>
        <w:spacing w:beforeLines="50" w:before="156" w:afterLines="50" w:after="156" w:line="360" w:lineRule="auto"/>
        <w:jc w:val="both"/>
        <w:rPr>
          <w:rFonts w:eastAsia="等线"/>
          <w:b/>
          <w:bCs/>
          <w:kern w:val="2"/>
          <w:lang w:val="en-US"/>
        </w:rPr>
      </w:pPr>
      <w:r w:rsidRPr="00586AB3">
        <w:rPr>
          <w:rFonts w:eastAsia="等线"/>
          <w:b/>
          <w:bCs/>
          <w:kern w:val="2"/>
          <w:lang w:val="en-US"/>
        </w:rPr>
        <w:lastRenderedPageBreak/>
        <w:t>1.2 Preparation of Ir-cR8-BSA-NP</w:t>
      </w:r>
    </w:p>
    <w:p w14:paraId="785B6FA1" w14:textId="77777777"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(1) Standard curve generation: 1000 μM Ir-cR8 was diluted in 1× pH 7.4 PBS buffer to concentrations of 0.625, 1.25, 2.5, 5, 10 and 20 μM. Fluorescence emission intensity was measured at 520 nm after excitation at 328 nm to generate a standard curve at 520 nm.</w:t>
      </w:r>
    </w:p>
    <w:p w14:paraId="66D65BB6" w14:textId="77777777"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(2) Mixture preparation: Bovine serum albumin (BSA) powder was weighed and dissolved in sterile ultrapure water to prepare a 1000 μM solution. The Ir-cR8 stock solution was diluted to 1000 μM. Equal volumes of BSA solution and Ir-cR8 solution were mixed in an EP tube in a 1:1 molar ratio and allowed to stand for 2 hours at room temperature.</w:t>
      </w:r>
    </w:p>
    <w:p w14:paraId="4889486E" w14:textId="77777777"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 xml:space="preserve">(3) Ultrafiltration: The prepared Ir-cR8-BSA-NP were diluted to 10 μM in 1× PBS buffer (pH 7.4). The mixture was loaded into a 10 </w:t>
      </w:r>
      <w:proofErr w:type="spellStart"/>
      <w:r w:rsidRPr="006E44C3">
        <w:rPr>
          <w:rFonts w:eastAsia="等线"/>
          <w:lang w:val="en-US" w:eastAsia="zh-CN"/>
        </w:rPr>
        <w:t>kDa</w:t>
      </w:r>
      <w:proofErr w:type="spellEnd"/>
      <w:r w:rsidRPr="006E44C3">
        <w:rPr>
          <w:rFonts w:eastAsia="等线"/>
          <w:lang w:val="en-US" w:eastAsia="zh-CN"/>
        </w:rPr>
        <w:t xml:space="preserve"> ultrafiltration centrifuge tube and centrifuged (6000 rpm, 10 min).</w:t>
      </w:r>
    </w:p>
    <w:p w14:paraId="7ED41353" w14:textId="77777777" w:rsid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(4) Detection: The emission intensity of Ir-cR8 in the liquid was measured after ultrafiltration using a fluorescence spectrophotometer. Finally, the drug loading rate of bovine serum albumin was calculated from the standard curve.</w:t>
      </w:r>
    </w:p>
    <w:p w14:paraId="0FCC0FE1" w14:textId="5884EF10" w:rsidR="00586AB3" w:rsidRPr="00586AB3" w:rsidRDefault="00586AB3" w:rsidP="006E44C3">
      <w:pPr>
        <w:widowControl w:val="0"/>
        <w:spacing w:beforeLines="50" w:before="156" w:afterLines="50" w:after="156" w:line="360" w:lineRule="auto"/>
        <w:jc w:val="both"/>
        <w:rPr>
          <w:rFonts w:eastAsia="等线"/>
          <w:b/>
          <w:bCs/>
          <w:kern w:val="2"/>
          <w:lang w:val="en-US"/>
        </w:rPr>
      </w:pPr>
      <w:r w:rsidRPr="00586AB3">
        <w:rPr>
          <w:rFonts w:eastAsia="等线"/>
          <w:b/>
          <w:bCs/>
          <w:kern w:val="2"/>
          <w:lang w:val="en-US"/>
        </w:rPr>
        <w:t>2.</w:t>
      </w:r>
      <w:r w:rsidRPr="00586AB3">
        <w:rPr>
          <w:rFonts w:eastAsia="等线"/>
          <w:b/>
          <w:bCs/>
          <w:kern w:val="2"/>
          <w:lang w:val="en-US" w:eastAsia="zh-CN"/>
        </w:rPr>
        <w:t xml:space="preserve"> </w:t>
      </w:r>
      <w:r w:rsidRPr="00586AB3">
        <w:rPr>
          <w:rFonts w:eastAsia="等线"/>
          <w:b/>
          <w:bCs/>
          <w:kern w:val="2"/>
          <w:lang w:val="en-US"/>
        </w:rPr>
        <w:t>Cellular experiments</w:t>
      </w:r>
    </w:p>
    <w:p w14:paraId="2289DD04" w14:textId="77777777" w:rsidR="00586AB3" w:rsidRPr="00586AB3" w:rsidRDefault="00586AB3" w:rsidP="00586AB3">
      <w:pPr>
        <w:widowControl w:val="0"/>
        <w:spacing w:beforeLines="50" w:before="156" w:afterLines="50" w:after="156" w:line="360" w:lineRule="auto"/>
        <w:jc w:val="both"/>
        <w:rPr>
          <w:rFonts w:eastAsia="宋体"/>
          <w:b/>
          <w:bCs/>
          <w:kern w:val="2"/>
          <w:lang w:val="en-US" w:eastAsia="zh-CN"/>
        </w:rPr>
      </w:pPr>
      <w:r w:rsidRPr="00586AB3">
        <w:rPr>
          <w:rFonts w:eastAsia="等线"/>
          <w:b/>
          <w:bCs/>
          <w:kern w:val="2"/>
          <w:lang w:val="en-US" w:eastAsia="zh-CN"/>
        </w:rPr>
        <w:t>2</w:t>
      </w:r>
      <w:r w:rsidRPr="00586AB3">
        <w:rPr>
          <w:rFonts w:eastAsia="等线"/>
          <w:b/>
          <w:bCs/>
          <w:kern w:val="2"/>
          <w:lang w:val="en-US"/>
        </w:rPr>
        <w:t>.1</w:t>
      </w:r>
      <w:r w:rsidRPr="00586AB3">
        <w:rPr>
          <w:rFonts w:eastAsia="等线"/>
          <w:b/>
          <w:bCs/>
          <w:kern w:val="2"/>
          <w:lang w:val="en-US" w:eastAsia="zh-CN"/>
        </w:rPr>
        <w:t xml:space="preserve"> </w:t>
      </w:r>
      <w:r w:rsidRPr="00586AB3">
        <w:rPr>
          <w:rFonts w:eastAsia="等线"/>
          <w:b/>
          <w:bCs/>
          <w:kern w:val="2"/>
          <w:lang w:val="en-US"/>
        </w:rPr>
        <w:t>The ζ (zeta) potential of cells</w:t>
      </w:r>
    </w:p>
    <w:p w14:paraId="21D0BBAF" w14:textId="77777777" w:rsidR="006E44C3" w:rsidRDefault="006E44C3" w:rsidP="00586AB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t>Cells in the logarithmic growth phase, such as H22 cells or induced BMDCs and BMDMs, were resuspended in 1× pH 7.4 PBS buffer. After counting, the cell density was adjusted to 10^5 cells/ml and the zeta potential (ζ) of these three cell types was measured.</w:t>
      </w:r>
    </w:p>
    <w:p w14:paraId="36C502CF" w14:textId="5D824EA9" w:rsidR="00586AB3" w:rsidRPr="00586AB3" w:rsidRDefault="00586AB3" w:rsidP="00586AB3">
      <w:pPr>
        <w:widowControl w:val="0"/>
        <w:spacing w:beforeLines="50" w:before="156" w:afterLines="50" w:after="156" w:line="360" w:lineRule="auto"/>
        <w:jc w:val="both"/>
        <w:rPr>
          <w:rFonts w:eastAsia="宋体"/>
          <w:b/>
          <w:bCs/>
          <w:kern w:val="2"/>
          <w:lang w:val="en-US" w:eastAsia="zh-CN"/>
        </w:rPr>
      </w:pPr>
      <w:r w:rsidRPr="00586AB3">
        <w:rPr>
          <w:rFonts w:eastAsia="等线"/>
          <w:b/>
          <w:bCs/>
          <w:kern w:val="2"/>
          <w:lang w:val="en-US"/>
        </w:rPr>
        <w:t>2.2 The cellular uptake pathway of Ir-cR8-BSA-NP</w:t>
      </w:r>
      <w:r w:rsidR="00CA0066">
        <w:rPr>
          <w:rFonts w:eastAsia="等线" w:hint="eastAsia"/>
          <w:b/>
          <w:bCs/>
          <w:kern w:val="2"/>
          <w:lang w:val="en-US" w:eastAsia="zh-CN"/>
        </w:rPr>
        <w:t>s</w:t>
      </w:r>
    </w:p>
    <w:p w14:paraId="58AED444" w14:textId="77777777"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 xml:space="preserve">(1) To generate a standard curve, 500 μM Ir-cR8-BSA-NP was diluted in 1640 base medium to concentrations of 0.78125, 1.5625, 3.125, 6.25, 12.5 and 25 μM. The fluorescence emission intensity at 520 nm was scanned with excitation at 328 nm for each solution and the concentration was determined using the Em520 nm standard </w:t>
      </w:r>
      <w:r w:rsidRPr="006E44C3">
        <w:rPr>
          <w:rFonts w:eastAsia="等线"/>
          <w:lang w:val="en-US" w:eastAsia="zh-CN"/>
        </w:rPr>
        <w:lastRenderedPageBreak/>
        <w:t>curve equation.</w:t>
      </w:r>
    </w:p>
    <w:p w14:paraId="46122AB7" w14:textId="77777777"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 xml:space="preserve">(2) For cell seeding, H22 cells in the logarithmic growth phase were digested, centrifuged and resuspended in 1640 base medium. The H22 cell density was adjusted to 10^5 cells/ml. Three </w:t>
      </w:r>
      <w:proofErr w:type="spellStart"/>
      <w:r w:rsidRPr="006E44C3">
        <w:rPr>
          <w:rFonts w:eastAsia="等线"/>
          <w:lang w:val="en-US" w:eastAsia="zh-CN"/>
        </w:rPr>
        <w:t>millilitres</w:t>
      </w:r>
      <w:proofErr w:type="spellEnd"/>
      <w:r w:rsidRPr="006E44C3">
        <w:rPr>
          <w:rFonts w:eastAsia="等线"/>
          <w:lang w:val="en-US" w:eastAsia="zh-CN"/>
        </w:rPr>
        <w:t xml:space="preserve"> of the H22 cell suspension </w:t>
      </w:r>
      <w:proofErr w:type="gramStart"/>
      <w:r w:rsidRPr="006E44C3">
        <w:rPr>
          <w:rFonts w:eastAsia="等线"/>
          <w:lang w:val="en-US" w:eastAsia="zh-CN"/>
        </w:rPr>
        <w:t>was</w:t>
      </w:r>
      <w:proofErr w:type="gramEnd"/>
      <w:r w:rsidRPr="006E44C3">
        <w:rPr>
          <w:rFonts w:eastAsia="等线"/>
          <w:lang w:val="en-US" w:eastAsia="zh-CN"/>
        </w:rPr>
        <w:t xml:space="preserve"> added uniformly to each well of a 6-well cell culture plate to ensure a cell number of 3 × 10^5 cells in each well. Three parallel groups were used for the control group, the endocytosis pathway inhibition group and the energy inhibition group.</w:t>
      </w:r>
    </w:p>
    <w:p w14:paraId="41FD8B8B" w14:textId="365F6B20"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 xml:space="preserve">(3) Pre-incubation with endocytosis inhibitors: Inhibitors of specific endocytic pathways, including </w:t>
      </w:r>
      <w:r w:rsidR="00DD7E39">
        <w:rPr>
          <w:rFonts w:eastAsia="等线" w:hint="eastAsia"/>
          <w:lang w:val="en-US" w:eastAsia="zh-CN"/>
        </w:rPr>
        <w:t>nystatin</w:t>
      </w:r>
      <w:r w:rsidRPr="006E44C3">
        <w:rPr>
          <w:rFonts w:eastAsia="等线"/>
          <w:lang w:val="en-US" w:eastAsia="zh-CN"/>
        </w:rPr>
        <w:t xml:space="preserve"> (NY, working concentration 9 </w:t>
      </w:r>
      <w:proofErr w:type="spellStart"/>
      <w:r w:rsidRPr="006E44C3">
        <w:rPr>
          <w:rFonts w:eastAsia="等线"/>
          <w:lang w:val="en-US" w:eastAsia="zh-CN"/>
        </w:rPr>
        <w:t>μg</w:t>
      </w:r>
      <w:proofErr w:type="spellEnd"/>
      <w:r w:rsidRPr="006E44C3">
        <w:rPr>
          <w:rFonts w:eastAsia="等线"/>
          <w:lang w:val="en-US" w:eastAsia="zh-CN"/>
        </w:rPr>
        <w:t xml:space="preserve">/mL) for caveolin-mediated endocytosis, chlorpromazine (CPZ, working concentration 2.5 </w:t>
      </w:r>
      <w:proofErr w:type="spellStart"/>
      <w:r w:rsidRPr="006E44C3">
        <w:rPr>
          <w:rFonts w:eastAsia="等线"/>
          <w:lang w:val="en-US" w:eastAsia="zh-CN"/>
        </w:rPr>
        <w:t>μg</w:t>
      </w:r>
      <w:proofErr w:type="spellEnd"/>
      <w:r w:rsidRPr="006E44C3">
        <w:rPr>
          <w:rFonts w:eastAsia="等线"/>
          <w:lang w:val="en-US" w:eastAsia="zh-CN"/>
        </w:rPr>
        <w:t xml:space="preserve">/mL) for </w:t>
      </w:r>
      <w:proofErr w:type="spellStart"/>
      <w:r w:rsidRPr="006E44C3">
        <w:rPr>
          <w:rFonts w:eastAsia="等线"/>
          <w:lang w:val="en-US" w:eastAsia="zh-CN"/>
        </w:rPr>
        <w:t>clathrin</w:t>
      </w:r>
      <w:proofErr w:type="spellEnd"/>
      <w:r w:rsidRPr="006E44C3">
        <w:rPr>
          <w:rFonts w:eastAsia="等线"/>
          <w:lang w:val="en-US" w:eastAsia="zh-CN"/>
        </w:rPr>
        <w:t>-mediated endocytosis, and cytochalasin D (</w:t>
      </w:r>
      <w:proofErr w:type="spellStart"/>
      <w:r w:rsidRPr="006E44C3">
        <w:rPr>
          <w:rFonts w:eastAsia="等线"/>
          <w:lang w:val="en-US" w:eastAsia="zh-CN"/>
        </w:rPr>
        <w:t>CytoD</w:t>
      </w:r>
      <w:proofErr w:type="spellEnd"/>
      <w:r w:rsidRPr="006E44C3">
        <w:rPr>
          <w:rFonts w:eastAsia="等线"/>
          <w:lang w:val="en-US" w:eastAsia="zh-CN"/>
        </w:rPr>
        <w:t xml:space="preserve">, working concentration 2.5 </w:t>
      </w:r>
      <w:proofErr w:type="spellStart"/>
      <w:r w:rsidRPr="006E44C3">
        <w:rPr>
          <w:rFonts w:eastAsia="等线"/>
          <w:lang w:val="en-US" w:eastAsia="zh-CN"/>
        </w:rPr>
        <w:t>μg</w:t>
      </w:r>
      <w:proofErr w:type="spellEnd"/>
      <w:r w:rsidRPr="006E44C3">
        <w:rPr>
          <w:rFonts w:eastAsia="等线"/>
          <w:lang w:val="en-US" w:eastAsia="zh-CN"/>
        </w:rPr>
        <w:t xml:space="preserve">/mL) for </w:t>
      </w:r>
      <w:proofErr w:type="spellStart"/>
      <w:r w:rsidRPr="006E44C3">
        <w:rPr>
          <w:rFonts w:eastAsia="等线"/>
          <w:lang w:val="en-US" w:eastAsia="zh-CN"/>
        </w:rPr>
        <w:t>macropinocytosis</w:t>
      </w:r>
      <w:proofErr w:type="spellEnd"/>
      <w:r w:rsidRPr="006E44C3">
        <w:rPr>
          <w:rFonts w:eastAsia="等线"/>
          <w:lang w:val="en-US" w:eastAsia="zh-CN"/>
        </w:rPr>
        <w:t>, were added to each endocytosis inhibition group. Cells were incubated in a cell culture incubator at 37°C and 5% CO</w:t>
      </w:r>
      <w:r w:rsidRPr="00A80900">
        <w:rPr>
          <w:rFonts w:eastAsia="等线"/>
          <w:vertAlign w:val="subscript"/>
          <w:lang w:val="en-US" w:eastAsia="zh-CN"/>
        </w:rPr>
        <w:t>2</w:t>
      </w:r>
      <w:r w:rsidRPr="006E44C3">
        <w:rPr>
          <w:rFonts w:eastAsia="等线"/>
          <w:lang w:val="en-US" w:eastAsia="zh-CN"/>
        </w:rPr>
        <w:t xml:space="preserve"> for 1 hour.</w:t>
      </w:r>
    </w:p>
    <w:p w14:paraId="74086DEB" w14:textId="21D4D67B" w:rsid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(4) Ir-cR8-BSA-NP</w:t>
      </w:r>
      <w:r w:rsidR="00CA0066">
        <w:rPr>
          <w:rFonts w:eastAsia="等线" w:hint="eastAsia"/>
          <w:lang w:val="en-US" w:eastAsia="zh-CN"/>
        </w:rPr>
        <w:t>s</w:t>
      </w:r>
      <w:r w:rsidRPr="006E44C3">
        <w:rPr>
          <w:rFonts w:eastAsia="等线"/>
          <w:lang w:val="en-US" w:eastAsia="zh-CN"/>
        </w:rPr>
        <w:t xml:space="preserve"> incubation: After pre-incubation, Ir-cR8-BSA-NP was added directly to reach a working concentration of 5 μM. The cells in the endocytosis inhibition group and the control group were incubated at 37°C in 5% CO</w:t>
      </w:r>
      <w:r w:rsidRPr="00A80900">
        <w:rPr>
          <w:rFonts w:eastAsia="等线"/>
          <w:vertAlign w:val="subscript"/>
          <w:lang w:val="en-US" w:eastAsia="zh-CN"/>
        </w:rPr>
        <w:t>2</w:t>
      </w:r>
      <w:r w:rsidRPr="006E44C3">
        <w:rPr>
          <w:rFonts w:eastAsia="等线"/>
          <w:lang w:val="en-US" w:eastAsia="zh-CN"/>
        </w:rPr>
        <w:t xml:space="preserve"> for 2 hours, and the cells in the energy inhibition group were incubated at 4°C in a refrigerator for 2 hours.</w:t>
      </w:r>
    </w:p>
    <w:p w14:paraId="3B1B6408" w14:textId="6F1837B7" w:rsidR="00586AB3" w:rsidRPr="00586AB3" w:rsidRDefault="00586AB3" w:rsidP="006E44C3">
      <w:pPr>
        <w:widowControl w:val="0"/>
        <w:spacing w:beforeLines="50" w:before="156" w:afterLines="50" w:after="156" w:line="360" w:lineRule="auto"/>
        <w:jc w:val="both"/>
        <w:rPr>
          <w:rFonts w:eastAsia="等线"/>
          <w:b/>
          <w:bCs/>
          <w:kern w:val="2"/>
          <w:lang w:val="en-US" w:eastAsia="zh-CN"/>
        </w:rPr>
      </w:pPr>
      <w:r w:rsidRPr="00586AB3">
        <w:rPr>
          <w:rFonts w:eastAsia="等线"/>
          <w:b/>
          <w:bCs/>
          <w:kern w:val="2"/>
          <w:lang w:val="en-US"/>
        </w:rPr>
        <w:t>2.3 The intracellular distribution of Ir-cR8-BSA-NP</w:t>
      </w:r>
      <w:r w:rsidR="00CA0066">
        <w:rPr>
          <w:rFonts w:eastAsia="等线" w:hint="eastAsia"/>
          <w:b/>
          <w:bCs/>
          <w:kern w:val="2"/>
          <w:lang w:val="en-US" w:eastAsia="zh-CN"/>
        </w:rPr>
        <w:t>s</w:t>
      </w:r>
    </w:p>
    <w:p w14:paraId="25BB3FCF" w14:textId="77777777" w:rsidR="006E44C3" w:rsidRPr="006E44C3" w:rsidRDefault="006E44C3" w:rsidP="006E44C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t>(1) For cell seeding, H22 cells in logarithmic growth phase were digested, centrifuged and resuspended in complete culture medium (RPMI 1640 + 10% FBS + 1% antibiotics). The H22 cell density was adjusted to 4 × 10^5 cells/mL, 1 mL of H22 cell suspension was added to a 20 mm diameter glass bottom dish, and the mixture was incubated at 37°C in a 5% CO</w:t>
      </w:r>
      <w:r w:rsidRPr="00A80900">
        <w:rPr>
          <w:rFonts w:eastAsia="等线"/>
          <w:kern w:val="2"/>
          <w:vertAlign w:val="subscript"/>
          <w:lang w:val="en-US" w:eastAsia="zh-CN"/>
        </w:rPr>
        <w:t>2</w:t>
      </w:r>
      <w:r w:rsidRPr="006E44C3">
        <w:rPr>
          <w:rFonts w:eastAsia="等线"/>
          <w:kern w:val="2"/>
          <w:lang w:val="en-US" w:eastAsia="zh-CN"/>
        </w:rPr>
        <w:t xml:space="preserve"> incubator for 24 hours.</w:t>
      </w:r>
    </w:p>
    <w:p w14:paraId="1B8BBB86" w14:textId="3EEBDD72" w:rsidR="006E44C3" w:rsidRPr="006E44C3" w:rsidRDefault="006E44C3" w:rsidP="006E44C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t>(2) Ir-cR8-BSA-NP</w:t>
      </w:r>
      <w:r w:rsidR="00CA0066">
        <w:rPr>
          <w:rFonts w:eastAsia="等线" w:hint="eastAsia"/>
          <w:kern w:val="2"/>
          <w:lang w:val="en-US" w:eastAsia="zh-CN"/>
        </w:rPr>
        <w:t>s</w:t>
      </w:r>
      <w:r w:rsidRPr="006E44C3">
        <w:rPr>
          <w:rFonts w:eastAsia="等线"/>
          <w:kern w:val="2"/>
          <w:lang w:val="en-US" w:eastAsia="zh-CN"/>
        </w:rPr>
        <w:t xml:space="preserve"> preincubation: After discarding the supernatant, the cells were gently washed once with 1× PBS buffer (pH 7.4). Ten μM Ir-cR8-BSA-NP</w:t>
      </w:r>
      <w:r w:rsidR="00CA0066">
        <w:rPr>
          <w:rFonts w:eastAsia="等线" w:hint="eastAsia"/>
          <w:kern w:val="2"/>
          <w:lang w:val="en-US" w:eastAsia="zh-CN"/>
        </w:rPr>
        <w:t>s</w:t>
      </w:r>
      <w:r w:rsidRPr="006E44C3">
        <w:rPr>
          <w:rFonts w:eastAsia="等线"/>
          <w:kern w:val="2"/>
          <w:lang w:val="en-US" w:eastAsia="zh-CN"/>
        </w:rPr>
        <w:t xml:space="preserve"> (diluted in 1640 base culture medium) was added and incubated for 1 hour in a 37°C, 5% CO</w:t>
      </w:r>
      <w:r w:rsidRPr="00A80900">
        <w:rPr>
          <w:rFonts w:eastAsia="等线"/>
          <w:kern w:val="2"/>
          <w:vertAlign w:val="subscript"/>
          <w:lang w:val="en-US" w:eastAsia="zh-CN"/>
        </w:rPr>
        <w:t>2</w:t>
      </w:r>
      <w:r w:rsidRPr="006E44C3">
        <w:rPr>
          <w:rFonts w:eastAsia="等线"/>
          <w:kern w:val="2"/>
          <w:lang w:val="en-US" w:eastAsia="zh-CN"/>
        </w:rPr>
        <w:t xml:space="preserve"> incubator.</w:t>
      </w:r>
    </w:p>
    <w:p w14:paraId="5AA5B68E" w14:textId="77777777" w:rsidR="006E44C3" w:rsidRPr="006E44C3" w:rsidRDefault="006E44C3" w:rsidP="006E44C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lastRenderedPageBreak/>
        <w:t xml:space="preserve">(3) Lysosome staining incubation: After discarding the supernatant, the cells were gently rinsed twice with 1× pH 7.4 PBS buffer. The lysosome fluorescent probe dye </w:t>
      </w:r>
      <w:proofErr w:type="spellStart"/>
      <w:r w:rsidRPr="006E44C3">
        <w:rPr>
          <w:rFonts w:eastAsia="等线"/>
          <w:kern w:val="2"/>
          <w:lang w:val="en-US" w:eastAsia="zh-CN"/>
        </w:rPr>
        <w:t>LysoTracker</w:t>
      </w:r>
      <w:proofErr w:type="spellEnd"/>
      <w:r w:rsidRPr="006E44C3">
        <w:rPr>
          <w:rFonts w:eastAsia="等线"/>
          <w:kern w:val="2"/>
          <w:lang w:val="en-US" w:eastAsia="zh-CN"/>
        </w:rPr>
        <w:t xml:space="preserve"> Red DND-99 was diluted to 200 </w:t>
      </w:r>
      <w:proofErr w:type="spellStart"/>
      <w:r w:rsidRPr="006E44C3">
        <w:rPr>
          <w:rFonts w:eastAsia="等线"/>
          <w:kern w:val="2"/>
          <w:lang w:val="en-US" w:eastAsia="zh-CN"/>
        </w:rPr>
        <w:t>nM</w:t>
      </w:r>
      <w:proofErr w:type="spellEnd"/>
      <w:r w:rsidRPr="006E44C3">
        <w:rPr>
          <w:rFonts w:eastAsia="等线"/>
          <w:kern w:val="2"/>
          <w:lang w:val="en-US" w:eastAsia="zh-CN"/>
        </w:rPr>
        <w:t xml:space="preserve"> in 1640 base culture medium and incubated at 37°C and 5% CO2 for 15 minutes.</w:t>
      </w:r>
    </w:p>
    <w:p w14:paraId="59F469EA" w14:textId="41F8DBC8" w:rsidR="006E44C3" w:rsidRDefault="006E44C3" w:rsidP="006E44C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t xml:space="preserve">(4) For confocal microscopy, the medium was removed in the dark and the cells were gently rinsed three times with 1× pH 7.4 PBS buffer after the supernatant was discarded. Finally, the </w:t>
      </w:r>
      <w:r w:rsidR="00CA0066" w:rsidRPr="006E44C3">
        <w:rPr>
          <w:rFonts w:eastAsia="等线"/>
          <w:kern w:val="2"/>
          <w:lang w:val="en-US" w:eastAsia="zh-CN"/>
        </w:rPr>
        <w:t>colocalization</w:t>
      </w:r>
      <w:r w:rsidRPr="006E44C3">
        <w:rPr>
          <w:rFonts w:eastAsia="等线"/>
          <w:kern w:val="2"/>
          <w:lang w:val="en-US" w:eastAsia="zh-CN"/>
        </w:rPr>
        <w:t xml:space="preserve"> of Ir-cR8-BSA-NP</w:t>
      </w:r>
      <w:r w:rsidR="00CA0066">
        <w:rPr>
          <w:rFonts w:eastAsia="等线" w:hint="eastAsia"/>
          <w:kern w:val="2"/>
          <w:lang w:val="en-US" w:eastAsia="zh-CN"/>
        </w:rPr>
        <w:t>s</w:t>
      </w:r>
      <w:r w:rsidRPr="006E44C3">
        <w:rPr>
          <w:rFonts w:eastAsia="等线"/>
          <w:kern w:val="2"/>
          <w:lang w:val="en-US" w:eastAsia="zh-CN"/>
        </w:rPr>
        <w:t xml:space="preserve"> with lysosomes was observed by laser confocal microscopy.</w:t>
      </w:r>
    </w:p>
    <w:p w14:paraId="170FE1A8" w14:textId="786FB578" w:rsidR="008F1148" w:rsidRPr="00EF23F5" w:rsidRDefault="008F1148" w:rsidP="008F1148">
      <w:pPr>
        <w:widowControl w:val="0"/>
        <w:spacing w:beforeLines="50" w:before="156" w:afterLines="50" w:after="156" w:line="360" w:lineRule="auto"/>
        <w:jc w:val="both"/>
        <w:rPr>
          <w:rFonts w:eastAsia="等线"/>
          <w:b/>
          <w:bCs/>
          <w:kern w:val="2"/>
          <w:lang w:val="en-US"/>
        </w:rPr>
      </w:pPr>
      <w:r w:rsidRPr="00EF23F5">
        <w:rPr>
          <w:rFonts w:eastAsia="等线"/>
          <w:b/>
          <w:bCs/>
          <w:kern w:val="2"/>
          <w:lang w:val="en-US"/>
        </w:rPr>
        <w:t>2.4 The toxicity of Ir-cR8, Ir-cR8-BSA-NPs and oxaliplatin on H22 cells was detected using CCK-8 assay.</w:t>
      </w:r>
    </w:p>
    <w:p w14:paraId="5750968A" w14:textId="77777777" w:rsidR="008F1148" w:rsidRPr="008F1148"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(1) Ir-cR8, Ir-cR8-BSA-NPs preparation: 1000 μM Ir-cR8, which was well coordinated, was taken and diluted to 256 μM with 1640 basal medium, and sequentially twofold diluted. Take 500 μM Ir-cR8-BSA-NPs as above.</w:t>
      </w:r>
    </w:p>
    <w:p w14:paraId="49AC01ED" w14:textId="77777777" w:rsidR="008F1148" w:rsidRPr="008F1148"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(2) Oxaliplatin preparation: weigh oxaliplatin powder, dilute to 2048 μM with 1×PBS buffer, and standby by two-fold dilution sequentially</w:t>
      </w:r>
    </w:p>
    <w:p w14:paraId="66D2BA1C" w14:textId="0314689E" w:rsidR="008F1148" w:rsidRPr="008F1148"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(3) Cell spreading and drug incubation: H22 cells in logarithmic growth phase were digested and centrifuged, and resuspended in 1640 basal medium. After cell counting, the density of H22 cells was adjusted to 4×10</w:t>
      </w:r>
      <w:r w:rsidRPr="00EF23F5">
        <w:rPr>
          <w:rFonts w:eastAsia="等线"/>
          <w:kern w:val="2"/>
          <w:vertAlign w:val="superscript"/>
          <w:lang w:eastAsia="zh-CN"/>
        </w:rPr>
        <w:t>5</w:t>
      </w:r>
      <w:r w:rsidRPr="008F1148">
        <w:rPr>
          <w:rFonts w:eastAsia="等线"/>
          <w:kern w:val="2"/>
          <w:lang w:eastAsia="zh-CN"/>
        </w:rPr>
        <w:t xml:space="preserve"> mL</w:t>
      </w:r>
      <w:r w:rsidRPr="00EF23F5">
        <w:rPr>
          <w:rFonts w:eastAsia="等线"/>
          <w:kern w:val="2"/>
          <w:vertAlign w:val="superscript"/>
          <w:lang w:eastAsia="zh-CN"/>
        </w:rPr>
        <w:t>-1</w:t>
      </w:r>
      <w:r w:rsidRPr="008F1148">
        <w:rPr>
          <w:rFonts w:eastAsia="等线"/>
          <w:kern w:val="2"/>
          <w:lang w:eastAsia="zh-CN"/>
        </w:rPr>
        <w:t>, and 50 μL of H22 cell suspension was added uniformly to each well of a 96-well cell culture plate, so that the number of cells in each well was 2×10</w:t>
      </w:r>
      <w:r w:rsidRPr="00EF23F5">
        <w:rPr>
          <w:rFonts w:eastAsia="等线"/>
          <w:kern w:val="2"/>
          <w:vertAlign w:val="superscript"/>
          <w:lang w:eastAsia="zh-CN"/>
        </w:rPr>
        <w:t>4</w:t>
      </w:r>
      <w:r w:rsidRPr="008F1148">
        <w:rPr>
          <w:rFonts w:eastAsia="等线"/>
          <w:kern w:val="2"/>
          <w:lang w:eastAsia="zh-CN"/>
        </w:rPr>
        <w:t>. 50 μL of Ir-cR8/Ir-cR8-BSA-NPs/oxaliplatin was added according to the concentration gradient (at this time, the final concentration of each drug was 1/2 of the original), and the 1640 basal medium was added as a control. 1640 basal medium was added as control, and blank wells were set up. Three parallel groups were set up for each concentration of the above drugs. Finally, 100 μL of PBS buffer</w:t>
      </w:r>
      <w:r w:rsidRPr="008F1148">
        <w:rPr>
          <w:rFonts w:eastAsia="等线" w:hint="eastAsia"/>
          <w:kern w:val="2"/>
          <w:lang w:eastAsia="zh-CN"/>
        </w:rPr>
        <w:t xml:space="preserve"> was added to each well of the outer layer of the 96-well cell plate, and the cells were incubated at 37</w:t>
      </w:r>
      <w:r w:rsidRPr="008F1148">
        <w:rPr>
          <w:rFonts w:eastAsia="等线" w:hint="eastAsia"/>
          <w:kern w:val="2"/>
          <w:lang w:eastAsia="zh-CN"/>
        </w:rPr>
        <w:t>℃</w:t>
      </w:r>
      <w:r w:rsidRPr="008F1148">
        <w:rPr>
          <w:rFonts w:eastAsia="等线" w:hint="eastAsia"/>
          <w:kern w:val="2"/>
          <w:lang w:eastAsia="zh-CN"/>
        </w:rPr>
        <w:t xml:space="preserve"> for 24 h in an incubator with 5% carbon dioxide.</w:t>
      </w:r>
    </w:p>
    <w:p w14:paraId="4DF15AFB" w14:textId="3D3ABC48" w:rsidR="008F1148"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 xml:space="preserve">(4) Measurement: After 24 h incubation, 10 μL of CCK-8 assay solution was added to </w:t>
      </w:r>
      <w:r w:rsidRPr="008F1148">
        <w:rPr>
          <w:rFonts w:eastAsia="等线"/>
          <w:kern w:val="2"/>
          <w:lang w:eastAsia="zh-CN"/>
        </w:rPr>
        <w:lastRenderedPageBreak/>
        <w:t>each well in turn, and the incubation was continued in the incubator for 2 h. Finally, the absorbance at 450 nm was read by using an enzyme marker, and the IC50 value of half inhibitory concentration was calculated.</w:t>
      </w:r>
    </w:p>
    <w:p w14:paraId="66CDA10E" w14:textId="67FA3767" w:rsidR="008F1148" w:rsidRPr="00EF23F5" w:rsidRDefault="008F1148" w:rsidP="008F1148">
      <w:pPr>
        <w:widowControl w:val="0"/>
        <w:spacing w:beforeLines="50" w:before="156" w:afterLines="50" w:after="156" w:line="360" w:lineRule="auto"/>
        <w:jc w:val="both"/>
        <w:rPr>
          <w:rFonts w:eastAsia="等线"/>
          <w:b/>
          <w:bCs/>
          <w:kern w:val="2"/>
          <w:lang w:eastAsia="zh-CN"/>
        </w:rPr>
      </w:pPr>
      <w:r>
        <w:rPr>
          <w:rFonts w:eastAsia="等线" w:hint="eastAsia"/>
          <w:b/>
          <w:bCs/>
          <w:kern w:val="2"/>
          <w:lang w:eastAsia="zh-CN"/>
        </w:rPr>
        <w:t>2.</w:t>
      </w:r>
      <w:r w:rsidR="00C95640">
        <w:rPr>
          <w:rFonts w:eastAsia="等线" w:hint="eastAsia"/>
          <w:b/>
          <w:bCs/>
          <w:kern w:val="2"/>
          <w:lang w:eastAsia="zh-CN"/>
        </w:rPr>
        <w:t>5</w:t>
      </w:r>
      <w:r>
        <w:rPr>
          <w:rFonts w:eastAsia="等线" w:hint="eastAsia"/>
          <w:b/>
          <w:bCs/>
          <w:kern w:val="2"/>
          <w:lang w:eastAsia="zh-CN"/>
        </w:rPr>
        <w:t xml:space="preserve"> </w:t>
      </w:r>
      <w:r w:rsidRPr="00EF23F5">
        <w:rPr>
          <w:rFonts w:eastAsia="等线"/>
          <w:b/>
          <w:bCs/>
          <w:kern w:val="2"/>
          <w:lang w:eastAsia="zh-CN"/>
        </w:rPr>
        <w:t>Detect the toxicity of Ir-cR8, Ir-cR8-BSA-NPs and oxaliplatin on VX2 cells using thiazolyl blue (MTT) method.</w:t>
      </w:r>
    </w:p>
    <w:p w14:paraId="79A88F51" w14:textId="77777777" w:rsidR="008F1148" w:rsidRPr="008F1148"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(1) Ir-cR8, Ir-cR8-BSA-NPs and oxaliplatin preparation.</w:t>
      </w:r>
    </w:p>
    <w:p w14:paraId="528F1295" w14:textId="77777777" w:rsidR="008F1148" w:rsidRPr="008F1148"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(2) Cell spreading: VX2 cells in logarithmic growth phase were digested and centrifuged, and resuspended in 1640 complete medium. After cell counting, the density of VX2 cells was adjusted to 8×10</w:t>
      </w:r>
      <w:r w:rsidRPr="00EF23F5">
        <w:rPr>
          <w:rFonts w:eastAsia="等线"/>
          <w:kern w:val="2"/>
          <w:vertAlign w:val="superscript"/>
          <w:lang w:eastAsia="zh-CN"/>
        </w:rPr>
        <w:t>4</w:t>
      </w:r>
      <w:r w:rsidRPr="008F1148">
        <w:rPr>
          <w:rFonts w:eastAsia="等线"/>
          <w:kern w:val="2"/>
          <w:lang w:eastAsia="zh-CN"/>
        </w:rPr>
        <w:t xml:space="preserve"> mL</w:t>
      </w:r>
      <w:r w:rsidRPr="00EF23F5">
        <w:rPr>
          <w:rFonts w:eastAsia="等线"/>
          <w:kern w:val="2"/>
          <w:vertAlign w:val="superscript"/>
          <w:lang w:eastAsia="zh-CN"/>
        </w:rPr>
        <w:t>-1</w:t>
      </w:r>
      <w:r w:rsidRPr="008F1148">
        <w:rPr>
          <w:rFonts w:eastAsia="等线"/>
          <w:kern w:val="2"/>
          <w:lang w:eastAsia="zh-CN"/>
        </w:rPr>
        <w:t>. 100 μL of VX2 cell suspension was added uniformly to</w:t>
      </w:r>
      <w:r w:rsidRPr="008F1148">
        <w:rPr>
          <w:rFonts w:eastAsia="等线" w:hint="eastAsia"/>
          <w:kern w:val="2"/>
          <w:lang w:eastAsia="zh-CN"/>
        </w:rPr>
        <w:t xml:space="preserve"> each well of a 96-well cell culture plate, so that the number of cells in each well was 8</w:t>
      </w:r>
      <w:r w:rsidRPr="008F1148">
        <w:rPr>
          <w:rFonts w:eastAsia="等线" w:hint="eastAsia"/>
          <w:kern w:val="2"/>
          <w:lang w:eastAsia="zh-CN"/>
        </w:rPr>
        <w:t>×</w:t>
      </w:r>
      <w:r w:rsidRPr="008F1148">
        <w:rPr>
          <w:rFonts w:eastAsia="等线" w:hint="eastAsia"/>
          <w:kern w:val="2"/>
          <w:lang w:eastAsia="zh-CN"/>
        </w:rPr>
        <w:t>10</w:t>
      </w:r>
      <w:r w:rsidRPr="00EF23F5">
        <w:rPr>
          <w:rFonts w:eastAsia="等线"/>
          <w:kern w:val="2"/>
          <w:vertAlign w:val="superscript"/>
          <w:lang w:eastAsia="zh-CN"/>
        </w:rPr>
        <w:t>3</w:t>
      </w:r>
      <w:r w:rsidRPr="008F1148">
        <w:rPr>
          <w:rFonts w:eastAsia="等线" w:hint="eastAsia"/>
          <w:kern w:val="2"/>
          <w:lang w:eastAsia="zh-CN"/>
        </w:rPr>
        <w:t xml:space="preserve">. 100 </w:t>
      </w:r>
      <w:r w:rsidRPr="008F1148">
        <w:rPr>
          <w:rFonts w:eastAsia="等线" w:hint="eastAsia"/>
          <w:kern w:val="2"/>
          <w:lang w:eastAsia="zh-CN"/>
        </w:rPr>
        <w:t>μ</w:t>
      </w:r>
      <w:r w:rsidRPr="008F1148">
        <w:rPr>
          <w:rFonts w:eastAsia="等线" w:hint="eastAsia"/>
          <w:kern w:val="2"/>
          <w:lang w:eastAsia="zh-CN"/>
        </w:rPr>
        <w:t xml:space="preserve">L of PBS buffer was added to each well of the outer layer of the 96-well plate, and then it was placed in the incubator at 37 </w:t>
      </w:r>
      <w:r w:rsidRPr="008F1148">
        <w:rPr>
          <w:rFonts w:eastAsia="等线" w:hint="eastAsia"/>
          <w:kern w:val="2"/>
          <w:lang w:eastAsia="zh-CN"/>
        </w:rPr>
        <w:t>℃</w:t>
      </w:r>
      <w:r w:rsidRPr="008F1148">
        <w:rPr>
          <w:rFonts w:eastAsia="等线" w:hint="eastAsia"/>
          <w:kern w:val="2"/>
          <w:lang w:eastAsia="zh-CN"/>
        </w:rPr>
        <w:t xml:space="preserve"> with 5% carbon dioxide for </w:t>
      </w:r>
      <w:r w:rsidRPr="008F1148">
        <w:rPr>
          <w:rFonts w:eastAsia="等线"/>
          <w:kern w:val="2"/>
          <w:lang w:eastAsia="zh-CN"/>
        </w:rPr>
        <w:t>24 h. The cells were then incubated for 24 h in the incubator.</w:t>
      </w:r>
    </w:p>
    <w:p w14:paraId="55C8B738" w14:textId="77777777" w:rsidR="008F1148" w:rsidRPr="008F1148"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(3) Drug incubation: Discard the culture medium in the 96-well plate, add 100 μL of Ir-cR8/Ir-cR8-BSA-NPs/Oxaliplatin in accordance with the concentration gradient, and add 1640 basal medium as a control group and set up blank wells. Three parallel groups were set up for each concentration of drugs above.</w:t>
      </w:r>
    </w:p>
    <w:p w14:paraId="5F1A3BC3" w14:textId="1029B810" w:rsidR="008F1148" w:rsidRPr="00EF23F5" w:rsidRDefault="008F1148" w:rsidP="008F1148">
      <w:pPr>
        <w:widowControl w:val="0"/>
        <w:spacing w:beforeLines="50" w:before="156" w:afterLines="50" w:after="156" w:line="360" w:lineRule="auto"/>
        <w:jc w:val="both"/>
        <w:rPr>
          <w:rFonts w:eastAsia="等线"/>
          <w:kern w:val="2"/>
          <w:lang w:eastAsia="zh-CN"/>
        </w:rPr>
      </w:pPr>
      <w:r w:rsidRPr="008F1148">
        <w:rPr>
          <w:rFonts w:eastAsia="等线"/>
          <w:kern w:val="2"/>
          <w:lang w:eastAsia="zh-CN"/>
        </w:rPr>
        <w:t>(4) Measured data: After incubation for 24 h, the drug culture solution was discarded from the 96-well plate, 120 μL of 1640 basal medium containing MTT (0.83 mg-mL</w:t>
      </w:r>
      <w:r w:rsidRPr="00EF23F5">
        <w:rPr>
          <w:rFonts w:eastAsia="等线"/>
          <w:kern w:val="2"/>
          <w:vertAlign w:val="superscript"/>
          <w:lang w:eastAsia="zh-CN"/>
        </w:rPr>
        <w:t>-1</w:t>
      </w:r>
      <w:r w:rsidRPr="008F1148">
        <w:rPr>
          <w:rFonts w:eastAsia="等线"/>
          <w:kern w:val="2"/>
          <w:lang w:eastAsia="zh-CN"/>
        </w:rPr>
        <w:t>) was added to each well, and incubation was continued in the incubator for 4 h. MTT was discarded from the 96-well plate, and 150 μL of DMSO was added and shaken, to fully dissolve the mezanine in the wells, and then finally the absorbance luminance value of 490 nm was read with the zymography. Finally, the absorption luminosity value at 490 nm was read using an enzyme marker, and the IC50 value of half inhibitory concentration was calculated.</w:t>
      </w:r>
    </w:p>
    <w:p w14:paraId="78650AB5" w14:textId="5D45CDC8" w:rsidR="00586AB3" w:rsidRPr="00586AB3" w:rsidRDefault="00586AB3" w:rsidP="006E44C3">
      <w:pPr>
        <w:widowControl w:val="0"/>
        <w:spacing w:beforeLines="50" w:before="156" w:afterLines="50" w:after="156" w:line="360" w:lineRule="auto"/>
        <w:jc w:val="both"/>
        <w:rPr>
          <w:rFonts w:eastAsia="等线"/>
          <w:b/>
          <w:bCs/>
          <w:kern w:val="2"/>
          <w:lang w:val="en-US"/>
        </w:rPr>
      </w:pPr>
      <w:r w:rsidRPr="00586AB3">
        <w:rPr>
          <w:rFonts w:eastAsia="等线"/>
          <w:b/>
          <w:bCs/>
          <w:kern w:val="2"/>
          <w:lang w:val="en-US"/>
        </w:rPr>
        <w:t>3. Tumor models</w:t>
      </w:r>
    </w:p>
    <w:p w14:paraId="5758B8BD" w14:textId="5B7D3B89" w:rsidR="00586AB3" w:rsidRPr="00586AB3" w:rsidRDefault="00586AB3" w:rsidP="00586AB3">
      <w:pPr>
        <w:widowControl w:val="0"/>
        <w:spacing w:beforeLines="50" w:before="156" w:afterLines="50" w:after="156" w:line="360" w:lineRule="auto"/>
        <w:jc w:val="both"/>
        <w:rPr>
          <w:rFonts w:eastAsia="等线"/>
          <w:b/>
          <w:bCs/>
          <w:kern w:val="2"/>
          <w:lang w:val="en-US" w:eastAsia="zh-CN"/>
        </w:rPr>
      </w:pPr>
      <w:r w:rsidRPr="00586AB3">
        <w:rPr>
          <w:rFonts w:eastAsia="等线"/>
          <w:b/>
          <w:bCs/>
          <w:kern w:val="2"/>
          <w:lang w:val="en-US"/>
        </w:rPr>
        <w:t>3.1</w:t>
      </w:r>
      <w:r w:rsidRPr="00586AB3">
        <w:rPr>
          <w:rFonts w:eastAsia="等线"/>
          <w:b/>
          <w:bCs/>
          <w:kern w:val="2"/>
          <w:lang w:val="en-US" w:eastAsia="zh-CN"/>
        </w:rPr>
        <w:t xml:space="preserve"> </w:t>
      </w:r>
      <w:r w:rsidRPr="00586AB3">
        <w:rPr>
          <w:rFonts w:eastAsia="等线"/>
          <w:b/>
          <w:bCs/>
          <w:kern w:val="2"/>
          <w:lang w:val="en-US"/>
        </w:rPr>
        <w:t>In vivo pharmacokinetics of Ir-cR8-BSA-NP</w:t>
      </w:r>
      <w:r w:rsidR="00CA0066">
        <w:rPr>
          <w:rFonts w:eastAsia="等线" w:hint="eastAsia"/>
          <w:b/>
          <w:bCs/>
          <w:kern w:val="2"/>
          <w:lang w:val="en-US" w:eastAsia="zh-CN"/>
        </w:rPr>
        <w:t>s</w:t>
      </w:r>
    </w:p>
    <w:p w14:paraId="0E5B233C" w14:textId="0DB6D6A9"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lastRenderedPageBreak/>
        <w:t xml:space="preserve">(1) For serum preparation, 100 </w:t>
      </w:r>
      <w:proofErr w:type="spellStart"/>
      <w:r w:rsidRPr="006E44C3">
        <w:rPr>
          <w:rFonts w:eastAsia="等线"/>
          <w:lang w:val="en-US" w:eastAsia="zh-CN"/>
        </w:rPr>
        <w:t>μL</w:t>
      </w:r>
      <w:proofErr w:type="spellEnd"/>
      <w:r w:rsidRPr="006E44C3">
        <w:rPr>
          <w:rFonts w:eastAsia="等线"/>
          <w:lang w:val="en-US" w:eastAsia="zh-CN"/>
        </w:rPr>
        <w:t xml:space="preserve"> of 1× pH 7.4 PBS buffer, Ir-cR8 (500 μM) or Ir-cR8-BSA-NP</w:t>
      </w:r>
      <w:r w:rsidR="00CA0066">
        <w:rPr>
          <w:rFonts w:eastAsia="等线" w:hint="eastAsia"/>
          <w:lang w:val="en-US" w:eastAsia="zh-CN"/>
        </w:rPr>
        <w:t>s</w:t>
      </w:r>
      <w:r w:rsidRPr="006E44C3">
        <w:rPr>
          <w:rFonts w:eastAsia="等线"/>
          <w:lang w:val="en-US" w:eastAsia="zh-CN"/>
        </w:rPr>
        <w:t xml:space="preserve"> (500 μM) </w:t>
      </w:r>
      <w:proofErr w:type="gramStart"/>
      <w:r w:rsidRPr="006E44C3">
        <w:rPr>
          <w:rFonts w:eastAsia="等线"/>
          <w:lang w:val="en-US" w:eastAsia="zh-CN"/>
        </w:rPr>
        <w:t>was</w:t>
      </w:r>
      <w:proofErr w:type="gramEnd"/>
      <w:r w:rsidRPr="006E44C3">
        <w:rPr>
          <w:rFonts w:eastAsia="等线"/>
          <w:lang w:val="en-US" w:eastAsia="zh-CN"/>
        </w:rPr>
        <w:t xml:space="preserve"> added by tail vein injection to 6- to 8-week-old BALB/c mice. For the Ir-cR8 group, blood was collected from the eye at 0.017, 1.5, 4, 8, 24 and 48 hours post injection. For the Ir-cR8-BSA-NP</w:t>
      </w:r>
      <w:r w:rsidR="00CA0066">
        <w:rPr>
          <w:rFonts w:eastAsia="等线" w:hint="eastAsia"/>
          <w:lang w:val="en-US" w:eastAsia="zh-CN"/>
        </w:rPr>
        <w:t>s</w:t>
      </w:r>
      <w:r w:rsidRPr="006E44C3">
        <w:rPr>
          <w:rFonts w:eastAsia="等线"/>
          <w:lang w:val="en-US" w:eastAsia="zh-CN"/>
        </w:rPr>
        <w:t xml:space="preserve"> group, blood was collected at 1.5, 4, 8, 24 and 48 hours post injection. Three mice were collected at each time point. Serum was collected after centrifugation (10,000 rpm, 8 min).</w:t>
      </w:r>
    </w:p>
    <w:p w14:paraId="5963766F" w14:textId="77777777" w:rsidR="006E44C3" w:rsidRP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hint="eastAsia"/>
          <w:lang w:val="en-US" w:eastAsia="zh-CN"/>
        </w:rPr>
        <w:t xml:space="preserve">(2) For serum sample processing, 100 </w:t>
      </w:r>
      <w:r w:rsidRPr="006E44C3">
        <w:rPr>
          <w:rFonts w:eastAsia="等线" w:hint="eastAsia"/>
          <w:lang w:val="en-US" w:eastAsia="zh-CN"/>
        </w:rPr>
        <w:t>μ</w:t>
      </w:r>
      <w:r w:rsidRPr="006E44C3">
        <w:rPr>
          <w:rFonts w:eastAsia="等线" w:hint="eastAsia"/>
          <w:lang w:val="en-US" w:eastAsia="zh-CN"/>
        </w:rPr>
        <w:t xml:space="preserve">L of the supernatant was collected, to which 1 mL of perchloric acid and 4 mL of aqua regia (hydrochloric acid: nitric acid = 3:1, v/v) were added sequentially. The mixture was heated to 260 </w:t>
      </w:r>
      <w:r w:rsidRPr="006E44C3">
        <w:rPr>
          <w:rFonts w:eastAsia="等线" w:hint="eastAsia"/>
          <w:lang w:val="en-US" w:eastAsia="zh-CN"/>
        </w:rPr>
        <w:t>℃</w:t>
      </w:r>
      <w:r w:rsidRPr="006E44C3">
        <w:rPr>
          <w:rFonts w:eastAsia="等线" w:hint="eastAsia"/>
          <w:lang w:val="en-US" w:eastAsia="zh-CN"/>
        </w:rPr>
        <w:t xml:space="preserve"> until digestion was compl</w:t>
      </w:r>
      <w:r w:rsidRPr="006E44C3">
        <w:rPr>
          <w:rFonts w:eastAsia="等线"/>
          <w:lang w:val="en-US" w:eastAsia="zh-CN"/>
        </w:rPr>
        <w:t xml:space="preserve">ete and the liquid residue was approximately 1 </w:t>
      </w:r>
      <w:proofErr w:type="spellStart"/>
      <w:r w:rsidRPr="006E44C3">
        <w:rPr>
          <w:rFonts w:eastAsia="等线"/>
          <w:lang w:val="en-US" w:eastAsia="zh-CN"/>
        </w:rPr>
        <w:t>mL.</w:t>
      </w:r>
      <w:proofErr w:type="spellEnd"/>
      <w:r w:rsidRPr="006E44C3">
        <w:rPr>
          <w:rFonts w:eastAsia="等线"/>
          <w:lang w:val="en-US" w:eastAsia="zh-CN"/>
        </w:rPr>
        <w:t xml:space="preserve"> Sterile ultrapure water was added to bring the total volume to 10 </w:t>
      </w:r>
      <w:proofErr w:type="spellStart"/>
      <w:r w:rsidRPr="006E44C3">
        <w:rPr>
          <w:rFonts w:eastAsia="等线"/>
          <w:lang w:val="en-US" w:eastAsia="zh-CN"/>
        </w:rPr>
        <w:t>mL.</w:t>
      </w:r>
      <w:proofErr w:type="spellEnd"/>
    </w:p>
    <w:p w14:paraId="679E2B4A" w14:textId="77777777" w:rsidR="006E44C3" w:rsidRDefault="006E44C3" w:rsidP="006E44C3">
      <w:pPr>
        <w:widowControl w:val="0"/>
        <w:spacing w:beforeLines="50" w:before="156" w:afterLines="50" w:after="156" w:line="360" w:lineRule="auto"/>
        <w:jc w:val="both"/>
        <w:rPr>
          <w:rFonts w:eastAsia="等线"/>
          <w:lang w:val="en-US" w:eastAsia="zh-CN"/>
        </w:rPr>
      </w:pPr>
      <w:r w:rsidRPr="006E44C3">
        <w:rPr>
          <w:rFonts w:eastAsia="等线"/>
          <w:lang w:val="en-US" w:eastAsia="zh-CN"/>
        </w:rPr>
        <w:t>(3) Standard curve preparation and detection: The 1000 ppm standard solution was diluted with sterile ultrapure water to concentrations of 0.78125, 1.5625, 3.125, 6.25, 12.5, 25, 50 and 100 ppb, after which the standard curve equation was obtained. Finally, the iridium content in each group was measured by ICP-MS.</w:t>
      </w:r>
    </w:p>
    <w:p w14:paraId="27ACD756" w14:textId="5E73DC75" w:rsidR="00586AB3" w:rsidRPr="00586AB3" w:rsidRDefault="00586AB3" w:rsidP="006E44C3">
      <w:pPr>
        <w:widowControl w:val="0"/>
        <w:spacing w:beforeLines="50" w:before="156" w:afterLines="50" w:after="156" w:line="360" w:lineRule="auto"/>
        <w:jc w:val="both"/>
        <w:rPr>
          <w:rFonts w:eastAsia="等线"/>
          <w:b/>
          <w:bCs/>
          <w:kern w:val="2"/>
          <w:lang w:val="en-US" w:eastAsia="zh-CN"/>
        </w:rPr>
      </w:pPr>
      <w:r w:rsidRPr="00586AB3">
        <w:rPr>
          <w:rFonts w:eastAsia="等线"/>
          <w:b/>
          <w:bCs/>
          <w:kern w:val="2"/>
          <w:lang w:val="en-US" w:eastAsia="zh-CN"/>
        </w:rPr>
        <w:t xml:space="preserve">3.2 </w:t>
      </w:r>
      <w:r w:rsidRPr="00586AB3">
        <w:rPr>
          <w:rFonts w:eastAsia="等线"/>
          <w:b/>
          <w:bCs/>
          <w:kern w:val="2"/>
          <w:lang w:val="en-US"/>
        </w:rPr>
        <w:t>Arterial infusion dosage of Ir-cR8-BSA-NP</w:t>
      </w:r>
      <w:r w:rsidR="00CA0066">
        <w:rPr>
          <w:rFonts w:eastAsia="等线" w:hint="eastAsia"/>
          <w:b/>
          <w:bCs/>
          <w:kern w:val="2"/>
          <w:lang w:val="en-US" w:eastAsia="zh-CN"/>
        </w:rPr>
        <w:t>s</w:t>
      </w:r>
      <w:r w:rsidRPr="00586AB3">
        <w:rPr>
          <w:rFonts w:eastAsia="等线"/>
          <w:b/>
          <w:bCs/>
          <w:kern w:val="2"/>
          <w:lang w:val="en-US"/>
        </w:rPr>
        <w:t>/oxaliplatin</w:t>
      </w:r>
    </w:p>
    <w:p w14:paraId="085DC4F6" w14:textId="36F50B51" w:rsidR="006E44C3" w:rsidRDefault="006E44C3" w:rsidP="00586AB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t>According to the body surface area conversion formula, Dose(b) = Dose(a) × (kb/ka) × (Wb/</w:t>
      </w:r>
      <w:proofErr w:type="spellStart"/>
      <w:r w:rsidRPr="006E44C3">
        <w:rPr>
          <w:rFonts w:eastAsia="等线"/>
          <w:kern w:val="2"/>
          <w:lang w:val="en-US" w:eastAsia="zh-CN"/>
        </w:rPr>
        <w:t>Wa</w:t>
      </w:r>
      <w:proofErr w:type="spellEnd"/>
      <w:r w:rsidRPr="006E44C3">
        <w:rPr>
          <w:rFonts w:eastAsia="等线"/>
          <w:kern w:val="2"/>
          <w:lang w:val="en-US" w:eastAsia="zh-CN"/>
        </w:rPr>
        <w:t>)</w:t>
      </w:r>
      <w:r w:rsidR="00D50A28" w:rsidRPr="006E44C3" w:rsidDel="00D50A28">
        <w:rPr>
          <w:rFonts w:eastAsia="等线"/>
          <w:kern w:val="2"/>
          <w:lang w:val="en-US" w:eastAsia="zh-CN"/>
        </w:rPr>
        <w:t xml:space="preserve"> </w:t>
      </w:r>
      <w:r w:rsidRPr="00EF23F5">
        <w:rPr>
          <w:rFonts w:eastAsia="等线"/>
          <w:kern w:val="2"/>
          <w:vertAlign w:val="superscript"/>
          <w:lang w:val="en-US" w:eastAsia="zh-CN"/>
        </w:rPr>
        <w:t>(2/3)</w:t>
      </w:r>
      <w:r w:rsidRPr="006E44C3">
        <w:rPr>
          <w:rFonts w:eastAsia="等线"/>
          <w:kern w:val="2"/>
          <w:lang w:val="en-US" w:eastAsia="zh-CN"/>
        </w:rPr>
        <w:t>, the dosage for the arterial infusion treatment of Ir-cR8-BSA-NP</w:t>
      </w:r>
      <w:r w:rsidR="00CA0066">
        <w:rPr>
          <w:rFonts w:eastAsia="等线" w:hint="eastAsia"/>
          <w:kern w:val="2"/>
          <w:lang w:val="en-US" w:eastAsia="zh-CN"/>
        </w:rPr>
        <w:t>s</w:t>
      </w:r>
      <w:r w:rsidRPr="006E44C3">
        <w:rPr>
          <w:rFonts w:eastAsia="等线"/>
          <w:kern w:val="2"/>
          <w:lang w:val="en-US" w:eastAsia="zh-CN"/>
        </w:rPr>
        <w:t xml:space="preserve"> and oxaliplatin was calculated. Where Dose(a) is the known dose for animal a (mg/m2); Dose(b) is the desired dose for animal b (mg/m2); ka and kb are body surface area coefficients as shown in Table </w:t>
      </w:r>
      <w:r w:rsidR="00FA318D">
        <w:rPr>
          <w:rFonts w:eastAsia="等线" w:hint="eastAsia"/>
          <w:kern w:val="2"/>
          <w:lang w:val="en-US" w:eastAsia="zh-CN"/>
        </w:rPr>
        <w:t>S</w:t>
      </w:r>
      <w:r w:rsidRPr="006E44C3">
        <w:rPr>
          <w:rFonts w:eastAsia="等线"/>
          <w:kern w:val="2"/>
          <w:lang w:val="en-US" w:eastAsia="zh-CN"/>
        </w:rPr>
        <w:t xml:space="preserve">1; and </w:t>
      </w:r>
      <w:proofErr w:type="spellStart"/>
      <w:r w:rsidRPr="006E44C3">
        <w:rPr>
          <w:rFonts w:eastAsia="等线"/>
          <w:kern w:val="2"/>
          <w:lang w:val="en-US" w:eastAsia="zh-CN"/>
        </w:rPr>
        <w:t>Wa</w:t>
      </w:r>
      <w:proofErr w:type="spellEnd"/>
      <w:r w:rsidRPr="006E44C3">
        <w:rPr>
          <w:rFonts w:eastAsia="等线"/>
          <w:kern w:val="2"/>
          <w:lang w:val="en-US" w:eastAsia="zh-CN"/>
        </w:rPr>
        <w:t xml:space="preserve"> and Wb are the weights of the animals in kilograms.</w:t>
      </w:r>
    </w:p>
    <w:p w14:paraId="61B249E7" w14:textId="1C99D2DB" w:rsidR="00586AB3" w:rsidRPr="00586AB3" w:rsidRDefault="00586AB3" w:rsidP="00586AB3">
      <w:pPr>
        <w:widowControl w:val="0"/>
        <w:spacing w:beforeLines="50" w:before="156" w:afterLines="50" w:after="156" w:line="360" w:lineRule="auto"/>
        <w:jc w:val="both"/>
        <w:rPr>
          <w:rFonts w:eastAsia="等线"/>
          <w:b/>
          <w:bCs/>
          <w:kern w:val="2"/>
          <w:lang w:val="en-US" w:eastAsia="zh-CN"/>
        </w:rPr>
      </w:pPr>
      <w:r w:rsidRPr="00586AB3">
        <w:rPr>
          <w:rFonts w:eastAsia="等线"/>
          <w:b/>
          <w:bCs/>
          <w:kern w:val="2"/>
          <w:lang w:val="en-US" w:eastAsia="zh-CN"/>
        </w:rPr>
        <w:t>3.3 Arterial infusion treatment of VX2 orthotopic tumors with Ir-cR8-BSA-NP</w:t>
      </w:r>
      <w:r w:rsidR="00CA0066">
        <w:rPr>
          <w:rFonts w:eastAsia="等线" w:hint="eastAsia"/>
          <w:b/>
          <w:bCs/>
          <w:kern w:val="2"/>
          <w:lang w:val="en-US" w:eastAsia="zh-CN"/>
        </w:rPr>
        <w:t>s</w:t>
      </w:r>
      <w:r w:rsidRPr="00586AB3">
        <w:rPr>
          <w:rFonts w:eastAsia="等线"/>
          <w:b/>
          <w:bCs/>
          <w:kern w:val="2"/>
          <w:lang w:val="en-US" w:eastAsia="zh-CN"/>
        </w:rPr>
        <w:t>/oxaliplatin</w:t>
      </w:r>
    </w:p>
    <w:p w14:paraId="67C43DF8" w14:textId="724B3209" w:rsidR="00586AB3" w:rsidRPr="00586AB3" w:rsidRDefault="006E44C3" w:rsidP="00586AB3">
      <w:pPr>
        <w:widowControl w:val="0"/>
        <w:spacing w:beforeLines="50" w:before="156" w:afterLines="50" w:after="156" w:line="360" w:lineRule="auto"/>
        <w:jc w:val="both"/>
        <w:rPr>
          <w:rFonts w:eastAsia="等线"/>
          <w:kern w:val="2"/>
          <w:lang w:val="en-US" w:eastAsia="zh-CN"/>
        </w:rPr>
      </w:pPr>
      <w:r w:rsidRPr="006E44C3">
        <w:rPr>
          <w:rFonts w:eastAsia="等线"/>
          <w:kern w:val="2"/>
          <w:lang w:val="en-US" w:eastAsia="zh-CN"/>
        </w:rPr>
        <w:t xml:space="preserve">Rabbits were anesthetized intravenously with 3% pentobarbital sodium (30 </w:t>
      </w:r>
      <w:proofErr w:type="spellStart"/>
      <w:r w:rsidRPr="006E44C3">
        <w:rPr>
          <w:rFonts w:eastAsia="等线"/>
          <w:kern w:val="2"/>
          <w:lang w:val="en-US" w:eastAsia="zh-CN"/>
        </w:rPr>
        <w:t>mg·kg</w:t>
      </w:r>
      <w:proofErr w:type="spellEnd"/>
      <w:r w:rsidRPr="006E44C3">
        <w:rPr>
          <w:rFonts w:eastAsia="等线"/>
          <w:kern w:val="2"/>
          <w:lang w:val="en-US" w:eastAsia="zh-CN"/>
        </w:rPr>
        <w:t xml:space="preserve">^-1) via the marginal ear vein. The dose was maintained at 0.5 mL/30 min. The right inguinal area was prepared, disinfected, and draped. After identifying the femoral artery pulse, </w:t>
      </w:r>
      <w:r w:rsidRPr="006E44C3">
        <w:rPr>
          <w:rFonts w:eastAsia="等线"/>
          <w:kern w:val="2"/>
          <w:lang w:val="en-US" w:eastAsia="zh-CN"/>
        </w:rPr>
        <w:lastRenderedPageBreak/>
        <w:t xml:space="preserve">an incision was made along its course following longitudinal skin cutting. The femoral artery sheath was exposed by separating the subcutaneous and muscle tissues. Using a small vascular stripper, the femoral artery sheath was removed, exposing around 2 cm of the femoral artery. The near and far ends of the artery were then threaded with surgical sutures, and the near-end suture was tightened to temporarily block blood flow. Following successful puncture with an 18G needle, the needle core was removed, and a 2.6 F microcatheter was inserted into the sheath. </w:t>
      </w:r>
      <w:proofErr w:type="gramStart"/>
      <w:r w:rsidRPr="006E44C3">
        <w:rPr>
          <w:rFonts w:eastAsia="等线"/>
          <w:kern w:val="2"/>
          <w:lang w:val="en-US" w:eastAsia="zh-CN"/>
        </w:rPr>
        <w:t>Abdominal</w:t>
      </w:r>
      <w:proofErr w:type="gramEnd"/>
      <w:r w:rsidRPr="006E44C3">
        <w:rPr>
          <w:rFonts w:eastAsia="等线"/>
          <w:kern w:val="2"/>
          <w:lang w:val="en-US" w:eastAsia="zh-CN"/>
        </w:rPr>
        <w:t xml:space="preserve"> angiography was performed at the T12-L1 level to confirm the opening of the hepatic artery. Selective catheterization was then carried out on the proper hepatic artery/left hepatic artery. Following confirmation of adequate tumor imaging through digital subtraction angiography (DSA), PBS, Ir-cR8-BSA-NP</w:t>
      </w:r>
      <w:r w:rsidR="00CA0066">
        <w:rPr>
          <w:rFonts w:eastAsia="等线" w:hint="eastAsia"/>
          <w:kern w:val="2"/>
          <w:lang w:val="en-US" w:eastAsia="zh-CN"/>
        </w:rPr>
        <w:t>s</w:t>
      </w:r>
      <w:r w:rsidRPr="006E44C3">
        <w:rPr>
          <w:rFonts w:eastAsia="等线"/>
          <w:kern w:val="2"/>
          <w:lang w:val="en-US" w:eastAsia="zh-CN"/>
        </w:rPr>
        <w:t>, and oxaliplatin were injected through the catheter. Following the procedure, the microcatheter and sheath were removed, and the femoral artery was ligated and sutured layer by layer. Postoperatively, penicillin sodium (40 WU/d) was administered intramuscularly for three consecutive days to prevent infection.</w:t>
      </w:r>
    </w:p>
    <w:p w14:paraId="3293AE69" w14:textId="733FF627" w:rsidR="002B05C2" w:rsidRDefault="002B05C2" w:rsidP="002B05C2">
      <w:pPr>
        <w:widowControl w:val="0"/>
        <w:spacing w:beforeLines="50" w:before="156" w:afterLines="50" w:after="156" w:line="360" w:lineRule="auto"/>
        <w:jc w:val="both"/>
        <w:rPr>
          <w:rFonts w:eastAsia="等线"/>
          <w:b/>
          <w:bCs/>
          <w:kern w:val="2"/>
          <w:lang w:val="en-US" w:eastAsia="zh-CN"/>
        </w:rPr>
      </w:pPr>
    </w:p>
    <w:p w14:paraId="4A06AF2A" w14:textId="67E4E176" w:rsidR="00586AB3" w:rsidRDefault="00586AB3" w:rsidP="002B05C2">
      <w:pPr>
        <w:widowControl w:val="0"/>
        <w:spacing w:beforeLines="50" w:before="156" w:afterLines="50" w:after="156" w:line="360" w:lineRule="auto"/>
        <w:jc w:val="both"/>
        <w:rPr>
          <w:rFonts w:eastAsia="等线"/>
          <w:b/>
          <w:bCs/>
          <w:kern w:val="2"/>
          <w:lang w:val="en-US"/>
        </w:rPr>
      </w:pPr>
      <w:r w:rsidRPr="00586AB3">
        <w:rPr>
          <w:rFonts w:eastAsia="等线"/>
          <w:b/>
          <w:bCs/>
          <w:kern w:val="2"/>
          <w:lang w:val="en-US"/>
        </w:rPr>
        <w:t>Appendix Figure:</w:t>
      </w:r>
    </w:p>
    <w:p w14:paraId="06B5B136" w14:textId="2F1044B1" w:rsidR="002B05C2" w:rsidRDefault="002B05C2" w:rsidP="00586AB3">
      <w:pPr>
        <w:widowControl w:val="0"/>
        <w:spacing w:beforeLines="50" w:before="156" w:afterLines="50" w:after="156" w:line="360" w:lineRule="auto"/>
        <w:jc w:val="both"/>
        <w:rPr>
          <w:rFonts w:eastAsia="等线"/>
          <w:b/>
          <w:bCs/>
          <w:kern w:val="2"/>
          <w:lang w:val="en-US"/>
        </w:rPr>
      </w:pPr>
    </w:p>
    <w:p w14:paraId="3DDE1E02" w14:textId="23D77FF5" w:rsidR="00744B67" w:rsidRDefault="00744B67" w:rsidP="00586AB3">
      <w:pPr>
        <w:widowControl w:val="0"/>
        <w:spacing w:beforeLines="50" w:before="156" w:afterLines="50" w:after="156" w:line="360" w:lineRule="auto"/>
        <w:jc w:val="both"/>
        <w:rPr>
          <w:rFonts w:eastAsia="等线"/>
          <w:b/>
          <w:bCs/>
          <w:kern w:val="2"/>
          <w:lang w:val="en-US"/>
        </w:rPr>
      </w:pPr>
    </w:p>
    <w:p w14:paraId="35C15953" w14:textId="1FB96632" w:rsidR="00744B67" w:rsidRDefault="00744B67" w:rsidP="00586AB3">
      <w:pPr>
        <w:widowControl w:val="0"/>
        <w:spacing w:beforeLines="50" w:before="156" w:afterLines="50" w:after="156" w:line="360" w:lineRule="auto"/>
        <w:jc w:val="both"/>
        <w:rPr>
          <w:rFonts w:eastAsia="等线"/>
          <w:b/>
          <w:bCs/>
          <w:kern w:val="2"/>
          <w:lang w:val="en-US"/>
        </w:rPr>
      </w:pPr>
    </w:p>
    <w:p w14:paraId="6EE99D27" w14:textId="44D24D3F" w:rsidR="00744B67" w:rsidRDefault="00744B67" w:rsidP="00586AB3">
      <w:pPr>
        <w:widowControl w:val="0"/>
        <w:spacing w:beforeLines="50" w:before="156" w:afterLines="50" w:after="156" w:line="360" w:lineRule="auto"/>
        <w:jc w:val="both"/>
        <w:rPr>
          <w:rFonts w:eastAsia="等线"/>
          <w:b/>
          <w:bCs/>
          <w:kern w:val="2"/>
          <w:lang w:val="en-US"/>
        </w:rPr>
      </w:pPr>
    </w:p>
    <w:p w14:paraId="041843D4" w14:textId="77777777" w:rsidR="00BD748F" w:rsidRDefault="00BD748F" w:rsidP="00955B7B">
      <w:pPr>
        <w:widowControl w:val="0"/>
        <w:spacing w:beforeLines="50" w:before="156" w:afterLines="50" w:after="156" w:line="360" w:lineRule="auto"/>
        <w:jc w:val="both"/>
        <w:rPr>
          <w:rFonts w:eastAsia="等线"/>
          <w:b/>
          <w:bCs/>
          <w:kern w:val="2"/>
          <w:lang w:eastAsia="zh-CN"/>
        </w:rPr>
      </w:pPr>
    </w:p>
    <w:p w14:paraId="33C2CD9E" w14:textId="77777777" w:rsidR="00BD748F" w:rsidRDefault="00BD748F" w:rsidP="00955B7B">
      <w:pPr>
        <w:widowControl w:val="0"/>
        <w:spacing w:beforeLines="50" w:before="156" w:afterLines="50" w:after="156" w:line="360" w:lineRule="auto"/>
        <w:jc w:val="both"/>
        <w:rPr>
          <w:rFonts w:eastAsia="等线"/>
          <w:b/>
          <w:bCs/>
          <w:kern w:val="2"/>
          <w:lang w:eastAsia="zh-CN"/>
        </w:rPr>
      </w:pPr>
    </w:p>
    <w:p w14:paraId="58068BBD" w14:textId="18C1C95C" w:rsidR="00FA318D" w:rsidRPr="00586AB3" w:rsidRDefault="00955B7B" w:rsidP="00955B7B">
      <w:pPr>
        <w:widowControl w:val="0"/>
        <w:spacing w:beforeLines="50" w:before="156" w:afterLines="50" w:after="156" w:line="360" w:lineRule="auto"/>
        <w:jc w:val="both"/>
        <w:rPr>
          <w:rFonts w:eastAsia="等线"/>
          <w:b/>
          <w:bCs/>
          <w:kern w:val="2"/>
          <w:lang w:val="en-US" w:eastAsia="zh-CN"/>
        </w:rPr>
      </w:pPr>
      <w:r>
        <w:rPr>
          <w:rFonts w:eastAsia="等线" w:hint="eastAsia"/>
          <w:b/>
          <w:bCs/>
          <w:kern w:val="2"/>
          <w:lang w:eastAsia="zh-CN"/>
        </w:rPr>
        <w:t>Table S1:</w:t>
      </w:r>
      <w:r w:rsidR="00FA318D" w:rsidRPr="00586AB3">
        <w:rPr>
          <w:rFonts w:eastAsia="等线"/>
          <w:b/>
          <w:bCs/>
          <w:kern w:val="2"/>
          <w:lang w:val="en-US" w:eastAsia="zh-CN"/>
        </w:rPr>
        <w:t>Body surface area coefficients (k) for different animals.</w:t>
      </w:r>
    </w:p>
    <w:tbl>
      <w:tblPr>
        <w:tblStyle w:val="ae"/>
        <w:tblpPr w:leftFromText="180" w:rightFromText="180" w:horzAnchor="page" w:tblpX="317" w:tblpY="-13942"/>
        <w:tblW w:w="11482" w:type="dxa"/>
        <w:tblLayout w:type="fixed"/>
        <w:tblLook w:val="04A0" w:firstRow="1" w:lastRow="0" w:firstColumn="1" w:lastColumn="0" w:noHBand="0" w:noVBand="1"/>
      </w:tblPr>
      <w:tblGrid>
        <w:gridCol w:w="2127"/>
        <w:gridCol w:w="1134"/>
        <w:gridCol w:w="1134"/>
        <w:gridCol w:w="992"/>
        <w:gridCol w:w="992"/>
        <w:gridCol w:w="992"/>
        <w:gridCol w:w="993"/>
        <w:gridCol w:w="992"/>
        <w:gridCol w:w="1134"/>
        <w:gridCol w:w="992"/>
      </w:tblGrid>
      <w:tr w:rsidR="00FA318D" w:rsidRPr="00586AB3" w14:paraId="1A09E18F" w14:textId="77777777" w:rsidTr="00955B7B">
        <w:trPr>
          <w:trHeight w:val="853"/>
        </w:trPr>
        <w:tc>
          <w:tcPr>
            <w:tcW w:w="2127" w:type="dxa"/>
            <w:vAlign w:val="center"/>
          </w:tcPr>
          <w:p w14:paraId="0E2BC640"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lastRenderedPageBreak/>
              <w:t>Animals (standard weight).</w:t>
            </w:r>
          </w:p>
        </w:tc>
        <w:tc>
          <w:tcPr>
            <w:tcW w:w="1134" w:type="dxa"/>
            <w:vAlign w:val="center"/>
          </w:tcPr>
          <w:p w14:paraId="40615101"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Mouse</w:t>
            </w:r>
          </w:p>
        </w:tc>
        <w:tc>
          <w:tcPr>
            <w:tcW w:w="1134" w:type="dxa"/>
            <w:vAlign w:val="center"/>
          </w:tcPr>
          <w:p w14:paraId="706D5F57"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Hamster</w:t>
            </w:r>
          </w:p>
        </w:tc>
        <w:tc>
          <w:tcPr>
            <w:tcW w:w="992" w:type="dxa"/>
            <w:vAlign w:val="center"/>
          </w:tcPr>
          <w:p w14:paraId="2EEF6D7D"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Rat</w:t>
            </w:r>
          </w:p>
        </w:tc>
        <w:tc>
          <w:tcPr>
            <w:tcW w:w="992" w:type="dxa"/>
            <w:vAlign w:val="center"/>
          </w:tcPr>
          <w:p w14:paraId="32482901"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Guinea pig</w:t>
            </w:r>
          </w:p>
        </w:tc>
        <w:tc>
          <w:tcPr>
            <w:tcW w:w="992" w:type="dxa"/>
            <w:vAlign w:val="center"/>
          </w:tcPr>
          <w:p w14:paraId="1559E7FA"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Rabbit</w:t>
            </w:r>
          </w:p>
        </w:tc>
        <w:tc>
          <w:tcPr>
            <w:tcW w:w="993" w:type="dxa"/>
            <w:vAlign w:val="center"/>
          </w:tcPr>
          <w:p w14:paraId="352528C7"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Cat</w:t>
            </w:r>
          </w:p>
        </w:tc>
        <w:tc>
          <w:tcPr>
            <w:tcW w:w="992" w:type="dxa"/>
            <w:vAlign w:val="center"/>
          </w:tcPr>
          <w:p w14:paraId="6D9A34A7"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Dog</w:t>
            </w:r>
          </w:p>
        </w:tc>
        <w:tc>
          <w:tcPr>
            <w:tcW w:w="1134" w:type="dxa"/>
            <w:vAlign w:val="center"/>
          </w:tcPr>
          <w:p w14:paraId="4FE2ED1E"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Monkey</w:t>
            </w:r>
          </w:p>
        </w:tc>
        <w:tc>
          <w:tcPr>
            <w:tcW w:w="992" w:type="dxa"/>
            <w:vAlign w:val="center"/>
          </w:tcPr>
          <w:p w14:paraId="4FAF7AE1"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Human</w:t>
            </w:r>
          </w:p>
        </w:tc>
      </w:tr>
      <w:tr w:rsidR="00FA318D" w:rsidRPr="00586AB3" w14:paraId="4D697061" w14:textId="77777777" w:rsidTr="00BD748F">
        <w:trPr>
          <w:trHeight w:val="1284"/>
        </w:trPr>
        <w:tc>
          <w:tcPr>
            <w:tcW w:w="2127" w:type="dxa"/>
            <w:vAlign w:val="center"/>
          </w:tcPr>
          <w:p w14:paraId="081ED9EF"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body surface area coefficient</w:t>
            </w:r>
          </w:p>
        </w:tc>
        <w:tc>
          <w:tcPr>
            <w:tcW w:w="1134" w:type="dxa"/>
            <w:vAlign w:val="center"/>
          </w:tcPr>
          <w:p w14:paraId="229B5508"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0.0899</w:t>
            </w:r>
          </w:p>
        </w:tc>
        <w:tc>
          <w:tcPr>
            <w:tcW w:w="1134" w:type="dxa"/>
            <w:vAlign w:val="center"/>
          </w:tcPr>
          <w:p w14:paraId="3C19D804"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0.0862</w:t>
            </w:r>
          </w:p>
        </w:tc>
        <w:tc>
          <w:tcPr>
            <w:tcW w:w="992" w:type="dxa"/>
            <w:vAlign w:val="center"/>
          </w:tcPr>
          <w:p w14:paraId="4680EF90"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0.086</w:t>
            </w:r>
          </w:p>
        </w:tc>
        <w:tc>
          <w:tcPr>
            <w:tcW w:w="992" w:type="dxa"/>
            <w:vAlign w:val="center"/>
          </w:tcPr>
          <w:p w14:paraId="5B73468C"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0.092</w:t>
            </w:r>
          </w:p>
        </w:tc>
        <w:tc>
          <w:tcPr>
            <w:tcW w:w="992" w:type="dxa"/>
            <w:vAlign w:val="center"/>
          </w:tcPr>
          <w:p w14:paraId="70663D87"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0.1014</w:t>
            </w:r>
          </w:p>
        </w:tc>
        <w:tc>
          <w:tcPr>
            <w:tcW w:w="993" w:type="dxa"/>
            <w:vAlign w:val="center"/>
          </w:tcPr>
          <w:p w14:paraId="1D5347A0"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0.1086</w:t>
            </w:r>
          </w:p>
        </w:tc>
        <w:tc>
          <w:tcPr>
            <w:tcW w:w="992" w:type="dxa"/>
            <w:vAlign w:val="center"/>
          </w:tcPr>
          <w:p w14:paraId="1EEF880A"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0.1077</w:t>
            </w:r>
          </w:p>
        </w:tc>
        <w:tc>
          <w:tcPr>
            <w:tcW w:w="1134" w:type="dxa"/>
            <w:vAlign w:val="center"/>
          </w:tcPr>
          <w:p w14:paraId="6642A2F9"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0.118</w:t>
            </w:r>
          </w:p>
        </w:tc>
        <w:tc>
          <w:tcPr>
            <w:tcW w:w="992" w:type="dxa"/>
            <w:vAlign w:val="center"/>
          </w:tcPr>
          <w:p w14:paraId="25732544" w14:textId="77777777" w:rsidR="00FA318D" w:rsidRPr="006E44C3" w:rsidRDefault="00FA318D" w:rsidP="00955B7B">
            <w:pPr>
              <w:spacing w:beforeLines="50" w:before="156" w:afterLines="50" w:after="156" w:line="360" w:lineRule="auto"/>
              <w:rPr>
                <w:rFonts w:ascii="Times New Roman" w:eastAsia="等线" w:hAnsi="Times New Roman" w:cs="Times New Roman"/>
                <w:kern w:val="2"/>
                <w:sz w:val="24"/>
                <w:lang w:val="en-US" w:eastAsia="zh-CN"/>
              </w:rPr>
            </w:pPr>
            <w:r w:rsidRPr="006E44C3">
              <w:rPr>
                <w:rFonts w:ascii="Times New Roman" w:eastAsia="等线" w:hAnsi="Times New Roman" w:cs="Times New Roman"/>
                <w:kern w:val="2"/>
                <w:sz w:val="24"/>
                <w:lang w:val="en-US" w:eastAsia="zh-CN"/>
              </w:rPr>
              <w:t>0.10</w:t>
            </w:r>
          </w:p>
        </w:tc>
      </w:tr>
    </w:tbl>
    <w:p w14:paraId="69AB43BA" w14:textId="04BD25F2" w:rsidR="00744B67" w:rsidRPr="00744B67" w:rsidRDefault="00744B67" w:rsidP="00586AB3">
      <w:pPr>
        <w:widowControl w:val="0"/>
        <w:spacing w:beforeLines="50" w:before="156" w:afterLines="50" w:after="156" w:line="360" w:lineRule="auto"/>
        <w:jc w:val="both"/>
        <w:rPr>
          <w:rFonts w:eastAsia="等线"/>
          <w:b/>
          <w:bCs/>
          <w:kern w:val="2"/>
          <w:lang w:val="en-US" w:eastAsia="zh-CN"/>
        </w:rPr>
      </w:pPr>
    </w:p>
    <w:p w14:paraId="77818CC5" w14:textId="77777777" w:rsidR="00A1425D" w:rsidRDefault="00A1425D" w:rsidP="00586AB3">
      <w:pPr>
        <w:widowControl w:val="0"/>
        <w:spacing w:beforeLines="50" w:before="156" w:afterLines="50" w:after="156" w:line="360" w:lineRule="auto"/>
        <w:jc w:val="both"/>
        <w:rPr>
          <w:rFonts w:eastAsia="等线"/>
          <w:b/>
          <w:bCs/>
          <w:kern w:val="2"/>
          <w:lang w:val="en-US" w:eastAsia="zh-CN"/>
        </w:rPr>
      </w:pPr>
    </w:p>
    <w:p w14:paraId="016C65EE" w14:textId="33265E77" w:rsidR="00A1425D" w:rsidRDefault="00FA318D" w:rsidP="00586AB3">
      <w:pPr>
        <w:widowControl w:val="0"/>
        <w:spacing w:beforeLines="50" w:before="156" w:afterLines="50" w:after="156" w:line="360" w:lineRule="auto"/>
        <w:jc w:val="both"/>
        <w:rPr>
          <w:rFonts w:eastAsia="等线"/>
          <w:b/>
          <w:bCs/>
          <w:kern w:val="2"/>
          <w:lang w:val="en-US" w:eastAsia="zh-CN"/>
        </w:rPr>
      </w:pPr>
      <w:r w:rsidRPr="00FA318D">
        <w:rPr>
          <w:rFonts w:eastAsia="等线"/>
          <w:b/>
          <w:bCs/>
          <w:kern w:val="2"/>
          <w:lang w:val="en-US" w:eastAsia="zh-CN"/>
        </w:rPr>
        <w:t xml:space="preserve">Table </w:t>
      </w:r>
      <w:r w:rsidRPr="00FA318D">
        <w:rPr>
          <w:rFonts w:eastAsia="等线" w:hint="eastAsia"/>
          <w:b/>
          <w:bCs/>
          <w:kern w:val="2"/>
          <w:lang w:val="en-US" w:eastAsia="zh-CN"/>
        </w:rPr>
        <w:t>S</w:t>
      </w:r>
      <w:r>
        <w:rPr>
          <w:rFonts w:eastAsia="等线" w:hint="eastAsia"/>
          <w:b/>
          <w:bCs/>
          <w:kern w:val="2"/>
          <w:lang w:val="en-US" w:eastAsia="zh-CN"/>
        </w:rPr>
        <w:t>2:</w:t>
      </w:r>
      <w:r w:rsidRPr="00FA318D">
        <w:t xml:space="preserve"> </w:t>
      </w:r>
      <w:r w:rsidRPr="00FA318D">
        <w:rPr>
          <w:rFonts w:eastAsia="等线"/>
          <w:b/>
          <w:bCs/>
          <w:kern w:val="2"/>
          <w:lang w:val="en-US" w:eastAsia="zh-CN"/>
        </w:rPr>
        <w:t>Blood biochemical changes in liver function in various groups of mice</w:t>
      </w:r>
    </w:p>
    <w:tbl>
      <w:tblPr>
        <w:tblStyle w:val="1"/>
        <w:tblpPr w:leftFromText="180" w:rightFromText="180" w:vertAnchor="text" w:horzAnchor="page" w:tblpX="459" w:tblpY="-32"/>
        <w:tblW w:w="10965" w:type="dxa"/>
        <w:tblLook w:val="04A0" w:firstRow="1" w:lastRow="0" w:firstColumn="1" w:lastColumn="0" w:noHBand="0" w:noVBand="1"/>
      </w:tblPr>
      <w:tblGrid>
        <w:gridCol w:w="1418"/>
        <w:gridCol w:w="747"/>
        <w:gridCol w:w="1162"/>
        <w:gridCol w:w="1289"/>
        <w:gridCol w:w="1162"/>
        <w:gridCol w:w="1162"/>
        <w:gridCol w:w="1355"/>
        <w:gridCol w:w="1381"/>
        <w:gridCol w:w="1289"/>
      </w:tblGrid>
      <w:tr w:rsidR="00FA318D" w14:paraId="6E007D1F" w14:textId="77777777" w:rsidTr="00EF23F5">
        <w:trPr>
          <w:trHeight w:val="669"/>
        </w:trPr>
        <w:tc>
          <w:tcPr>
            <w:tcW w:w="1418" w:type="dxa"/>
            <w:tcBorders>
              <w:left w:val="nil"/>
              <w:bottom w:val="single" w:sz="4" w:space="0" w:color="auto"/>
              <w:right w:val="nil"/>
            </w:tcBorders>
          </w:tcPr>
          <w:p w14:paraId="7F76D5D1" w14:textId="77777777" w:rsidR="00FA318D" w:rsidRDefault="00FA318D" w:rsidP="00FA318D">
            <w:pPr>
              <w:spacing w:before="120" w:after="120" w:line="400" w:lineRule="exact"/>
              <w:jc w:val="center"/>
              <w:rPr>
                <w:sz w:val="15"/>
                <w:szCs w:val="15"/>
              </w:rPr>
            </w:pPr>
          </w:p>
        </w:tc>
        <w:tc>
          <w:tcPr>
            <w:tcW w:w="747" w:type="dxa"/>
            <w:tcBorders>
              <w:left w:val="nil"/>
              <w:bottom w:val="single" w:sz="4" w:space="0" w:color="auto"/>
              <w:right w:val="nil"/>
            </w:tcBorders>
          </w:tcPr>
          <w:p w14:paraId="0CF59CA7" w14:textId="77777777" w:rsidR="00FA318D" w:rsidRDefault="00FA318D" w:rsidP="00FA318D">
            <w:pPr>
              <w:spacing w:before="120" w:after="120" w:line="400" w:lineRule="exact"/>
              <w:jc w:val="center"/>
              <w:rPr>
                <w:sz w:val="15"/>
                <w:szCs w:val="15"/>
              </w:rPr>
            </w:pPr>
          </w:p>
        </w:tc>
        <w:tc>
          <w:tcPr>
            <w:tcW w:w="1162" w:type="dxa"/>
            <w:tcBorders>
              <w:left w:val="nil"/>
              <w:bottom w:val="single" w:sz="4" w:space="0" w:color="auto"/>
              <w:right w:val="nil"/>
            </w:tcBorders>
          </w:tcPr>
          <w:p w14:paraId="45877188" w14:textId="77777777" w:rsidR="00FA318D" w:rsidRDefault="00FA318D" w:rsidP="00FA318D">
            <w:pPr>
              <w:spacing w:before="120" w:after="120" w:line="400" w:lineRule="exact"/>
              <w:jc w:val="center"/>
              <w:rPr>
                <w:sz w:val="15"/>
                <w:szCs w:val="15"/>
              </w:rPr>
            </w:pPr>
            <w:r>
              <w:rPr>
                <w:sz w:val="15"/>
                <w:szCs w:val="15"/>
              </w:rPr>
              <w:t>ALT(U/L)</w:t>
            </w:r>
          </w:p>
        </w:tc>
        <w:tc>
          <w:tcPr>
            <w:tcW w:w="1289" w:type="dxa"/>
            <w:tcBorders>
              <w:left w:val="nil"/>
              <w:bottom w:val="single" w:sz="4" w:space="0" w:color="auto"/>
              <w:right w:val="nil"/>
            </w:tcBorders>
          </w:tcPr>
          <w:p w14:paraId="781B5774" w14:textId="77777777" w:rsidR="00FA318D" w:rsidRDefault="00FA318D" w:rsidP="00FA318D">
            <w:pPr>
              <w:spacing w:before="120" w:after="120" w:line="400" w:lineRule="exact"/>
              <w:jc w:val="center"/>
              <w:rPr>
                <w:sz w:val="15"/>
                <w:szCs w:val="15"/>
              </w:rPr>
            </w:pPr>
            <w:r>
              <w:rPr>
                <w:sz w:val="15"/>
                <w:szCs w:val="15"/>
              </w:rPr>
              <w:t>AST(U/L)</w:t>
            </w:r>
          </w:p>
        </w:tc>
        <w:tc>
          <w:tcPr>
            <w:tcW w:w="1162" w:type="dxa"/>
            <w:tcBorders>
              <w:left w:val="nil"/>
              <w:bottom w:val="single" w:sz="4" w:space="0" w:color="auto"/>
              <w:right w:val="nil"/>
            </w:tcBorders>
          </w:tcPr>
          <w:p w14:paraId="4BF6F04E" w14:textId="77777777" w:rsidR="00FA318D" w:rsidRDefault="00FA318D" w:rsidP="00FA318D">
            <w:pPr>
              <w:spacing w:before="120" w:after="120" w:line="400" w:lineRule="exact"/>
              <w:jc w:val="center"/>
              <w:rPr>
                <w:sz w:val="15"/>
                <w:szCs w:val="15"/>
              </w:rPr>
            </w:pPr>
            <w:r>
              <w:rPr>
                <w:sz w:val="15"/>
                <w:szCs w:val="15"/>
              </w:rPr>
              <w:t>TP(g/L)</w:t>
            </w:r>
          </w:p>
        </w:tc>
        <w:tc>
          <w:tcPr>
            <w:tcW w:w="1162" w:type="dxa"/>
            <w:tcBorders>
              <w:left w:val="nil"/>
              <w:bottom w:val="single" w:sz="4" w:space="0" w:color="auto"/>
              <w:right w:val="nil"/>
            </w:tcBorders>
          </w:tcPr>
          <w:p w14:paraId="5B6DC138" w14:textId="77777777" w:rsidR="00FA318D" w:rsidRDefault="00FA318D" w:rsidP="00FA318D">
            <w:pPr>
              <w:spacing w:before="120" w:after="120" w:line="400" w:lineRule="exact"/>
              <w:jc w:val="center"/>
              <w:rPr>
                <w:sz w:val="15"/>
                <w:szCs w:val="15"/>
              </w:rPr>
            </w:pPr>
            <w:r>
              <w:rPr>
                <w:sz w:val="15"/>
                <w:szCs w:val="15"/>
              </w:rPr>
              <w:t>ALB(g/L)</w:t>
            </w:r>
          </w:p>
        </w:tc>
        <w:tc>
          <w:tcPr>
            <w:tcW w:w="1355" w:type="dxa"/>
            <w:tcBorders>
              <w:left w:val="nil"/>
              <w:bottom w:val="single" w:sz="4" w:space="0" w:color="auto"/>
              <w:right w:val="nil"/>
            </w:tcBorders>
          </w:tcPr>
          <w:p w14:paraId="1C9A55DE" w14:textId="77777777" w:rsidR="00FA318D" w:rsidRDefault="00FA318D" w:rsidP="00FA318D">
            <w:pPr>
              <w:spacing w:before="120" w:after="120" w:line="400" w:lineRule="exact"/>
              <w:jc w:val="center"/>
              <w:rPr>
                <w:sz w:val="15"/>
                <w:szCs w:val="15"/>
              </w:rPr>
            </w:pPr>
            <w:r>
              <w:rPr>
                <w:sz w:val="15"/>
                <w:szCs w:val="15"/>
              </w:rPr>
              <w:t>TBIL(</w:t>
            </w:r>
            <w:r>
              <w:rPr>
                <w:rFonts w:ascii="Symbol" w:hAnsi="Symbol" w:hint="eastAsia"/>
                <w:sz w:val="15"/>
                <w:szCs w:val="15"/>
              </w:rPr>
              <w:t>m</w:t>
            </w:r>
            <w:r>
              <w:rPr>
                <w:sz w:val="15"/>
                <w:szCs w:val="15"/>
              </w:rPr>
              <w:t>mol/L)</w:t>
            </w:r>
          </w:p>
        </w:tc>
        <w:tc>
          <w:tcPr>
            <w:tcW w:w="1381" w:type="dxa"/>
            <w:tcBorders>
              <w:left w:val="nil"/>
              <w:bottom w:val="single" w:sz="4" w:space="0" w:color="auto"/>
              <w:right w:val="nil"/>
            </w:tcBorders>
          </w:tcPr>
          <w:p w14:paraId="67DCD4ED" w14:textId="77777777" w:rsidR="00FA318D" w:rsidRDefault="00FA318D" w:rsidP="00FA318D">
            <w:pPr>
              <w:spacing w:before="120" w:after="120" w:line="400" w:lineRule="exact"/>
              <w:jc w:val="center"/>
              <w:rPr>
                <w:sz w:val="15"/>
                <w:szCs w:val="15"/>
              </w:rPr>
            </w:pPr>
            <w:r>
              <w:rPr>
                <w:sz w:val="15"/>
                <w:szCs w:val="15"/>
              </w:rPr>
              <w:t>ALP(U/L)</w:t>
            </w:r>
          </w:p>
        </w:tc>
        <w:tc>
          <w:tcPr>
            <w:tcW w:w="1289" w:type="dxa"/>
            <w:tcBorders>
              <w:left w:val="nil"/>
              <w:bottom w:val="single" w:sz="4" w:space="0" w:color="auto"/>
              <w:right w:val="nil"/>
            </w:tcBorders>
          </w:tcPr>
          <w:p w14:paraId="1DE1798B" w14:textId="77777777" w:rsidR="00FA318D" w:rsidRDefault="00FA318D" w:rsidP="00FA318D">
            <w:pPr>
              <w:spacing w:before="120" w:after="120" w:line="400" w:lineRule="exact"/>
              <w:jc w:val="center"/>
              <w:rPr>
                <w:sz w:val="15"/>
                <w:szCs w:val="15"/>
              </w:rPr>
            </w:pPr>
            <w:r>
              <w:rPr>
                <w:sz w:val="15"/>
                <w:szCs w:val="15"/>
              </w:rPr>
              <w:t>LDH(U/L)</w:t>
            </w:r>
          </w:p>
        </w:tc>
      </w:tr>
      <w:tr w:rsidR="00FA318D" w14:paraId="72B879D8" w14:textId="77777777" w:rsidTr="00EF23F5">
        <w:trPr>
          <w:trHeight w:val="663"/>
        </w:trPr>
        <w:tc>
          <w:tcPr>
            <w:tcW w:w="1418" w:type="dxa"/>
            <w:tcBorders>
              <w:top w:val="single" w:sz="4" w:space="0" w:color="auto"/>
              <w:left w:val="nil"/>
              <w:bottom w:val="nil"/>
              <w:right w:val="nil"/>
            </w:tcBorders>
          </w:tcPr>
          <w:p w14:paraId="23CCEDDF" w14:textId="77777777" w:rsidR="00FA318D" w:rsidRDefault="00FA318D" w:rsidP="00FA318D">
            <w:pPr>
              <w:spacing w:before="120" w:after="120" w:line="400" w:lineRule="exact"/>
              <w:jc w:val="center"/>
              <w:rPr>
                <w:sz w:val="15"/>
                <w:szCs w:val="15"/>
              </w:rPr>
            </w:pPr>
            <w:r>
              <w:rPr>
                <w:sz w:val="15"/>
                <w:szCs w:val="15"/>
              </w:rPr>
              <w:t>Healthy control</w:t>
            </w:r>
          </w:p>
        </w:tc>
        <w:tc>
          <w:tcPr>
            <w:tcW w:w="747" w:type="dxa"/>
            <w:tcBorders>
              <w:top w:val="single" w:sz="4" w:space="0" w:color="auto"/>
              <w:left w:val="nil"/>
              <w:bottom w:val="nil"/>
              <w:right w:val="nil"/>
            </w:tcBorders>
          </w:tcPr>
          <w:p w14:paraId="07CE552A" w14:textId="77777777" w:rsidR="00FA318D" w:rsidRDefault="00FA318D" w:rsidP="00FA318D">
            <w:pPr>
              <w:spacing w:before="120" w:after="120" w:line="400" w:lineRule="exact"/>
              <w:jc w:val="center"/>
              <w:rPr>
                <w:sz w:val="15"/>
                <w:szCs w:val="15"/>
              </w:rPr>
            </w:pPr>
          </w:p>
        </w:tc>
        <w:tc>
          <w:tcPr>
            <w:tcW w:w="1162" w:type="dxa"/>
            <w:tcBorders>
              <w:top w:val="single" w:sz="4" w:space="0" w:color="auto"/>
              <w:left w:val="nil"/>
              <w:bottom w:val="nil"/>
              <w:right w:val="nil"/>
            </w:tcBorders>
          </w:tcPr>
          <w:p w14:paraId="11A5D4DF" w14:textId="77777777" w:rsidR="00FA318D" w:rsidRDefault="00FA318D" w:rsidP="00FA318D">
            <w:pPr>
              <w:spacing w:before="120" w:after="120" w:line="400" w:lineRule="exact"/>
              <w:jc w:val="center"/>
              <w:rPr>
                <w:sz w:val="15"/>
                <w:szCs w:val="15"/>
              </w:rPr>
            </w:pPr>
            <w:r>
              <w:rPr>
                <w:sz w:val="15"/>
                <w:szCs w:val="15"/>
              </w:rPr>
              <w:t>46.31±7.69</w:t>
            </w:r>
          </w:p>
        </w:tc>
        <w:tc>
          <w:tcPr>
            <w:tcW w:w="1289" w:type="dxa"/>
            <w:tcBorders>
              <w:top w:val="single" w:sz="4" w:space="0" w:color="auto"/>
              <w:left w:val="nil"/>
              <w:bottom w:val="nil"/>
              <w:right w:val="nil"/>
            </w:tcBorders>
          </w:tcPr>
          <w:p w14:paraId="21E433B9" w14:textId="77777777" w:rsidR="00FA318D" w:rsidRDefault="00FA318D" w:rsidP="00FA318D">
            <w:pPr>
              <w:spacing w:before="120" w:after="120" w:line="400" w:lineRule="exact"/>
              <w:jc w:val="center"/>
              <w:rPr>
                <w:sz w:val="15"/>
                <w:szCs w:val="15"/>
              </w:rPr>
            </w:pPr>
            <w:r>
              <w:rPr>
                <w:rFonts w:hint="eastAsia"/>
                <w:sz w:val="15"/>
                <w:szCs w:val="15"/>
              </w:rPr>
              <w:t>150.08</w:t>
            </w:r>
            <w:r>
              <w:rPr>
                <w:sz w:val="15"/>
                <w:szCs w:val="15"/>
              </w:rPr>
              <w:t>±</w:t>
            </w:r>
            <w:r>
              <w:rPr>
                <w:rFonts w:hint="eastAsia"/>
                <w:sz w:val="15"/>
                <w:szCs w:val="15"/>
              </w:rPr>
              <w:t>19.75</w:t>
            </w:r>
          </w:p>
        </w:tc>
        <w:tc>
          <w:tcPr>
            <w:tcW w:w="1162" w:type="dxa"/>
            <w:tcBorders>
              <w:top w:val="single" w:sz="4" w:space="0" w:color="auto"/>
              <w:left w:val="nil"/>
              <w:bottom w:val="nil"/>
              <w:right w:val="nil"/>
            </w:tcBorders>
          </w:tcPr>
          <w:p w14:paraId="4AA10956" w14:textId="77777777" w:rsidR="00FA318D" w:rsidRDefault="00FA318D" w:rsidP="00FA318D">
            <w:pPr>
              <w:spacing w:before="120" w:after="120" w:line="400" w:lineRule="exact"/>
              <w:jc w:val="center"/>
              <w:rPr>
                <w:sz w:val="15"/>
                <w:szCs w:val="15"/>
              </w:rPr>
            </w:pPr>
            <w:r>
              <w:rPr>
                <w:sz w:val="15"/>
                <w:szCs w:val="15"/>
              </w:rPr>
              <w:t>4</w:t>
            </w:r>
            <w:r>
              <w:rPr>
                <w:rFonts w:hint="eastAsia"/>
                <w:sz w:val="15"/>
                <w:szCs w:val="15"/>
              </w:rPr>
              <w:t>1.44</w:t>
            </w:r>
            <w:r>
              <w:rPr>
                <w:sz w:val="15"/>
                <w:szCs w:val="15"/>
              </w:rPr>
              <w:t>±</w:t>
            </w:r>
            <w:r>
              <w:rPr>
                <w:rFonts w:hint="eastAsia"/>
                <w:sz w:val="15"/>
                <w:szCs w:val="15"/>
              </w:rPr>
              <w:t>1</w:t>
            </w:r>
            <w:r>
              <w:rPr>
                <w:sz w:val="15"/>
                <w:szCs w:val="15"/>
              </w:rPr>
              <w:t>.</w:t>
            </w:r>
            <w:r>
              <w:rPr>
                <w:rFonts w:hint="eastAsia"/>
                <w:sz w:val="15"/>
                <w:szCs w:val="15"/>
              </w:rPr>
              <w:t>01</w:t>
            </w:r>
          </w:p>
        </w:tc>
        <w:tc>
          <w:tcPr>
            <w:tcW w:w="1162" w:type="dxa"/>
            <w:tcBorders>
              <w:top w:val="single" w:sz="4" w:space="0" w:color="auto"/>
              <w:left w:val="nil"/>
              <w:bottom w:val="nil"/>
              <w:right w:val="nil"/>
            </w:tcBorders>
          </w:tcPr>
          <w:p w14:paraId="1EF00CE0" w14:textId="77777777" w:rsidR="00FA318D" w:rsidRDefault="00FA318D" w:rsidP="00FA318D">
            <w:pPr>
              <w:spacing w:before="120" w:after="120" w:line="400" w:lineRule="exact"/>
              <w:jc w:val="center"/>
              <w:rPr>
                <w:sz w:val="15"/>
                <w:szCs w:val="15"/>
              </w:rPr>
            </w:pPr>
            <w:r>
              <w:rPr>
                <w:rFonts w:hint="eastAsia"/>
                <w:sz w:val="15"/>
                <w:szCs w:val="15"/>
              </w:rPr>
              <w:t>30.28</w:t>
            </w:r>
            <w:r>
              <w:rPr>
                <w:sz w:val="15"/>
                <w:szCs w:val="15"/>
              </w:rPr>
              <w:t>±</w:t>
            </w:r>
            <w:r>
              <w:rPr>
                <w:rFonts w:hint="eastAsia"/>
                <w:sz w:val="15"/>
                <w:szCs w:val="15"/>
              </w:rPr>
              <w:t>0</w:t>
            </w:r>
            <w:r>
              <w:rPr>
                <w:sz w:val="15"/>
                <w:szCs w:val="15"/>
              </w:rPr>
              <w:t>.</w:t>
            </w:r>
            <w:r>
              <w:rPr>
                <w:rFonts w:hint="eastAsia"/>
                <w:sz w:val="15"/>
                <w:szCs w:val="15"/>
              </w:rPr>
              <w:t>25</w:t>
            </w:r>
          </w:p>
        </w:tc>
        <w:tc>
          <w:tcPr>
            <w:tcW w:w="1355" w:type="dxa"/>
            <w:tcBorders>
              <w:top w:val="single" w:sz="4" w:space="0" w:color="auto"/>
              <w:left w:val="nil"/>
              <w:bottom w:val="nil"/>
              <w:right w:val="nil"/>
            </w:tcBorders>
          </w:tcPr>
          <w:p w14:paraId="7A2A9EAD" w14:textId="77777777" w:rsidR="00FA318D" w:rsidRDefault="00FA318D" w:rsidP="00FA318D">
            <w:pPr>
              <w:spacing w:before="120" w:after="120" w:line="400" w:lineRule="exact"/>
              <w:jc w:val="center"/>
              <w:rPr>
                <w:sz w:val="15"/>
                <w:szCs w:val="15"/>
              </w:rPr>
            </w:pPr>
            <w:r>
              <w:rPr>
                <w:rFonts w:hint="eastAsia"/>
                <w:sz w:val="15"/>
                <w:szCs w:val="15"/>
              </w:rPr>
              <w:t>25.26</w:t>
            </w:r>
            <w:r>
              <w:rPr>
                <w:sz w:val="15"/>
                <w:szCs w:val="15"/>
              </w:rPr>
              <w:t>±</w:t>
            </w:r>
            <w:r>
              <w:rPr>
                <w:rFonts w:hint="eastAsia"/>
                <w:sz w:val="15"/>
                <w:szCs w:val="15"/>
              </w:rPr>
              <w:t>1.24</w:t>
            </w:r>
          </w:p>
        </w:tc>
        <w:tc>
          <w:tcPr>
            <w:tcW w:w="1381" w:type="dxa"/>
            <w:tcBorders>
              <w:top w:val="single" w:sz="4" w:space="0" w:color="auto"/>
              <w:left w:val="nil"/>
              <w:bottom w:val="nil"/>
              <w:right w:val="nil"/>
            </w:tcBorders>
          </w:tcPr>
          <w:p w14:paraId="5016409E" w14:textId="77777777" w:rsidR="00FA318D" w:rsidRDefault="00FA318D" w:rsidP="00FA318D">
            <w:pPr>
              <w:spacing w:before="120" w:after="120" w:line="400" w:lineRule="exact"/>
              <w:jc w:val="center"/>
              <w:rPr>
                <w:sz w:val="15"/>
                <w:szCs w:val="15"/>
              </w:rPr>
            </w:pPr>
            <w:r>
              <w:rPr>
                <w:rFonts w:hint="eastAsia"/>
                <w:sz w:val="15"/>
                <w:szCs w:val="15"/>
              </w:rPr>
              <w:t>219.86</w:t>
            </w:r>
            <w:r>
              <w:rPr>
                <w:sz w:val="15"/>
                <w:szCs w:val="15"/>
              </w:rPr>
              <w:t>±</w:t>
            </w:r>
            <w:r>
              <w:rPr>
                <w:rFonts w:hint="eastAsia"/>
                <w:sz w:val="15"/>
                <w:szCs w:val="15"/>
              </w:rPr>
              <w:t>121.37</w:t>
            </w:r>
          </w:p>
        </w:tc>
        <w:tc>
          <w:tcPr>
            <w:tcW w:w="1289" w:type="dxa"/>
            <w:tcBorders>
              <w:top w:val="single" w:sz="4" w:space="0" w:color="auto"/>
              <w:left w:val="nil"/>
              <w:bottom w:val="nil"/>
              <w:right w:val="nil"/>
            </w:tcBorders>
          </w:tcPr>
          <w:p w14:paraId="00B9CB4A" w14:textId="77777777" w:rsidR="00FA318D" w:rsidRDefault="00FA318D" w:rsidP="00FA318D">
            <w:pPr>
              <w:spacing w:before="120" w:after="120" w:line="400" w:lineRule="exact"/>
              <w:jc w:val="center"/>
              <w:rPr>
                <w:sz w:val="15"/>
                <w:szCs w:val="15"/>
              </w:rPr>
            </w:pPr>
            <w:r>
              <w:rPr>
                <w:sz w:val="15"/>
                <w:szCs w:val="15"/>
              </w:rPr>
              <w:t>4</w:t>
            </w:r>
            <w:r>
              <w:rPr>
                <w:rFonts w:hint="eastAsia"/>
                <w:sz w:val="15"/>
                <w:szCs w:val="15"/>
              </w:rPr>
              <w:t>49.98</w:t>
            </w:r>
            <w:r>
              <w:rPr>
                <w:sz w:val="15"/>
                <w:szCs w:val="15"/>
              </w:rPr>
              <w:t>±</w:t>
            </w:r>
            <w:r>
              <w:rPr>
                <w:rFonts w:hint="eastAsia"/>
                <w:sz w:val="15"/>
                <w:szCs w:val="15"/>
              </w:rPr>
              <w:t>25</w:t>
            </w:r>
            <w:r>
              <w:rPr>
                <w:sz w:val="15"/>
                <w:szCs w:val="15"/>
              </w:rPr>
              <w:t>.</w:t>
            </w:r>
            <w:r>
              <w:rPr>
                <w:rFonts w:hint="eastAsia"/>
                <w:sz w:val="15"/>
                <w:szCs w:val="15"/>
              </w:rPr>
              <w:t>51</w:t>
            </w:r>
          </w:p>
        </w:tc>
      </w:tr>
      <w:tr w:rsidR="00FA318D" w14:paraId="7510201C" w14:textId="77777777" w:rsidTr="00EF23F5">
        <w:trPr>
          <w:trHeight w:val="669"/>
        </w:trPr>
        <w:tc>
          <w:tcPr>
            <w:tcW w:w="1418" w:type="dxa"/>
            <w:tcBorders>
              <w:top w:val="nil"/>
              <w:left w:val="nil"/>
              <w:bottom w:val="nil"/>
              <w:right w:val="nil"/>
            </w:tcBorders>
          </w:tcPr>
          <w:p w14:paraId="2A275ADE" w14:textId="77777777" w:rsidR="00FA318D" w:rsidRDefault="00FA318D" w:rsidP="00FA318D">
            <w:pPr>
              <w:spacing w:before="120" w:after="120" w:line="400" w:lineRule="exact"/>
              <w:jc w:val="center"/>
              <w:rPr>
                <w:sz w:val="15"/>
                <w:szCs w:val="15"/>
              </w:rPr>
            </w:pPr>
            <w:r>
              <w:rPr>
                <w:sz w:val="15"/>
                <w:szCs w:val="15"/>
              </w:rPr>
              <w:t>Ir-cR8-BSA-NPs</w:t>
            </w:r>
          </w:p>
        </w:tc>
        <w:tc>
          <w:tcPr>
            <w:tcW w:w="747" w:type="dxa"/>
            <w:tcBorders>
              <w:top w:val="nil"/>
              <w:left w:val="nil"/>
              <w:bottom w:val="nil"/>
              <w:right w:val="nil"/>
            </w:tcBorders>
          </w:tcPr>
          <w:p w14:paraId="42D5BE5B" w14:textId="77777777" w:rsidR="00FA318D" w:rsidRDefault="00FA318D" w:rsidP="00FA318D">
            <w:pPr>
              <w:spacing w:before="120" w:after="120" w:line="400" w:lineRule="exact"/>
              <w:jc w:val="center"/>
              <w:rPr>
                <w:sz w:val="15"/>
                <w:szCs w:val="15"/>
              </w:rPr>
            </w:pPr>
          </w:p>
        </w:tc>
        <w:tc>
          <w:tcPr>
            <w:tcW w:w="1162" w:type="dxa"/>
            <w:tcBorders>
              <w:top w:val="nil"/>
              <w:left w:val="nil"/>
              <w:bottom w:val="nil"/>
              <w:right w:val="nil"/>
            </w:tcBorders>
          </w:tcPr>
          <w:p w14:paraId="1CF47C62" w14:textId="77777777" w:rsidR="00FA318D" w:rsidRDefault="00FA318D" w:rsidP="00FA318D">
            <w:pPr>
              <w:spacing w:before="120" w:after="120" w:line="400" w:lineRule="exact"/>
              <w:jc w:val="center"/>
              <w:rPr>
                <w:sz w:val="15"/>
                <w:szCs w:val="15"/>
              </w:rPr>
            </w:pPr>
            <w:r>
              <w:rPr>
                <w:sz w:val="15"/>
                <w:szCs w:val="15"/>
              </w:rPr>
              <w:t>49.32±6.28</w:t>
            </w:r>
          </w:p>
        </w:tc>
        <w:tc>
          <w:tcPr>
            <w:tcW w:w="1289" w:type="dxa"/>
            <w:tcBorders>
              <w:top w:val="nil"/>
              <w:left w:val="nil"/>
              <w:bottom w:val="nil"/>
              <w:right w:val="nil"/>
            </w:tcBorders>
          </w:tcPr>
          <w:p w14:paraId="6A546E7A" w14:textId="77777777" w:rsidR="00FA318D" w:rsidRDefault="00FA318D" w:rsidP="00FA318D">
            <w:pPr>
              <w:spacing w:before="120" w:after="120" w:line="400" w:lineRule="exact"/>
              <w:jc w:val="center"/>
              <w:rPr>
                <w:sz w:val="15"/>
                <w:szCs w:val="15"/>
              </w:rPr>
            </w:pPr>
            <w:r>
              <w:rPr>
                <w:rFonts w:hint="eastAsia"/>
                <w:sz w:val="15"/>
                <w:szCs w:val="15"/>
              </w:rPr>
              <w:t>148.73</w:t>
            </w:r>
            <w:r>
              <w:rPr>
                <w:sz w:val="15"/>
                <w:szCs w:val="15"/>
              </w:rPr>
              <w:t>±</w:t>
            </w:r>
            <w:r>
              <w:rPr>
                <w:rFonts w:hint="eastAsia"/>
                <w:sz w:val="15"/>
                <w:szCs w:val="15"/>
              </w:rPr>
              <w:t>12.1</w:t>
            </w:r>
            <w:r>
              <w:rPr>
                <w:sz w:val="15"/>
                <w:szCs w:val="15"/>
              </w:rPr>
              <w:t>9</w:t>
            </w:r>
          </w:p>
        </w:tc>
        <w:tc>
          <w:tcPr>
            <w:tcW w:w="1162" w:type="dxa"/>
            <w:tcBorders>
              <w:top w:val="nil"/>
              <w:left w:val="nil"/>
              <w:bottom w:val="nil"/>
              <w:right w:val="nil"/>
            </w:tcBorders>
          </w:tcPr>
          <w:p w14:paraId="441F24F9" w14:textId="77777777" w:rsidR="00FA318D" w:rsidRDefault="00FA318D" w:rsidP="00FA318D">
            <w:pPr>
              <w:spacing w:before="120" w:after="120" w:line="400" w:lineRule="exact"/>
              <w:jc w:val="center"/>
              <w:rPr>
                <w:sz w:val="15"/>
                <w:szCs w:val="15"/>
              </w:rPr>
            </w:pPr>
            <w:r>
              <w:rPr>
                <w:sz w:val="15"/>
                <w:szCs w:val="15"/>
              </w:rPr>
              <w:t>4</w:t>
            </w:r>
            <w:r>
              <w:rPr>
                <w:rFonts w:hint="eastAsia"/>
                <w:sz w:val="15"/>
                <w:szCs w:val="15"/>
              </w:rPr>
              <w:t>4.92</w:t>
            </w:r>
            <w:r>
              <w:rPr>
                <w:sz w:val="15"/>
                <w:szCs w:val="15"/>
              </w:rPr>
              <w:t>±</w:t>
            </w:r>
            <w:r>
              <w:rPr>
                <w:rFonts w:hint="eastAsia"/>
                <w:sz w:val="15"/>
                <w:szCs w:val="15"/>
              </w:rPr>
              <w:t>1.49</w:t>
            </w:r>
          </w:p>
        </w:tc>
        <w:tc>
          <w:tcPr>
            <w:tcW w:w="1162" w:type="dxa"/>
            <w:tcBorders>
              <w:top w:val="nil"/>
              <w:left w:val="nil"/>
              <w:bottom w:val="nil"/>
              <w:right w:val="nil"/>
            </w:tcBorders>
          </w:tcPr>
          <w:p w14:paraId="79DA3873" w14:textId="77777777" w:rsidR="00FA318D" w:rsidRDefault="00FA318D" w:rsidP="00FA318D">
            <w:pPr>
              <w:spacing w:before="120" w:after="120" w:line="400" w:lineRule="exact"/>
              <w:jc w:val="center"/>
              <w:rPr>
                <w:sz w:val="15"/>
                <w:szCs w:val="15"/>
              </w:rPr>
            </w:pPr>
            <w:r>
              <w:rPr>
                <w:rFonts w:hint="eastAsia"/>
                <w:sz w:val="15"/>
                <w:szCs w:val="15"/>
              </w:rPr>
              <w:t>33.52</w:t>
            </w:r>
            <w:r>
              <w:rPr>
                <w:sz w:val="15"/>
                <w:szCs w:val="15"/>
              </w:rPr>
              <w:t>±</w:t>
            </w:r>
            <w:r>
              <w:rPr>
                <w:rFonts w:hint="eastAsia"/>
                <w:sz w:val="15"/>
                <w:szCs w:val="15"/>
              </w:rPr>
              <w:t>1.03</w:t>
            </w:r>
          </w:p>
        </w:tc>
        <w:tc>
          <w:tcPr>
            <w:tcW w:w="1355" w:type="dxa"/>
            <w:tcBorders>
              <w:top w:val="nil"/>
              <w:left w:val="nil"/>
              <w:bottom w:val="nil"/>
              <w:right w:val="nil"/>
            </w:tcBorders>
          </w:tcPr>
          <w:p w14:paraId="43B4855E" w14:textId="77777777" w:rsidR="00FA318D" w:rsidRDefault="00FA318D" w:rsidP="00FA318D">
            <w:pPr>
              <w:spacing w:before="120" w:after="120" w:line="400" w:lineRule="exact"/>
              <w:jc w:val="center"/>
              <w:rPr>
                <w:sz w:val="15"/>
                <w:szCs w:val="15"/>
              </w:rPr>
            </w:pPr>
            <w:r>
              <w:rPr>
                <w:rFonts w:hint="eastAsia"/>
                <w:sz w:val="15"/>
                <w:szCs w:val="15"/>
              </w:rPr>
              <w:t>29.22</w:t>
            </w:r>
            <w:r>
              <w:rPr>
                <w:sz w:val="15"/>
                <w:szCs w:val="15"/>
              </w:rPr>
              <w:t>±</w:t>
            </w:r>
            <w:r>
              <w:rPr>
                <w:rFonts w:hint="eastAsia"/>
                <w:sz w:val="15"/>
                <w:szCs w:val="15"/>
              </w:rPr>
              <w:t>10.63</w:t>
            </w:r>
          </w:p>
        </w:tc>
        <w:tc>
          <w:tcPr>
            <w:tcW w:w="1381" w:type="dxa"/>
            <w:tcBorders>
              <w:top w:val="nil"/>
              <w:left w:val="nil"/>
              <w:bottom w:val="nil"/>
              <w:right w:val="nil"/>
            </w:tcBorders>
          </w:tcPr>
          <w:p w14:paraId="7F6D4F12" w14:textId="77777777" w:rsidR="00FA318D" w:rsidRDefault="00FA318D" w:rsidP="00FA318D">
            <w:pPr>
              <w:spacing w:before="120" w:after="120" w:line="400" w:lineRule="exact"/>
              <w:jc w:val="center"/>
              <w:rPr>
                <w:sz w:val="15"/>
                <w:szCs w:val="15"/>
              </w:rPr>
            </w:pPr>
            <w:r>
              <w:rPr>
                <w:rFonts w:hint="eastAsia"/>
                <w:sz w:val="15"/>
                <w:szCs w:val="15"/>
              </w:rPr>
              <w:t>292.95</w:t>
            </w:r>
            <w:r>
              <w:rPr>
                <w:sz w:val="15"/>
                <w:szCs w:val="15"/>
              </w:rPr>
              <w:t>±</w:t>
            </w:r>
            <w:r>
              <w:rPr>
                <w:rFonts w:hint="eastAsia"/>
                <w:sz w:val="15"/>
                <w:szCs w:val="15"/>
              </w:rPr>
              <w:t>53.86</w:t>
            </w:r>
          </w:p>
        </w:tc>
        <w:tc>
          <w:tcPr>
            <w:tcW w:w="1289" w:type="dxa"/>
            <w:tcBorders>
              <w:top w:val="nil"/>
              <w:left w:val="nil"/>
              <w:bottom w:val="nil"/>
              <w:right w:val="nil"/>
            </w:tcBorders>
          </w:tcPr>
          <w:p w14:paraId="1F7F6345" w14:textId="77777777" w:rsidR="00FA318D" w:rsidRDefault="00FA318D" w:rsidP="00FA318D">
            <w:pPr>
              <w:spacing w:before="120" w:after="120" w:line="400" w:lineRule="exact"/>
              <w:jc w:val="center"/>
              <w:rPr>
                <w:sz w:val="15"/>
                <w:szCs w:val="15"/>
              </w:rPr>
            </w:pPr>
            <w:r>
              <w:rPr>
                <w:sz w:val="15"/>
                <w:szCs w:val="15"/>
              </w:rPr>
              <w:t>4</w:t>
            </w:r>
            <w:r>
              <w:rPr>
                <w:rFonts w:hint="eastAsia"/>
                <w:sz w:val="15"/>
                <w:szCs w:val="15"/>
              </w:rPr>
              <w:t>3</w:t>
            </w:r>
            <w:r>
              <w:rPr>
                <w:sz w:val="15"/>
                <w:szCs w:val="15"/>
              </w:rPr>
              <w:t>6.</w:t>
            </w:r>
            <w:r>
              <w:rPr>
                <w:rFonts w:hint="eastAsia"/>
                <w:sz w:val="15"/>
                <w:szCs w:val="15"/>
              </w:rPr>
              <w:t>22</w:t>
            </w:r>
            <w:r>
              <w:rPr>
                <w:sz w:val="15"/>
                <w:szCs w:val="15"/>
              </w:rPr>
              <w:t>±</w:t>
            </w:r>
            <w:r>
              <w:rPr>
                <w:rFonts w:hint="eastAsia"/>
                <w:sz w:val="15"/>
                <w:szCs w:val="15"/>
              </w:rPr>
              <w:t>12.7</w:t>
            </w:r>
            <w:r>
              <w:rPr>
                <w:sz w:val="15"/>
                <w:szCs w:val="15"/>
              </w:rPr>
              <w:t>9</w:t>
            </w:r>
          </w:p>
        </w:tc>
      </w:tr>
      <w:tr w:rsidR="00FA318D" w14:paraId="03C283F4" w14:textId="77777777" w:rsidTr="00EF23F5">
        <w:trPr>
          <w:trHeight w:val="669"/>
        </w:trPr>
        <w:tc>
          <w:tcPr>
            <w:tcW w:w="1418" w:type="dxa"/>
            <w:tcBorders>
              <w:top w:val="nil"/>
              <w:left w:val="nil"/>
              <w:right w:val="nil"/>
            </w:tcBorders>
          </w:tcPr>
          <w:p w14:paraId="06ACCE68" w14:textId="77777777" w:rsidR="00FA318D" w:rsidRDefault="00FA318D" w:rsidP="00FA318D">
            <w:pPr>
              <w:spacing w:before="120" w:after="120" w:line="400" w:lineRule="exact"/>
              <w:jc w:val="center"/>
              <w:rPr>
                <w:sz w:val="15"/>
                <w:szCs w:val="15"/>
              </w:rPr>
            </w:pPr>
            <w:r>
              <w:rPr>
                <w:sz w:val="15"/>
                <w:szCs w:val="15"/>
              </w:rPr>
              <w:t>Oxaliplatin</w:t>
            </w:r>
          </w:p>
        </w:tc>
        <w:tc>
          <w:tcPr>
            <w:tcW w:w="747" w:type="dxa"/>
            <w:tcBorders>
              <w:top w:val="nil"/>
              <w:left w:val="nil"/>
              <w:right w:val="nil"/>
            </w:tcBorders>
          </w:tcPr>
          <w:p w14:paraId="2E77258D" w14:textId="77777777" w:rsidR="00FA318D" w:rsidRDefault="00FA318D" w:rsidP="00FA318D">
            <w:pPr>
              <w:spacing w:before="120" w:after="120" w:line="400" w:lineRule="exact"/>
              <w:jc w:val="center"/>
              <w:rPr>
                <w:sz w:val="15"/>
                <w:szCs w:val="15"/>
              </w:rPr>
            </w:pPr>
          </w:p>
        </w:tc>
        <w:tc>
          <w:tcPr>
            <w:tcW w:w="1162" w:type="dxa"/>
            <w:tcBorders>
              <w:top w:val="nil"/>
              <w:left w:val="nil"/>
              <w:right w:val="nil"/>
            </w:tcBorders>
          </w:tcPr>
          <w:p w14:paraId="2BE86DC9" w14:textId="77777777" w:rsidR="00FA318D" w:rsidRDefault="00FA318D" w:rsidP="00FA318D">
            <w:pPr>
              <w:spacing w:before="120" w:after="120" w:line="400" w:lineRule="exact"/>
              <w:jc w:val="center"/>
              <w:rPr>
                <w:sz w:val="15"/>
                <w:szCs w:val="15"/>
              </w:rPr>
            </w:pPr>
            <w:r>
              <w:rPr>
                <w:sz w:val="15"/>
                <w:szCs w:val="15"/>
              </w:rPr>
              <w:t>40.06±2.90</w:t>
            </w:r>
          </w:p>
        </w:tc>
        <w:tc>
          <w:tcPr>
            <w:tcW w:w="1289" w:type="dxa"/>
            <w:tcBorders>
              <w:top w:val="nil"/>
              <w:left w:val="nil"/>
              <w:right w:val="nil"/>
            </w:tcBorders>
          </w:tcPr>
          <w:p w14:paraId="0EC89083" w14:textId="77777777" w:rsidR="00FA318D" w:rsidRDefault="00FA318D" w:rsidP="00FA318D">
            <w:pPr>
              <w:spacing w:before="120" w:after="120" w:line="400" w:lineRule="exact"/>
              <w:jc w:val="center"/>
              <w:rPr>
                <w:sz w:val="15"/>
                <w:szCs w:val="15"/>
              </w:rPr>
            </w:pPr>
            <w:r>
              <w:rPr>
                <w:rFonts w:hint="eastAsia"/>
                <w:sz w:val="15"/>
                <w:szCs w:val="15"/>
              </w:rPr>
              <w:t>1</w:t>
            </w:r>
            <w:r>
              <w:rPr>
                <w:sz w:val="15"/>
                <w:szCs w:val="15"/>
              </w:rPr>
              <w:t>4</w:t>
            </w:r>
            <w:r>
              <w:rPr>
                <w:rFonts w:hint="eastAsia"/>
                <w:sz w:val="15"/>
                <w:szCs w:val="15"/>
              </w:rPr>
              <w:t>1.75</w:t>
            </w:r>
            <w:r>
              <w:rPr>
                <w:sz w:val="15"/>
                <w:szCs w:val="15"/>
              </w:rPr>
              <w:t>±</w:t>
            </w:r>
            <w:r>
              <w:rPr>
                <w:rFonts w:hint="eastAsia"/>
                <w:sz w:val="15"/>
                <w:szCs w:val="15"/>
              </w:rPr>
              <w:t>39.73</w:t>
            </w:r>
          </w:p>
        </w:tc>
        <w:tc>
          <w:tcPr>
            <w:tcW w:w="1162" w:type="dxa"/>
            <w:tcBorders>
              <w:top w:val="nil"/>
              <w:left w:val="nil"/>
              <w:right w:val="nil"/>
            </w:tcBorders>
          </w:tcPr>
          <w:p w14:paraId="3F5CB8EC" w14:textId="77777777" w:rsidR="00FA318D" w:rsidRDefault="00FA318D" w:rsidP="00FA318D">
            <w:pPr>
              <w:spacing w:before="120" w:after="120" w:line="400" w:lineRule="exact"/>
              <w:jc w:val="center"/>
              <w:rPr>
                <w:sz w:val="15"/>
                <w:szCs w:val="15"/>
              </w:rPr>
            </w:pPr>
            <w:r>
              <w:rPr>
                <w:sz w:val="15"/>
                <w:szCs w:val="15"/>
              </w:rPr>
              <w:t>4</w:t>
            </w:r>
            <w:r>
              <w:rPr>
                <w:rFonts w:hint="eastAsia"/>
                <w:sz w:val="15"/>
                <w:szCs w:val="15"/>
              </w:rPr>
              <w:t>4.74</w:t>
            </w:r>
            <w:r>
              <w:rPr>
                <w:sz w:val="15"/>
                <w:szCs w:val="15"/>
              </w:rPr>
              <w:t>±</w:t>
            </w:r>
            <w:r>
              <w:rPr>
                <w:rFonts w:hint="eastAsia"/>
                <w:sz w:val="15"/>
                <w:szCs w:val="15"/>
              </w:rPr>
              <w:t>1.31</w:t>
            </w:r>
          </w:p>
        </w:tc>
        <w:tc>
          <w:tcPr>
            <w:tcW w:w="1162" w:type="dxa"/>
            <w:tcBorders>
              <w:top w:val="nil"/>
              <w:left w:val="nil"/>
              <w:right w:val="nil"/>
            </w:tcBorders>
          </w:tcPr>
          <w:p w14:paraId="632F0C93" w14:textId="77777777" w:rsidR="00FA318D" w:rsidRDefault="00FA318D" w:rsidP="00FA318D">
            <w:pPr>
              <w:spacing w:before="120" w:after="120" w:line="400" w:lineRule="exact"/>
              <w:jc w:val="center"/>
              <w:rPr>
                <w:sz w:val="15"/>
                <w:szCs w:val="15"/>
              </w:rPr>
            </w:pPr>
            <w:r>
              <w:rPr>
                <w:rFonts w:hint="eastAsia"/>
                <w:sz w:val="15"/>
                <w:szCs w:val="15"/>
              </w:rPr>
              <w:t>34.77</w:t>
            </w:r>
            <w:r>
              <w:rPr>
                <w:sz w:val="15"/>
                <w:szCs w:val="15"/>
              </w:rPr>
              <w:t>±</w:t>
            </w:r>
            <w:r>
              <w:rPr>
                <w:rFonts w:hint="eastAsia"/>
                <w:sz w:val="15"/>
                <w:szCs w:val="15"/>
              </w:rPr>
              <w:t>0.51</w:t>
            </w:r>
          </w:p>
        </w:tc>
        <w:tc>
          <w:tcPr>
            <w:tcW w:w="1355" w:type="dxa"/>
            <w:tcBorders>
              <w:top w:val="nil"/>
              <w:left w:val="nil"/>
              <w:right w:val="nil"/>
            </w:tcBorders>
          </w:tcPr>
          <w:p w14:paraId="1F025140" w14:textId="77777777" w:rsidR="00FA318D" w:rsidRDefault="00FA318D" w:rsidP="00FA318D">
            <w:pPr>
              <w:spacing w:before="120" w:after="120" w:line="400" w:lineRule="exact"/>
              <w:jc w:val="center"/>
              <w:rPr>
                <w:sz w:val="15"/>
                <w:szCs w:val="15"/>
              </w:rPr>
            </w:pPr>
            <w:r>
              <w:rPr>
                <w:rFonts w:hint="eastAsia"/>
                <w:sz w:val="15"/>
                <w:szCs w:val="15"/>
              </w:rPr>
              <w:t>34.24</w:t>
            </w:r>
            <w:r>
              <w:rPr>
                <w:sz w:val="15"/>
                <w:szCs w:val="15"/>
              </w:rPr>
              <w:t>±</w:t>
            </w:r>
            <w:r>
              <w:rPr>
                <w:rFonts w:hint="eastAsia"/>
                <w:sz w:val="15"/>
                <w:szCs w:val="15"/>
              </w:rPr>
              <w:t>7.70</w:t>
            </w:r>
          </w:p>
        </w:tc>
        <w:tc>
          <w:tcPr>
            <w:tcW w:w="1381" w:type="dxa"/>
            <w:tcBorders>
              <w:top w:val="nil"/>
              <w:left w:val="nil"/>
              <w:right w:val="nil"/>
            </w:tcBorders>
          </w:tcPr>
          <w:p w14:paraId="36F3C2AB" w14:textId="77777777" w:rsidR="00FA318D" w:rsidRDefault="00FA318D" w:rsidP="00FA318D">
            <w:pPr>
              <w:spacing w:before="120" w:after="120" w:line="400" w:lineRule="exact"/>
              <w:jc w:val="center"/>
              <w:rPr>
                <w:sz w:val="15"/>
                <w:szCs w:val="15"/>
              </w:rPr>
            </w:pPr>
            <w:r>
              <w:rPr>
                <w:rFonts w:hint="eastAsia"/>
                <w:sz w:val="15"/>
                <w:szCs w:val="15"/>
              </w:rPr>
              <w:t>218.89</w:t>
            </w:r>
            <w:r>
              <w:rPr>
                <w:sz w:val="15"/>
                <w:szCs w:val="15"/>
              </w:rPr>
              <w:t>±</w:t>
            </w:r>
            <w:r>
              <w:rPr>
                <w:rFonts w:hint="eastAsia"/>
                <w:sz w:val="15"/>
                <w:szCs w:val="15"/>
              </w:rPr>
              <w:t>45.73</w:t>
            </w:r>
          </w:p>
        </w:tc>
        <w:tc>
          <w:tcPr>
            <w:tcW w:w="1289" w:type="dxa"/>
            <w:tcBorders>
              <w:top w:val="nil"/>
              <w:left w:val="nil"/>
              <w:right w:val="nil"/>
            </w:tcBorders>
          </w:tcPr>
          <w:p w14:paraId="407FD95C" w14:textId="77777777" w:rsidR="00FA318D" w:rsidRDefault="00FA318D" w:rsidP="00FA318D">
            <w:pPr>
              <w:spacing w:before="120" w:after="120" w:line="400" w:lineRule="exact"/>
              <w:jc w:val="center"/>
              <w:rPr>
                <w:sz w:val="15"/>
                <w:szCs w:val="15"/>
              </w:rPr>
            </w:pPr>
            <w:r>
              <w:rPr>
                <w:sz w:val="15"/>
                <w:szCs w:val="15"/>
              </w:rPr>
              <w:t>4</w:t>
            </w:r>
            <w:r>
              <w:rPr>
                <w:rFonts w:hint="eastAsia"/>
                <w:sz w:val="15"/>
                <w:szCs w:val="15"/>
              </w:rPr>
              <w:t>34.19</w:t>
            </w:r>
            <w:r>
              <w:rPr>
                <w:sz w:val="15"/>
                <w:szCs w:val="15"/>
              </w:rPr>
              <w:t>±</w:t>
            </w:r>
            <w:r>
              <w:rPr>
                <w:rFonts w:hint="eastAsia"/>
                <w:sz w:val="15"/>
                <w:szCs w:val="15"/>
              </w:rPr>
              <w:t>39.0</w:t>
            </w:r>
            <w:r>
              <w:rPr>
                <w:sz w:val="15"/>
                <w:szCs w:val="15"/>
              </w:rPr>
              <w:t>9</w:t>
            </w:r>
          </w:p>
        </w:tc>
      </w:tr>
    </w:tbl>
    <w:p w14:paraId="1D3C90DD" w14:textId="77777777" w:rsidR="00A1425D" w:rsidRDefault="00A1425D" w:rsidP="00586AB3">
      <w:pPr>
        <w:widowControl w:val="0"/>
        <w:spacing w:beforeLines="50" w:before="156" w:afterLines="50" w:after="156" w:line="360" w:lineRule="auto"/>
        <w:jc w:val="both"/>
        <w:rPr>
          <w:rFonts w:eastAsia="等线"/>
          <w:b/>
          <w:bCs/>
          <w:kern w:val="2"/>
          <w:lang w:val="en-US" w:eastAsia="zh-CN"/>
        </w:rPr>
      </w:pPr>
    </w:p>
    <w:p w14:paraId="424BA997" w14:textId="77777777" w:rsidR="00FA318D" w:rsidRDefault="00FA318D" w:rsidP="00A1425D">
      <w:pPr>
        <w:widowControl w:val="0"/>
        <w:spacing w:beforeLines="50" w:before="156" w:afterLines="50" w:after="156" w:line="360" w:lineRule="auto"/>
        <w:jc w:val="both"/>
        <w:rPr>
          <w:rFonts w:eastAsia="宋体"/>
          <w:kern w:val="2"/>
          <w:lang w:val="en-US" w:eastAsia="zh-CN"/>
        </w:rPr>
      </w:pPr>
    </w:p>
    <w:p w14:paraId="6F41CE64" w14:textId="055C5593" w:rsidR="00A1425D" w:rsidRPr="00586AB3" w:rsidRDefault="00A1425D" w:rsidP="00A1425D">
      <w:pPr>
        <w:widowControl w:val="0"/>
        <w:spacing w:beforeLines="50" w:before="156" w:afterLines="50" w:after="156" w:line="360" w:lineRule="auto"/>
        <w:jc w:val="both"/>
        <w:rPr>
          <w:rFonts w:eastAsia="宋体"/>
          <w:kern w:val="2"/>
          <w:lang w:val="en-US" w:eastAsia="zh-CN"/>
        </w:rPr>
      </w:pPr>
      <w:r>
        <w:rPr>
          <w:rFonts w:eastAsia="宋体"/>
          <w:noProof/>
        </w:rPr>
        <w:drawing>
          <wp:inline distT="0" distB="0" distL="0" distR="0" wp14:anchorId="3C9FC6B9" wp14:editId="5897859E">
            <wp:extent cx="5274310" cy="1376818"/>
            <wp:effectExtent l="0" t="0" r="2540" b="0"/>
            <wp:docPr id="1670186189" name="图片 2" descr="人抱着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86189" name="图片 2" descr="人抱着狗&#10;&#10;低可信度描述已自动生成"/>
                    <pic:cNvPicPr/>
                  </pic:nvPicPr>
                  <pic:blipFill rotWithShape="1">
                    <a:blip r:embed="rId6" cstate="print">
                      <a:extLst>
                        <a:ext uri="{28A0092B-C50C-407E-A947-70E740481C1C}">
                          <a14:useLocalDpi xmlns:a14="http://schemas.microsoft.com/office/drawing/2010/main" val="0"/>
                        </a:ext>
                      </a:extLst>
                    </a:blip>
                    <a:srcRect t="24022" b="29552"/>
                    <a:stretch/>
                  </pic:blipFill>
                  <pic:spPr bwMode="auto">
                    <a:xfrm>
                      <a:off x="0" y="0"/>
                      <a:ext cx="5274310" cy="1376818"/>
                    </a:xfrm>
                    <a:prstGeom prst="rect">
                      <a:avLst/>
                    </a:prstGeom>
                    <a:ln>
                      <a:noFill/>
                    </a:ln>
                    <a:extLst>
                      <a:ext uri="{53640926-AAD7-44D8-BBD7-CCE9431645EC}">
                        <a14:shadowObscured xmlns:a14="http://schemas.microsoft.com/office/drawing/2010/main"/>
                      </a:ext>
                    </a:extLst>
                  </pic:spPr>
                </pic:pic>
              </a:graphicData>
            </a:graphic>
          </wp:inline>
        </w:drawing>
      </w:r>
    </w:p>
    <w:p w14:paraId="1A6B1B2F" w14:textId="5ABD3558" w:rsidR="00A1425D" w:rsidRPr="00A1425D" w:rsidRDefault="00A1425D" w:rsidP="00586AB3">
      <w:pPr>
        <w:widowControl w:val="0"/>
        <w:spacing w:beforeLines="50" w:before="156" w:afterLines="50" w:after="156" w:line="360" w:lineRule="auto"/>
        <w:jc w:val="both"/>
        <w:rPr>
          <w:rFonts w:eastAsia="等线"/>
          <w:b/>
          <w:bCs/>
          <w:kern w:val="2"/>
          <w:lang w:val="en-US" w:eastAsia="zh-CN"/>
        </w:rPr>
      </w:pPr>
      <w:hyperlink r:id="rId7" w:history="1">
        <w:r w:rsidRPr="00BD748F">
          <w:rPr>
            <w:b/>
            <w:bCs/>
            <w:lang w:val="en-US"/>
          </w:rPr>
          <w:t>Supplementary Figure 1</w:t>
        </w:r>
      </w:hyperlink>
      <w:r w:rsidRPr="00BD748F">
        <w:rPr>
          <w:b/>
          <w:bCs/>
          <w:lang w:val="en-US"/>
        </w:rPr>
        <w:t xml:space="preserve">. </w:t>
      </w:r>
      <w:r w:rsidRPr="00E229BA">
        <w:rPr>
          <w:rFonts w:eastAsia="等线"/>
          <w:kern w:val="2"/>
          <w:lang w:val="en-US" w:eastAsia="zh-CN"/>
        </w:rPr>
        <w:t>Ultrasound guidance was successfully used for tumor loading in a rabbit model of liver cancer</w:t>
      </w:r>
      <w:r w:rsidRPr="00586AB3">
        <w:rPr>
          <w:rFonts w:eastAsia="等线"/>
          <w:kern w:val="2"/>
          <w:lang w:val="en-US" w:eastAsia="zh-CN"/>
        </w:rPr>
        <w:t>(A)</w:t>
      </w:r>
      <w:r w:rsidRPr="00E229BA">
        <w:rPr>
          <w:rFonts w:eastAsia="等线"/>
          <w:kern w:val="2"/>
          <w:lang w:val="en-US" w:eastAsia="zh-CN"/>
        </w:rPr>
        <w:t xml:space="preserve">. The images clearly demonstrate the precise placement of the puncture needle </w:t>
      </w:r>
      <w:r w:rsidRPr="00586AB3">
        <w:rPr>
          <w:rFonts w:eastAsia="等线"/>
          <w:kern w:val="2"/>
          <w:lang w:val="en-US" w:eastAsia="zh-CN"/>
        </w:rPr>
        <w:t>(B)</w:t>
      </w:r>
      <w:r>
        <w:rPr>
          <w:rFonts w:eastAsia="等线" w:hint="eastAsia"/>
          <w:kern w:val="2"/>
          <w:lang w:val="en-US" w:eastAsia="zh-CN"/>
        </w:rPr>
        <w:t xml:space="preserve"> </w:t>
      </w:r>
      <w:r w:rsidRPr="00E229BA">
        <w:rPr>
          <w:rFonts w:eastAsia="等线"/>
          <w:kern w:val="2"/>
          <w:lang w:val="en-US" w:eastAsia="zh-CN"/>
        </w:rPr>
        <w:t>and tissue block during the procedure</w:t>
      </w:r>
      <w:r>
        <w:rPr>
          <w:rFonts w:eastAsia="等线" w:hint="eastAsia"/>
          <w:kern w:val="2"/>
          <w:lang w:val="en-US" w:eastAsia="zh-CN"/>
        </w:rPr>
        <w:t xml:space="preserve"> </w:t>
      </w:r>
      <w:r w:rsidRPr="00586AB3">
        <w:rPr>
          <w:rFonts w:eastAsia="等线"/>
          <w:kern w:val="2"/>
          <w:lang w:val="en-US" w:eastAsia="zh-CN"/>
        </w:rPr>
        <w:t>(C)</w:t>
      </w:r>
      <w:r w:rsidRPr="00E229BA">
        <w:rPr>
          <w:rFonts w:eastAsia="等线"/>
          <w:kern w:val="2"/>
          <w:lang w:val="en-US" w:eastAsia="zh-CN"/>
        </w:rPr>
        <w:t>.</w:t>
      </w:r>
    </w:p>
    <w:p w14:paraId="7A5065D2" w14:textId="77777777" w:rsidR="00A1425D" w:rsidRDefault="00A1425D" w:rsidP="00586AB3">
      <w:pPr>
        <w:widowControl w:val="0"/>
        <w:spacing w:beforeLines="50" w:before="156" w:afterLines="50" w:after="156" w:line="360" w:lineRule="auto"/>
        <w:jc w:val="both"/>
        <w:rPr>
          <w:rFonts w:eastAsia="等线"/>
          <w:b/>
          <w:bCs/>
          <w:kern w:val="2"/>
          <w:lang w:val="en-US" w:eastAsia="zh-CN"/>
        </w:rPr>
      </w:pPr>
    </w:p>
    <w:p w14:paraId="3A4269DE" w14:textId="77777777" w:rsidR="00A1425D" w:rsidRDefault="00A1425D" w:rsidP="00586AB3">
      <w:pPr>
        <w:widowControl w:val="0"/>
        <w:spacing w:beforeLines="50" w:before="156" w:afterLines="50" w:after="156" w:line="360" w:lineRule="auto"/>
        <w:jc w:val="both"/>
        <w:rPr>
          <w:rFonts w:eastAsia="等线"/>
          <w:b/>
          <w:bCs/>
          <w:kern w:val="2"/>
          <w:lang w:val="en-US" w:eastAsia="zh-CN"/>
        </w:rPr>
      </w:pPr>
    </w:p>
    <w:p w14:paraId="7F130134" w14:textId="77777777" w:rsidR="00A1425D" w:rsidRDefault="00A1425D" w:rsidP="00586AB3">
      <w:pPr>
        <w:widowControl w:val="0"/>
        <w:spacing w:beforeLines="50" w:before="156" w:afterLines="50" w:after="156" w:line="360" w:lineRule="auto"/>
        <w:jc w:val="both"/>
        <w:rPr>
          <w:rFonts w:eastAsia="等线"/>
          <w:b/>
          <w:bCs/>
          <w:kern w:val="2"/>
          <w:lang w:val="en-US" w:eastAsia="zh-CN"/>
        </w:rPr>
      </w:pPr>
    </w:p>
    <w:p w14:paraId="3E0FA708" w14:textId="5E5D6281" w:rsidR="00A1425D" w:rsidRDefault="00A1425D" w:rsidP="00586AB3">
      <w:pPr>
        <w:widowControl w:val="0"/>
        <w:spacing w:beforeLines="50" w:before="156" w:afterLines="50" w:after="156" w:line="360" w:lineRule="auto"/>
        <w:jc w:val="both"/>
        <w:rPr>
          <w:rFonts w:eastAsia="等线"/>
          <w:b/>
          <w:bCs/>
          <w:kern w:val="2"/>
          <w:lang w:val="en-US" w:eastAsia="zh-CN"/>
        </w:rPr>
      </w:pPr>
      <w:r w:rsidRPr="00586AB3">
        <w:rPr>
          <w:rFonts w:eastAsia="等线"/>
          <w:b/>
          <w:bCs/>
          <w:noProof/>
          <w:kern w:val="2"/>
          <w:lang w:val="en-US"/>
        </w:rPr>
        <w:lastRenderedPageBreak/>
        <w:drawing>
          <wp:anchor distT="0" distB="0" distL="0" distR="0" simplePos="0" relativeHeight="251666432" behindDoc="0" locked="0" layoutInCell="1" allowOverlap="1" wp14:anchorId="3A49C396" wp14:editId="3109A561">
            <wp:simplePos x="0" y="0"/>
            <wp:positionH relativeFrom="margin">
              <wp:posOffset>-226060</wp:posOffset>
            </wp:positionH>
            <wp:positionV relativeFrom="paragraph">
              <wp:posOffset>0</wp:posOffset>
            </wp:positionV>
            <wp:extent cx="6330950" cy="5086350"/>
            <wp:effectExtent l="0" t="0" r="0" b="0"/>
            <wp:wrapTopAndBottom/>
            <wp:docPr id="1030" name="图片 1" descr="图示&#10;&#10;描述已自动生成"/>
            <wp:cNvGraphicFramePr/>
            <a:graphic xmlns:a="http://schemas.openxmlformats.org/drawingml/2006/main">
              <a:graphicData uri="http://schemas.openxmlformats.org/drawingml/2006/picture">
                <pic:pic xmlns:pic="http://schemas.openxmlformats.org/drawingml/2006/picture">
                  <pic:nvPicPr>
                    <pic:cNvPr id="1030" name="图片 1" descr="图示&#10;&#10;描述已自动生成"/>
                    <pic:cNvPicPr/>
                  </pic:nvPicPr>
                  <pic:blipFill>
                    <a:blip r:embed="rId8" cstate="print"/>
                    <a:srcRect/>
                    <a:stretch>
                      <a:fillRect/>
                    </a:stretch>
                  </pic:blipFill>
                  <pic:spPr>
                    <a:xfrm>
                      <a:off x="0" y="0"/>
                      <a:ext cx="6330950" cy="5086350"/>
                    </a:xfrm>
                    <a:prstGeom prst="rect">
                      <a:avLst/>
                    </a:prstGeom>
                  </pic:spPr>
                </pic:pic>
              </a:graphicData>
            </a:graphic>
            <wp14:sizeRelH relativeFrom="margin">
              <wp14:pctWidth>0</wp14:pctWidth>
            </wp14:sizeRelH>
            <wp14:sizeRelV relativeFrom="margin">
              <wp14:pctHeight>0</wp14:pctHeight>
            </wp14:sizeRelV>
          </wp:anchor>
        </w:drawing>
      </w:r>
    </w:p>
    <w:p w14:paraId="5C36280C" w14:textId="27B464E2" w:rsidR="00586AB3" w:rsidRPr="00586AB3" w:rsidRDefault="00A1425D" w:rsidP="00586AB3">
      <w:pPr>
        <w:widowControl w:val="0"/>
        <w:spacing w:beforeLines="50" w:before="156" w:afterLines="50" w:after="156" w:line="360" w:lineRule="auto"/>
        <w:jc w:val="both"/>
        <w:rPr>
          <w:rFonts w:eastAsia="等线"/>
          <w:kern w:val="2"/>
          <w:lang w:val="en-US" w:eastAsia="zh-CN"/>
        </w:rPr>
      </w:pPr>
      <w:hyperlink r:id="rId9" w:history="1">
        <w:r w:rsidRPr="00523AFD">
          <w:rPr>
            <w:b/>
            <w:bCs/>
            <w:lang w:val="en-US"/>
          </w:rPr>
          <w:t xml:space="preserve">Supplementary Figure </w:t>
        </w:r>
        <w:r>
          <w:rPr>
            <w:rFonts w:eastAsiaTheme="minorEastAsia" w:hint="eastAsia"/>
            <w:b/>
            <w:bCs/>
            <w:lang w:val="en-US" w:eastAsia="zh-CN"/>
          </w:rPr>
          <w:t>2</w:t>
        </w:r>
      </w:hyperlink>
      <w:r w:rsidR="00E229BA">
        <w:rPr>
          <w:rFonts w:eastAsia="等线" w:hint="eastAsia"/>
          <w:b/>
          <w:bCs/>
          <w:kern w:val="2"/>
          <w:lang w:val="en-US" w:eastAsia="zh-CN"/>
        </w:rPr>
        <w:t>.</w:t>
      </w:r>
      <w:r w:rsidR="00E229BA" w:rsidRPr="00E229BA">
        <w:rPr>
          <w:rFonts w:eastAsia="等线"/>
          <w:b/>
          <w:bCs/>
          <w:kern w:val="2"/>
          <w:lang w:val="en-US" w:eastAsia="zh-CN"/>
        </w:rPr>
        <w:t xml:space="preserve"> </w:t>
      </w:r>
      <w:r w:rsidR="00E229BA" w:rsidRPr="00E229BA">
        <w:rPr>
          <w:rFonts w:eastAsia="等线" w:hint="eastAsia"/>
          <w:kern w:val="2"/>
          <w:lang w:val="en-US" w:eastAsia="zh-CN"/>
        </w:rPr>
        <w:t>P</w:t>
      </w:r>
      <w:r w:rsidR="00E229BA" w:rsidRPr="00E229BA">
        <w:rPr>
          <w:rFonts w:eastAsia="等线"/>
          <w:kern w:val="2"/>
          <w:lang w:val="en-US" w:eastAsia="zh-CN"/>
        </w:rPr>
        <w:t>article size distributions of peptides with different charges mixed with bovine serum albumin (BSA) at different molar ratios. The peak at approximately 100 nm is observed only when Ir-cR4 is mixed with albumin at a 2:1 ratio. Ir-cR6 and Ir-cR8 have average particle sizes of 224 nm and 170 nm, respectively, when mixed with albumin at a molar ratio of 1:1. Ir-cR8 was selected for further study due to its advantageous nanoparticle size range of 50 nm to 200 nm, which allows for accumulation at the tumor site.</w:t>
      </w:r>
    </w:p>
    <w:p w14:paraId="24AB3804" w14:textId="70F4E1E7" w:rsidR="00586AB3" w:rsidRPr="00586AB3" w:rsidRDefault="00586AB3" w:rsidP="00586AB3">
      <w:pPr>
        <w:widowControl w:val="0"/>
        <w:spacing w:beforeLines="50" w:before="156" w:afterLines="50" w:after="156" w:line="360" w:lineRule="auto"/>
        <w:jc w:val="both"/>
        <w:rPr>
          <w:rFonts w:eastAsia="等线"/>
          <w:kern w:val="2"/>
          <w:lang w:val="en-US" w:eastAsia="zh-CN"/>
        </w:rPr>
      </w:pPr>
      <w:r w:rsidRPr="00586AB3">
        <w:rPr>
          <w:rFonts w:eastAsia="等线"/>
          <w:noProof/>
          <w:kern w:val="2"/>
          <w:lang w:val="en-US" w:eastAsia="zh-CN"/>
        </w:rPr>
        <w:lastRenderedPageBreak/>
        <w:drawing>
          <wp:anchor distT="0" distB="0" distL="114300" distR="114300" simplePos="0" relativeHeight="251664384" behindDoc="0" locked="0" layoutInCell="1" allowOverlap="1" wp14:anchorId="2478A9DD" wp14:editId="4EAC58DE">
            <wp:simplePos x="0" y="0"/>
            <wp:positionH relativeFrom="column">
              <wp:posOffset>1498600</wp:posOffset>
            </wp:positionH>
            <wp:positionV relativeFrom="paragraph">
              <wp:posOffset>158750</wp:posOffset>
            </wp:positionV>
            <wp:extent cx="2377440" cy="2371090"/>
            <wp:effectExtent l="0" t="0" r="3810" b="0"/>
            <wp:wrapSquare wrapText="bothSides"/>
            <wp:docPr id="1" name="图片 1" descr="图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77440" cy="2371090"/>
                    </a:xfrm>
                    <a:prstGeom prst="rect">
                      <a:avLst/>
                    </a:prstGeom>
                  </pic:spPr>
                </pic:pic>
              </a:graphicData>
            </a:graphic>
            <wp14:sizeRelH relativeFrom="page">
              <wp14:pctWidth>0</wp14:pctWidth>
            </wp14:sizeRelH>
            <wp14:sizeRelV relativeFrom="page">
              <wp14:pctHeight>0</wp14:pctHeight>
            </wp14:sizeRelV>
          </wp:anchor>
        </w:drawing>
      </w:r>
    </w:p>
    <w:p w14:paraId="5790BB42" w14:textId="192FFA2F" w:rsidR="00586AB3" w:rsidRPr="00586AB3" w:rsidRDefault="00586AB3" w:rsidP="00586AB3">
      <w:pPr>
        <w:widowControl w:val="0"/>
        <w:spacing w:beforeLines="50" w:before="156" w:afterLines="50" w:after="156" w:line="360" w:lineRule="auto"/>
        <w:jc w:val="both"/>
        <w:rPr>
          <w:rFonts w:eastAsia="等线"/>
          <w:kern w:val="2"/>
          <w:lang w:val="en-US" w:eastAsia="zh-CN"/>
        </w:rPr>
      </w:pPr>
    </w:p>
    <w:p w14:paraId="666CA997" w14:textId="452C3594" w:rsidR="00586AB3" w:rsidRPr="00586AB3" w:rsidRDefault="00586AB3" w:rsidP="00586AB3">
      <w:pPr>
        <w:widowControl w:val="0"/>
        <w:spacing w:beforeLines="50" w:before="156" w:afterLines="50" w:after="156" w:line="360" w:lineRule="auto"/>
        <w:jc w:val="both"/>
        <w:rPr>
          <w:rFonts w:eastAsia="等线"/>
          <w:kern w:val="2"/>
          <w:lang w:val="en-US" w:eastAsia="zh-CN"/>
        </w:rPr>
      </w:pPr>
    </w:p>
    <w:p w14:paraId="71B30528" w14:textId="3DBCC046" w:rsidR="00586AB3" w:rsidRPr="00586AB3" w:rsidRDefault="00586AB3" w:rsidP="00586AB3">
      <w:pPr>
        <w:widowControl w:val="0"/>
        <w:spacing w:beforeLines="50" w:before="156" w:afterLines="50" w:after="156" w:line="360" w:lineRule="auto"/>
        <w:jc w:val="both"/>
        <w:rPr>
          <w:rFonts w:eastAsia="等线"/>
          <w:kern w:val="2"/>
          <w:lang w:val="en-US" w:eastAsia="zh-CN"/>
        </w:rPr>
      </w:pPr>
    </w:p>
    <w:p w14:paraId="7BD9C0AB" w14:textId="765D26E5" w:rsidR="00586AB3" w:rsidRPr="00586AB3" w:rsidRDefault="00586AB3" w:rsidP="00586AB3">
      <w:pPr>
        <w:widowControl w:val="0"/>
        <w:spacing w:beforeLines="50" w:before="156" w:afterLines="50" w:after="156" w:line="360" w:lineRule="auto"/>
        <w:jc w:val="both"/>
        <w:rPr>
          <w:rFonts w:eastAsia="等线"/>
          <w:kern w:val="2"/>
          <w:lang w:val="en-US" w:eastAsia="zh-CN"/>
        </w:rPr>
      </w:pPr>
    </w:p>
    <w:p w14:paraId="76370F46" w14:textId="324A73DB" w:rsidR="00586AB3" w:rsidRDefault="00586AB3" w:rsidP="00586AB3">
      <w:pPr>
        <w:widowControl w:val="0"/>
        <w:spacing w:beforeLines="50" w:before="156" w:afterLines="50" w:after="156" w:line="360" w:lineRule="auto"/>
        <w:jc w:val="both"/>
        <w:rPr>
          <w:rFonts w:eastAsia="等线"/>
          <w:kern w:val="2"/>
          <w:lang w:val="en-US" w:eastAsia="zh-CN"/>
        </w:rPr>
      </w:pPr>
    </w:p>
    <w:p w14:paraId="6280765D" w14:textId="604FFC94" w:rsidR="00B8637D" w:rsidRPr="00586AB3" w:rsidRDefault="00B8637D" w:rsidP="00586AB3">
      <w:pPr>
        <w:widowControl w:val="0"/>
        <w:spacing w:beforeLines="50" w:before="156" w:afterLines="50" w:after="156" w:line="360" w:lineRule="auto"/>
        <w:jc w:val="both"/>
        <w:rPr>
          <w:rFonts w:eastAsia="等线"/>
          <w:kern w:val="2"/>
          <w:lang w:val="en-US" w:eastAsia="zh-CN"/>
        </w:rPr>
      </w:pPr>
    </w:p>
    <w:p w14:paraId="4C0328F9" w14:textId="77777777" w:rsidR="00BD748F" w:rsidRDefault="005F7FC7" w:rsidP="00080512">
      <w:pPr>
        <w:widowControl w:val="0"/>
        <w:spacing w:beforeLines="50" w:before="156" w:afterLines="50" w:after="156" w:line="360" w:lineRule="auto"/>
        <w:jc w:val="center"/>
        <w:rPr>
          <w:rFonts w:eastAsia="等线"/>
          <w:noProof/>
          <w:lang w:val="en-US" w:eastAsia="zh-CN"/>
        </w:rPr>
      </w:pPr>
      <w:hyperlink r:id="rId11" w:history="1">
        <w:r w:rsidRPr="00523AFD">
          <w:rPr>
            <w:b/>
            <w:bCs/>
            <w:lang w:val="en-US"/>
          </w:rPr>
          <w:t xml:space="preserve">Supplementary Figure </w:t>
        </w:r>
        <w:r>
          <w:rPr>
            <w:rFonts w:eastAsiaTheme="minorEastAsia" w:hint="eastAsia"/>
            <w:b/>
            <w:bCs/>
            <w:lang w:val="en-US" w:eastAsia="zh-CN"/>
          </w:rPr>
          <w:t>3</w:t>
        </w:r>
      </w:hyperlink>
      <w:r w:rsidR="00586AB3" w:rsidRPr="00586AB3">
        <w:rPr>
          <w:rFonts w:eastAsia="等线"/>
          <w:b/>
          <w:bCs/>
          <w:kern w:val="2"/>
          <w:lang w:val="en-US" w:eastAsia="zh-CN"/>
        </w:rPr>
        <w:t>.</w:t>
      </w:r>
      <w:r w:rsidR="00E229BA" w:rsidRPr="00E229BA">
        <w:t xml:space="preserve"> </w:t>
      </w:r>
      <w:r w:rsidR="00E229BA" w:rsidRPr="00E229BA">
        <w:rPr>
          <w:rFonts w:eastAsia="等线"/>
          <w:kern w:val="2"/>
          <w:lang w:val="en-US" w:eastAsia="zh-CN"/>
        </w:rPr>
        <w:t>Zeta potential values are currently being assessed for the H22, BMDC, and BMDM cell lines.</w:t>
      </w:r>
      <w:r w:rsidR="00080512" w:rsidRPr="00080512">
        <w:rPr>
          <w:rFonts w:eastAsia="等线"/>
          <w:noProof/>
          <w:lang w:val="en-US" w:eastAsia="zh-CN"/>
        </w:rPr>
        <w:t xml:space="preserve"> </w:t>
      </w:r>
    </w:p>
    <w:p w14:paraId="486AAC79" w14:textId="77777777" w:rsidR="00BD748F" w:rsidRDefault="00BD748F" w:rsidP="00080512">
      <w:pPr>
        <w:widowControl w:val="0"/>
        <w:spacing w:beforeLines="50" w:before="156" w:afterLines="50" w:after="156" w:line="360" w:lineRule="auto"/>
        <w:jc w:val="center"/>
        <w:rPr>
          <w:rFonts w:eastAsia="等线"/>
          <w:noProof/>
          <w:lang w:val="en-US" w:eastAsia="zh-CN"/>
        </w:rPr>
      </w:pPr>
    </w:p>
    <w:p w14:paraId="7F1B2266" w14:textId="77777777" w:rsidR="00BD748F" w:rsidRDefault="00BD748F" w:rsidP="00080512">
      <w:pPr>
        <w:widowControl w:val="0"/>
        <w:spacing w:beforeLines="50" w:before="156" w:afterLines="50" w:after="156" w:line="360" w:lineRule="auto"/>
        <w:jc w:val="center"/>
        <w:rPr>
          <w:rFonts w:eastAsia="等线"/>
          <w:noProof/>
          <w:lang w:val="en-US" w:eastAsia="zh-CN"/>
        </w:rPr>
      </w:pPr>
    </w:p>
    <w:p w14:paraId="59952CFB" w14:textId="77777777" w:rsidR="00BD748F" w:rsidRDefault="00BD748F" w:rsidP="00080512">
      <w:pPr>
        <w:widowControl w:val="0"/>
        <w:spacing w:beforeLines="50" w:before="156" w:afterLines="50" w:after="156" w:line="360" w:lineRule="auto"/>
        <w:jc w:val="center"/>
        <w:rPr>
          <w:rFonts w:eastAsia="等线"/>
          <w:noProof/>
          <w:lang w:val="en-US" w:eastAsia="zh-CN"/>
        </w:rPr>
      </w:pPr>
    </w:p>
    <w:p w14:paraId="3951E53E" w14:textId="4F03A31B" w:rsidR="00586AB3" w:rsidRPr="00586AB3" w:rsidRDefault="00080512" w:rsidP="00080512">
      <w:pPr>
        <w:widowControl w:val="0"/>
        <w:spacing w:beforeLines="50" w:before="156" w:afterLines="50" w:after="156" w:line="360" w:lineRule="auto"/>
        <w:jc w:val="center"/>
        <w:rPr>
          <w:rFonts w:eastAsia="等线"/>
          <w:kern w:val="2"/>
          <w:lang w:val="en-US" w:eastAsia="zh-CN"/>
        </w:rPr>
      </w:pPr>
      <w:r>
        <w:rPr>
          <w:rFonts w:eastAsia="等线"/>
          <w:noProof/>
          <w:lang w:val="en-US" w:eastAsia="zh-CN"/>
        </w:rPr>
        <w:drawing>
          <wp:inline distT="0" distB="0" distL="0" distR="0" wp14:anchorId="3F01AFD9" wp14:editId="2A1231B8">
            <wp:extent cx="6131600" cy="1173617"/>
            <wp:effectExtent l="0" t="0" r="0" b="7620"/>
            <wp:docPr id="2012152845"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52845" name="图片 1" descr="手机屏幕截图&#10;&#10;中度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2456" cy="1183351"/>
                    </a:xfrm>
                    <a:prstGeom prst="rect">
                      <a:avLst/>
                    </a:prstGeom>
                    <a:noFill/>
                    <a:ln>
                      <a:noFill/>
                    </a:ln>
                  </pic:spPr>
                </pic:pic>
              </a:graphicData>
            </a:graphic>
          </wp:inline>
        </w:drawing>
      </w:r>
    </w:p>
    <w:p w14:paraId="27DED8D8" w14:textId="77777777" w:rsidR="00080512" w:rsidRDefault="00080512" w:rsidP="00586AB3">
      <w:pPr>
        <w:widowControl w:val="0"/>
        <w:spacing w:beforeLines="50" w:before="156" w:afterLines="50" w:after="156" w:line="360" w:lineRule="auto"/>
        <w:jc w:val="both"/>
        <w:rPr>
          <w:rFonts w:eastAsia="等线"/>
          <w:b/>
          <w:bCs/>
          <w:kern w:val="2"/>
          <w:lang w:val="en-US" w:eastAsia="zh-CN"/>
        </w:rPr>
      </w:pPr>
      <w:bookmarkStart w:id="7" w:name="_Hlk186470984"/>
    </w:p>
    <w:p w14:paraId="30380BCF" w14:textId="624ECBF6" w:rsidR="00080512" w:rsidRDefault="00080512" w:rsidP="00586AB3">
      <w:pPr>
        <w:widowControl w:val="0"/>
        <w:spacing w:beforeLines="50" w:before="156" w:afterLines="50" w:after="156" w:line="360" w:lineRule="auto"/>
        <w:jc w:val="both"/>
        <w:rPr>
          <w:rFonts w:eastAsia="等线"/>
          <w:b/>
          <w:bCs/>
          <w:noProof/>
          <w:kern w:val="2"/>
          <w:lang w:val="en-US" w:eastAsia="zh-CN"/>
        </w:rPr>
      </w:pPr>
      <w:hyperlink r:id="rId13" w:history="1">
        <w:r w:rsidRPr="00523AFD">
          <w:rPr>
            <w:b/>
            <w:bCs/>
            <w:lang w:val="en-US"/>
          </w:rPr>
          <w:t xml:space="preserve">Supplementary Figure </w:t>
        </w:r>
        <w:r>
          <w:rPr>
            <w:rFonts w:eastAsiaTheme="minorEastAsia" w:hint="eastAsia"/>
            <w:b/>
            <w:bCs/>
            <w:lang w:val="en-US" w:eastAsia="zh-CN"/>
          </w:rPr>
          <w:t>4</w:t>
        </w:r>
      </w:hyperlink>
      <w:r w:rsidRPr="00586AB3">
        <w:rPr>
          <w:rFonts w:eastAsia="等线"/>
          <w:b/>
          <w:bCs/>
          <w:kern w:val="2"/>
          <w:lang w:val="en-US" w:eastAsia="zh-CN"/>
        </w:rPr>
        <w:t>.</w:t>
      </w:r>
      <w:bookmarkEnd w:id="7"/>
      <w:r w:rsidRPr="00080512">
        <w:rPr>
          <w:rFonts w:eastAsia="等线"/>
          <w:b/>
          <w:bCs/>
          <w:noProof/>
          <w:kern w:val="2"/>
          <w:lang w:val="en-US" w:eastAsia="zh-CN"/>
        </w:rPr>
        <w:t xml:space="preserve"> </w:t>
      </w:r>
      <w:r w:rsidR="00626E71" w:rsidRPr="00626E71">
        <w:rPr>
          <w:rFonts w:eastAsia="等线"/>
          <w:kern w:val="2"/>
          <w:lang w:val="en-US" w:eastAsia="zh-CN"/>
        </w:rPr>
        <w:t xml:space="preserve">TUNEL staining of </w:t>
      </w:r>
      <w:r w:rsidR="00DD7E39" w:rsidRPr="00626E71">
        <w:rPr>
          <w:rFonts w:eastAsia="等线"/>
          <w:kern w:val="2"/>
          <w:lang w:val="en-US" w:eastAsia="zh-CN"/>
        </w:rPr>
        <w:t>tumor</w:t>
      </w:r>
      <w:r w:rsidR="00626E71" w:rsidRPr="00626E71">
        <w:rPr>
          <w:rFonts w:eastAsia="等线"/>
          <w:kern w:val="2"/>
          <w:lang w:val="en-US" w:eastAsia="zh-CN"/>
        </w:rPr>
        <w:t xml:space="preserve"> sections from a mouse model of in situ hepatocellular carcinoma TUNEL-positive cells show brown </w:t>
      </w:r>
      <w:r w:rsidR="00DD7E39" w:rsidRPr="00626E71">
        <w:rPr>
          <w:rFonts w:eastAsia="等线"/>
          <w:kern w:val="2"/>
          <w:lang w:val="en-US" w:eastAsia="zh-CN"/>
        </w:rPr>
        <w:t>color</w:t>
      </w:r>
      <w:r w:rsidR="00626E71" w:rsidRPr="00626E71">
        <w:rPr>
          <w:rFonts w:eastAsia="等线"/>
          <w:kern w:val="2"/>
          <w:lang w:val="en-US" w:eastAsia="zh-CN"/>
        </w:rPr>
        <w:t>, indicating apoptosis. Scale bar, 50 µm.</w:t>
      </w:r>
    </w:p>
    <w:p w14:paraId="6EB6719D" w14:textId="77777777" w:rsidR="00080512" w:rsidRDefault="00080512" w:rsidP="00586AB3">
      <w:pPr>
        <w:widowControl w:val="0"/>
        <w:spacing w:beforeLines="50" w:before="156" w:afterLines="50" w:after="156" w:line="360" w:lineRule="auto"/>
        <w:jc w:val="both"/>
        <w:rPr>
          <w:rFonts w:eastAsia="等线"/>
          <w:b/>
          <w:bCs/>
          <w:noProof/>
          <w:kern w:val="2"/>
          <w:lang w:val="en-US" w:eastAsia="zh-CN"/>
        </w:rPr>
      </w:pPr>
    </w:p>
    <w:p w14:paraId="4CD7EA88" w14:textId="77777777" w:rsidR="00080512" w:rsidRDefault="00080512" w:rsidP="00586AB3">
      <w:pPr>
        <w:widowControl w:val="0"/>
        <w:spacing w:beforeLines="50" w:before="156" w:afterLines="50" w:after="156" w:line="360" w:lineRule="auto"/>
        <w:jc w:val="both"/>
        <w:rPr>
          <w:rFonts w:eastAsia="等线"/>
          <w:b/>
          <w:bCs/>
          <w:noProof/>
          <w:kern w:val="2"/>
          <w:lang w:val="en-US" w:eastAsia="zh-CN"/>
        </w:rPr>
      </w:pPr>
    </w:p>
    <w:p w14:paraId="3B6C6671" w14:textId="77777777" w:rsidR="00080512" w:rsidRDefault="00080512" w:rsidP="00586AB3">
      <w:pPr>
        <w:widowControl w:val="0"/>
        <w:spacing w:beforeLines="50" w:before="156" w:afterLines="50" w:after="156" w:line="360" w:lineRule="auto"/>
        <w:jc w:val="both"/>
        <w:rPr>
          <w:rFonts w:eastAsia="等线"/>
          <w:b/>
          <w:bCs/>
          <w:noProof/>
          <w:kern w:val="2"/>
          <w:lang w:val="en-US" w:eastAsia="zh-CN"/>
        </w:rPr>
      </w:pPr>
    </w:p>
    <w:p w14:paraId="340FC891" w14:textId="77777777" w:rsidR="00080512" w:rsidRDefault="00080512" w:rsidP="00586AB3">
      <w:pPr>
        <w:widowControl w:val="0"/>
        <w:spacing w:beforeLines="50" w:before="156" w:afterLines="50" w:after="156" w:line="360" w:lineRule="auto"/>
        <w:jc w:val="both"/>
        <w:rPr>
          <w:rFonts w:eastAsia="等线"/>
          <w:b/>
          <w:bCs/>
          <w:kern w:val="2"/>
          <w:lang w:val="en-US" w:eastAsia="zh-CN"/>
        </w:rPr>
      </w:pPr>
    </w:p>
    <w:p w14:paraId="54B20849" w14:textId="77777777" w:rsidR="00080512" w:rsidRDefault="00080512" w:rsidP="00586AB3">
      <w:pPr>
        <w:widowControl w:val="0"/>
        <w:spacing w:beforeLines="50" w:before="156" w:afterLines="50" w:after="156" w:line="360" w:lineRule="auto"/>
        <w:jc w:val="both"/>
        <w:rPr>
          <w:rFonts w:eastAsia="等线"/>
          <w:b/>
          <w:bCs/>
          <w:kern w:val="2"/>
          <w:lang w:val="en-US" w:eastAsia="zh-CN"/>
        </w:rPr>
      </w:pPr>
    </w:p>
    <w:p w14:paraId="12CC6569" w14:textId="5C8E286F" w:rsidR="00080512" w:rsidRDefault="00080512" w:rsidP="00586AB3">
      <w:pPr>
        <w:widowControl w:val="0"/>
        <w:spacing w:beforeLines="50" w:before="156" w:afterLines="50" w:after="156" w:line="360" w:lineRule="auto"/>
        <w:jc w:val="both"/>
        <w:rPr>
          <w:rFonts w:eastAsia="等线"/>
          <w:b/>
          <w:bCs/>
          <w:kern w:val="2"/>
          <w:lang w:val="en-US" w:eastAsia="zh-CN"/>
        </w:rPr>
      </w:pPr>
      <w:r>
        <w:rPr>
          <w:rFonts w:eastAsia="等线"/>
          <w:b/>
          <w:bCs/>
          <w:noProof/>
          <w:kern w:val="2"/>
          <w:lang w:val="en-US" w:eastAsia="zh-CN"/>
        </w:rPr>
        <w:drawing>
          <wp:inline distT="0" distB="0" distL="0" distR="0" wp14:anchorId="44577F21" wp14:editId="2B31A1A0">
            <wp:extent cx="6208715" cy="1214651"/>
            <wp:effectExtent l="0" t="0" r="0" b="5080"/>
            <wp:docPr id="61999405" name="图片 2"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9405" name="图片 2" descr="电脑屏幕截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8994" cy="1220575"/>
                    </a:xfrm>
                    <a:prstGeom prst="rect">
                      <a:avLst/>
                    </a:prstGeom>
                    <a:noFill/>
                    <a:ln>
                      <a:noFill/>
                    </a:ln>
                  </pic:spPr>
                </pic:pic>
              </a:graphicData>
            </a:graphic>
          </wp:inline>
        </w:drawing>
      </w:r>
    </w:p>
    <w:p w14:paraId="5C24E048" w14:textId="77777777" w:rsidR="00080512" w:rsidRDefault="00080512" w:rsidP="00586AB3">
      <w:pPr>
        <w:widowControl w:val="0"/>
        <w:spacing w:beforeLines="50" w:before="156" w:afterLines="50" w:after="156" w:line="360" w:lineRule="auto"/>
        <w:jc w:val="both"/>
        <w:rPr>
          <w:rFonts w:eastAsia="等线"/>
          <w:b/>
          <w:bCs/>
          <w:kern w:val="2"/>
          <w:lang w:val="en-US" w:eastAsia="zh-CN"/>
        </w:rPr>
      </w:pPr>
    </w:p>
    <w:p w14:paraId="524EEE7A" w14:textId="03F38439" w:rsidR="00080512" w:rsidRDefault="00080512" w:rsidP="00586AB3">
      <w:pPr>
        <w:widowControl w:val="0"/>
        <w:spacing w:beforeLines="50" w:before="156" w:afterLines="50" w:after="156" w:line="360" w:lineRule="auto"/>
        <w:jc w:val="both"/>
        <w:rPr>
          <w:rFonts w:eastAsia="等线"/>
          <w:b/>
          <w:bCs/>
          <w:kern w:val="2"/>
          <w:lang w:val="en-US" w:eastAsia="zh-CN"/>
        </w:rPr>
      </w:pPr>
      <w:hyperlink r:id="rId15" w:history="1">
        <w:r w:rsidRPr="00523AFD">
          <w:rPr>
            <w:b/>
            <w:bCs/>
            <w:lang w:val="en-US"/>
          </w:rPr>
          <w:t xml:space="preserve">Supplementary Figure </w:t>
        </w:r>
        <w:r>
          <w:rPr>
            <w:rFonts w:eastAsiaTheme="minorEastAsia" w:hint="eastAsia"/>
            <w:b/>
            <w:bCs/>
            <w:lang w:val="en-US" w:eastAsia="zh-CN"/>
          </w:rPr>
          <w:t>5.</w:t>
        </w:r>
      </w:hyperlink>
      <w:r w:rsidRPr="00080512">
        <w:rPr>
          <w:rFonts w:ascii="Helvetica" w:hAnsi="Helvetica"/>
          <w:b/>
          <w:bCs/>
          <w:color w:val="060607"/>
          <w:spacing w:val="4"/>
          <w:sz w:val="21"/>
          <w:szCs w:val="21"/>
          <w:shd w:val="clear" w:color="auto" w:fill="FFFFFF"/>
        </w:rPr>
        <w:t xml:space="preserve"> </w:t>
      </w:r>
      <w:r w:rsidR="00626E71" w:rsidRPr="00626E71">
        <w:rPr>
          <w:rFonts w:eastAsia="等线"/>
          <w:kern w:val="2"/>
          <w:lang w:val="en-US" w:eastAsia="zh-CN"/>
        </w:rPr>
        <w:t xml:space="preserve">Ki-67 staining of </w:t>
      </w:r>
      <w:r w:rsidR="00DD7E39" w:rsidRPr="00626E71">
        <w:rPr>
          <w:rFonts w:eastAsia="等线"/>
          <w:kern w:val="2"/>
          <w:lang w:val="en-US" w:eastAsia="zh-CN"/>
        </w:rPr>
        <w:t>tumor</w:t>
      </w:r>
      <w:r w:rsidR="00626E71" w:rsidRPr="00626E71">
        <w:rPr>
          <w:rFonts w:eastAsia="等线"/>
          <w:kern w:val="2"/>
          <w:lang w:val="en-US" w:eastAsia="zh-CN"/>
        </w:rPr>
        <w:t xml:space="preserve"> sections from a mouse model of in situ hepatocellular carcinoma Ki-67-positive cells appear blue, indicating active cell proliferation. Scale bar, 50 µm.</w:t>
      </w:r>
    </w:p>
    <w:p w14:paraId="02528151" w14:textId="7AD5C52A" w:rsidR="00586AB3" w:rsidRPr="00586AB3" w:rsidRDefault="00586AB3" w:rsidP="00586AB3">
      <w:pPr>
        <w:widowControl w:val="0"/>
        <w:spacing w:beforeLines="50" w:before="156" w:afterLines="50" w:after="156" w:line="360" w:lineRule="auto"/>
        <w:jc w:val="both"/>
        <w:rPr>
          <w:rFonts w:eastAsia="等线"/>
          <w:lang w:val="en-US" w:eastAsia="zh-CN"/>
        </w:rPr>
      </w:pPr>
      <w:r w:rsidRPr="00586AB3">
        <w:rPr>
          <w:rFonts w:eastAsia="等线"/>
          <w:noProof/>
          <w:kern w:val="2"/>
          <w:lang w:val="en-US" w:eastAsia="zh-CN"/>
        </w:rPr>
        <w:drawing>
          <wp:anchor distT="0" distB="0" distL="114300" distR="114300" simplePos="0" relativeHeight="251662336" behindDoc="0" locked="0" layoutInCell="1" allowOverlap="1" wp14:anchorId="5A06DFCE" wp14:editId="763BD70A">
            <wp:simplePos x="0" y="0"/>
            <wp:positionH relativeFrom="column">
              <wp:posOffset>958850</wp:posOffset>
            </wp:positionH>
            <wp:positionV relativeFrom="paragraph">
              <wp:posOffset>577850</wp:posOffset>
            </wp:positionV>
            <wp:extent cx="3475990" cy="2580640"/>
            <wp:effectExtent l="0" t="0" r="0" b="0"/>
            <wp:wrapTopAndBottom/>
            <wp:docPr id="1032" name="图片 2"/>
            <wp:cNvGraphicFramePr/>
            <a:graphic xmlns:a="http://schemas.openxmlformats.org/drawingml/2006/main">
              <a:graphicData uri="http://schemas.openxmlformats.org/drawingml/2006/picture">
                <pic:pic xmlns:pic="http://schemas.openxmlformats.org/drawingml/2006/picture">
                  <pic:nvPicPr>
                    <pic:cNvPr id="1032" name="图片 2"/>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75990" cy="2580640"/>
                    </a:xfrm>
                    <a:prstGeom prst="rect">
                      <a:avLst/>
                    </a:prstGeom>
                  </pic:spPr>
                </pic:pic>
              </a:graphicData>
            </a:graphic>
            <wp14:sizeRelH relativeFrom="page">
              <wp14:pctWidth>0</wp14:pctWidth>
            </wp14:sizeRelH>
            <wp14:sizeRelV relativeFrom="page">
              <wp14:pctHeight>0</wp14:pctHeight>
            </wp14:sizeRelV>
          </wp:anchor>
        </w:drawing>
      </w:r>
    </w:p>
    <w:p w14:paraId="612393D6" w14:textId="77777777" w:rsidR="00080512" w:rsidRDefault="00080512" w:rsidP="00586AB3">
      <w:pPr>
        <w:widowControl w:val="0"/>
        <w:spacing w:beforeLines="50" w:before="156" w:afterLines="50" w:after="156" w:line="360" w:lineRule="auto"/>
        <w:jc w:val="both"/>
        <w:rPr>
          <w:rFonts w:eastAsia="等线"/>
          <w:b/>
          <w:bCs/>
          <w:kern w:val="2"/>
          <w:lang w:val="en-US" w:eastAsia="zh-CN"/>
        </w:rPr>
      </w:pPr>
    </w:p>
    <w:p w14:paraId="0A9EE101" w14:textId="4CF4A9D1" w:rsidR="00E229BA" w:rsidRDefault="005F7FC7" w:rsidP="00586AB3">
      <w:pPr>
        <w:widowControl w:val="0"/>
        <w:spacing w:beforeLines="50" w:before="156" w:afterLines="50" w:after="156" w:line="360" w:lineRule="auto"/>
        <w:jc w:val="both"/>
        <w:rPr>
          <w:rFonts w:eastAsia="等线"/>
          <w:kern w:val="2"/>
          <w:lang w:val="en-US" w:eastAsia="zh-CN"/>
        </w:rPr>
      </w:pPr>
      <w:hyperlink r:id="rId17" w:history="1">
        <w:r w:rsidRPr="00523AFD">
          <w:rPr>
            <w:b/>
            <w:bCs/>
            <w:lang w:val="en-US"/>
          </w:rPr>
          <w:t>Supplementary Figure</w:t>
        </w:r>
        <w:r>
          <w:rPr>
            <w:rFonts w:eastAsiaTheme="minorEastAsia" w:hint="eastAsia"/>
            <w:b/>
            <w:bCs/>
            <w:lang w:val="en-US" w:eastAsia="zh-CN"/>
          </w:rPr>
          <w:t xml:space="preserve"> </w:t>
        </w:r>
        <w:r w:rsidR="00080512">
          <w:rPr>
            <w:rFonts w:eastAsiaTheme="minorEastAsia" w:hint="eastAsia"/>
            <w:b/>
            <w:bCs/>
            <w:lang w:val="en-US" w:eastAsia="zh-CN"/>
          </w:rPr>
          <w:t>6</w:t>
        </w:r>
      </w:hyperlink>
      <w:r w:rsidR="00586AB3" w:rsidRPr="00586AB3">
        <w:rPr>
          <w:rFonts w:eastAsia="等线"/>
          <w:b/>
          <w:bCs/>
          <w:kern w:val="2"/>
          <w:lang w:val="en-US" w:eastAsia="zh-CN"/>
        </w:rPr>
        <w:t xml:space="preserve">. </w:t>
      </w:r>
      <w:r w:rsidR="00E229BA" w:rsidRPr="00E229BA">
        <w:rPr>
          <w:rFonts w:eastAsia="等线"/>
          <w:kern w:val="2"/>
          <w:lang w:val="en-US" w:eastAsia="zh-CN"/>
        </w:rPr>
        <w:t>The pharmacokinetics of Ir-cR8 and Ir-cR8-BSA-NP</w:t>
      </w:r>
      <w:r w:rsidR="00BA5E0F">
        <w:rPr>
          <w:rFonts w:eastAsia="等线" w:hint="eastAsia"/>
          <w:kern w:val="2"/>
          <w:lang w:val="en-US" w:eastAsia="zh-CN"/>
        </w:rPr>
        <w:t>s</w:t>
      </w:r>
      <w:r w:rsidR="00E229BA" w:rsidRPr="00E229BA">
        <w:rPr>
          <w:rFonts w:eastAsia="等线"/>
          <w:kern w:val="2"/>
          <w:lang w:val="en-US" w:eastAsia="zh-CN"/>
        </w:rPr>
        <w:t xml:space="preserve"> were studied. After approximately 30 minutes, the concentration of Ir-cR8 in the blood decreased by more than half, while the half-life of Ir-cR8-BSA-NP was found to be 9.8 hours. This suggests that the formation of albumin nanoparticles significantly prolongs the retention time of peptide drugs in systemic circulation.</w:t>
      </w:r>
    </w:p>
    <w:p w14:paraId="45D3AC56" w14:textId="7974849D" w:rsidR="00753A22" w:rsidRPr="005528C6" w:rsidRDefault="00753A22" w:rsidP="00753A22">
      <w:pPr>
        <w:widowControl w:val="0"/>
        <w:spacing w:beforeLines="50" w:before="156" w:afterLines="50" w:after="156" w:line="360" w:lineRule="auto"/>
        <w:jc w:val="both"/>
        <w:rPr>
          <w:rFonts w:eastAsia="宋体"/>
          <w:kern w:val="2"/>
          <w:lang w:val="en-US" w:eastAsia="zh-CN"/>
        </w:rPr>
      </w:pPr>
    </w:p>
    <w:p w14:paraId="60BE7D4B" w14:textId="77777777" w:rsidR="00753A22" w:rsidRPr="00753A22" w:rsidRDefault="00753A22" w:rsidP="00586AB3">
      <w:pPr>
        <w:widowControl w:val="0"/>
        <w:spacing w:beforeLines="50" w:before="156" w:afterLines="50" w:after="156" w:line="360" w:lineRule="auto"/>
        <w:jc w:val="both"/>
        <w:rPr>
          <w:rFonts w:eastAsia="宋体"/>
          <w:kern w:val="2"/>
          <w:lang w:val="en-US" w:eastAsia="zh-CN"/>
        </w:rPr>
      </w:pPr>
    </w:p>
    <w:p w14:paraId="65C80779" w14:textId="77777777" w:rsidR="00753A22" w:rsidRDefault="00753A22" w:rsidP="00586AB3">
      <w:pPr>
        <w:widowControl w:val="0"/>
        <w:spacing w:beforeLines="50" w:before="156" w:afterLines="50" w:after="156" w:line="360" w:lineRule="auto"/>
        <w:jc w:val="both"/>
        <w:rPr>
          <w:rFonts w:eastAsia="宋体"/>
          <w:kern w:val="2"/>
          <w:lang w:val="en-US" w:eastAsia="zh-CN"/>
        </w:rPr>
      </w:pPr>
    </w:p>
    <w:p w14:paraId="6281EB43" w14:textId="00F19A83" w:rsidR="00586AB3" w:rsidRPr="00586AB3" w:rsidRDefault="00586AB3" w:rsidP="00586AB3">
      <w:pPr>
        <w:widowControl w:val="0"/>
        <w:spacing w:beforeLines="50" w:before="156" w:afterLines="50" w:after="156" w:line="360" w:lineRule="auto"/>
        <w:jc w:val="both"/>
        <w:rPr>
          <w:rFonts w:eastAsia="等线"/>
          <w:kern w:val="2"/>
          <w:lang w:val="en-US" w:eastAsia="zh-CN"/>
        </w:rPr>
      </w:pPr>
    </w:p>
    <w:p w14:paraId="2D2B4547" w14:textId="424BD1AA" w:rsidR="00586AB3" w:rsidRPr="00586AB3" w:rsidRDefault="00586AB3" w:rsidP="00586AB3">
      <w:pPr>
        <w:widowControl w:val="0"/>
        <w:spacing w:beforeLines="50" w:before="156" w:afterLines="50" w:after="156" w:line="360" w:lineRule="auto"/>
        <w:jc w:val="both"/>
        <w:rPr>
          <w:rFonts w:eastAsia="等线"/>
          <w:kern w:val="2"/>
          <w:lang w:val="en-US" w:eastAsia="zh-CN"/>
        </w:rPr>
      </w:pPr>
    </w:p>
    <w:p w14:paraId="0B70B347" w14:textId="77777777" w:rsidR="00955B7B" w:rsidRDefault="00955B7B" w:rsidP="00586AB3">
      <w:pPr>
        <w:widowControl w:val="0"/>
        <w:spacing w:beforeLines="50" w:before="156" w:afterLines="50" w:after="156" w:line="360" w:lineRule="auto"/>
        <w:jc w:val="both"/>
        <w:rPr>
          <w:rFonts w:eastAsia="等线"/>
          <w:kern w:val="2"/>
          <w:lang w:val="en-US" w:eastAsia="zh-CN"/>
        </w:rPr>
      </w:pPr>
      <w:r>
        <w:rPr>
          <w:rFonts w:hint="eastAsia"/>
          <w:noProof/>
        </w:rPr>
        <w:drawing>
          <wp:inline distT="0" distB="0" distL="114300" distR="114300" wp14:anchorId="7E0777E0" wp14:editId="302428BE">
            <wp:extent cx="5274310" cy="2426335"/>
            <wp:effectExtent l="0" t="0" r="2540" b="0"/>
            <wp:docPr id="29" name="图片 29" descr="图片包含 建筑, 照片, 不同, 地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建筑, 照片, 不同, 地板&#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426335"/>
                    </a:xfrm>
                    <a:prstGeom prst="rect">
                      <a:avLst/>
                    </a:prstGeom>
                  </pic:spPr>
                </pic:pic>
              </a:graphicData>
            </a:graphic>
          </wp:inline>
        </w:drawing>
      </w:r>
    </w:p>
    <w:bookmarkStart w:id="8" w:name="_Hlk186468121"/>
    <w:p w14:paraId="7011D416" w14:textId="47DEC560" w:rsidR="00955B7B" w:rsidRPr="00FA318D" w:rsidRDefault="00955B7B" w:rsidP="00955B7B">
      <w:pPr>
        <w:rPr>
          <w:rFonts w:eastAsiaTheme="minorEastAsia"/>
          <w:lang w:val="en-US" w:eastAsia="zh-CN"/>
        </w:rPr>
      </w:pPr>
      <w:r w:rsidRPr="00A1425D">
        <w:rPr>
          <w:rFonts w:eastAsia="等线"/>
          <w:b/>
          <w:bCs/>
          <w:kern w:val="2"/>
          <w:lang w:val="en-US" w:eastAsia="zh-CN"/>
        </w:rPr>
        <w:fldChar w:fldCharType="begin"/>
      </w:r>
      <w:r w:rsidRPr="00523AFD">
        <w:rPr>
          <w:rFonts w:eastAsia="等线"/>
          <w:b/>
          <w:bCs/>
          <w:kern w:val="2"/>
          <w:lang w:val="en-US" w:eastAsia="zh-CN"/>
        </w:rPr>
        <w:instrText>HYPERLINK "https://www.dovepress.com/get_supplementary_file.php?f=498965.docx"</w:instrText>
      </w:r>
      <w:r w:rsidRPr="00A1425D">
        <w:rPr>
          <w:rFonts w:eastAsia="等线"/>
          <w:b/>
          <w:bCs/>
          <w:kern w:val="2"/>
          <w:lang w:val="en-US" w:eastAsia="zh-CN"/>
        </w:rPr>
      </w:r>
      <w:r w:rsidRPr="00A1425D">
        <w:rPr>
          <w:rFonts w:eastAsia="等线"/>
          <w:b/>
          <w:bCs/>
          <w:kern w:val="2"/>
          <w:lang w:val="en-US" w:eastAsia="zh-CN"/>
        </w:rPr>
        <w:fldChar w:fldCharType="separate"/>
      </w:r>
      <w:r w:rsidRPr="00523AFD">
        <w:rPr>
          <w:b/>
          <w:bCs/>
          <w:lang w:val="en-US"/>
        </w:rPr>
        <w:t xml:space="preserve">Supplementary Figure </w:t>
      </w:r>
      <w:r w:rsidR="00BD748F">
        <w:rPr>
          <w:rFonts w:eastAsiaTheme="minorEastAsia" w:hint="eastAsia"/>
          <w:b/>
          <w:bCs/>
          <w:lang w:val="en-US" w:eastAsia="zh-CN"/>
        </w:rPr>
        <w:t>7</w:t>
      </w:r>
      <w:r>
        <w:rPr>
          <w:rFonts w:eastAsiaTheme="minorEastAsia" w:hint="eastAsia"/>
          <w:b/>
          <w:bCs/>
          <w:lang w:val="en-US" w:eastAsia="zh-CN"/>
        </w:rPr>
        <w:t>.</w:t>
      </w:r>
      <w:r w:rsidRPr="00A1425D">
        <w:rPr>
          <w:rFonts w:eastAsia="等线"/>
          <w:b/>
          <w:bCs/>
          <w:kern w:val="2"/>
          <w:lang w:val="en-US" w:eastAsia="zh-CN"/>
        </w:rPr>
        <w:fldChar w:fldCharType="end"/>
      </w:r>
      <w:bookmarkEnd w:id="8"/>
      <w:r w:rsidRPr="00FA318D">
        <w:t xml:space="preserve"> </w:t>
      </w:r>
      <w:r w:rsidRPr="00FA318D">
        <w:rPr>
          <w:rFonts w:eastAsia="等线"/>
          <w:b/>
          <w:bCs/>
          <w:kern w:val="2"/>
          <w:lang w:val="en-US" w:eastAsia="zh-CN"/>
        </w:rPr>
        <w:t xml:space="preserve">HE </w:t>
      </w:r>
      <w:proofErr w:type="gramStart"/>
      <w:r w:rsidRPr="00FA318D">
        <w:rPr>
          <w:rFonts w:eastAsia="等线"/>
          <w:b/>
          <w:bCs/>
          <w:kern w:val="2"/>
          <w:lang w:val="en-US" w:eastAsia="zh-CN"/>
        </w:rPr>
        <w:t>staining</w:t>
      </w:r>
      <w:proofErr w:type="gramEnd"/>
      <w:r w:rsidRPr="00FA318D">
        <w:rPr>
          <w:rFonts w:eastAsia="等线"/>
          <w:b/>
          <w:bCs/>
          <w:kern w:val="2"/>
          <w:lang w:val="en-US" w:eastAsia="zh-CN"/>
        </w:rPr>
        <w:t xml:space="preserve"> pictures of normal tissues of each group</w:t>
      </w:r>
    </w:p>
    <w:p w14:paraId="26A388CB" w14:textId="77777777" w:rsidR="00955B7B" w:rsidRPr="00955B7B" w:rsidRDefault="00955B7B" w:rsidP="00586AB3">
      <w:pPr>
        <w:widowControl w:val="0"/>
        <w:spacing w:beforeLines="50" w:before="156" w:afterLines="50" w:after="156" w:line="360" w:lineRule="auto"/>
        <w:jc w:val="both"/>
        <w:rPr>
          <w:rFonts w:eastAsiaTheme="minorEastAsia"/>
          <w:noProof/>
          <w:lang w:val="en-US" w:eastAsia="zh-CN"/>
        </w:rPr>
      </w:pPr>
    </w:p>
    <w:p w14:paraId="6A6C6446" w14:textId="77777777" w:rsidR="00955B7B" w:rsidRDefault="00955B7B" w:rsidP="00586AB3">
      <w:pPr>
        <w:widowControl w:val="0"/>
        <w:spacing w:beforeLines="50" w:before="156" w:afterLines="50" w:after="156" w:line="360" w:lineRule="auto"/>
        <w:jc w:val="both"/>
        <w:rPr>
          <w:rFonts w:eastAsiaTheme="minorEastAsia"/>
          <w:noProof/>
          <w:lang w:eastAsia="zh-CN"/>
        </w:rPr>
      </w:pPr>
    </w:p>
    <w:p w14:paraId="1CC5EC95" w14:textId="77777777" w:rsidR="00955B7B" w:rsidRDefault="00955B7B" w:rsidP="00586AB3">
      <w:pPr>
        <w:widowControl w:val="0"/>
        <w:spacing w:beforeLines="50" w:before="156" w:afterLines="50" w:after="156" w:line="360" w:lineRule="auto"/>
        <w:jc w:val="both"/>
        <w:rPr>
          <w:rFonts w:eastAsiaTheme="minorEastAsia"/>
          <w:noProof/>
          <w:lang w:eastAsia="zh-CN"/>
        </w:rPr>
      </w:pPr>
    </w:p>
    <w:p w14:paraId="39B2D20E" w14:textId="77777777" w:rsidR="00955B7B" w:rsidRDefault="00955B7B" w:rsidP="00586AB3">
      <w:pPr>
        <w:widowControl w:val="0"/>
        <w:spacing w:beforeLines="50" w:before="156" w:afterLines="50" w:after="156" w:line="360" w:lineRule="auto"/>
        <w:jc w:val="both"/>
        <w:rPr>
          <w:rFonts w:eastAsia="等线"/>
          <w:kern w:val="2"/>
          <w:lang w:val="en-US" w:eastAsia="zh-CN"/>
        </w:rPr>
      </w:pPr>
    </w:p>
    <w:p w14:paraId="248E6937" w14:textId="77777777" w:rsidR="00955B7B" w:rsidRDefault="00955B7B" w:rsidP="00586AB3">
      <w:pPr>
        <w:widowControl w:val="0"/>
        <w:spacing w:beforeLines="50" w:before="156" w:afterLines="50" w:after="156" w:line="360" w:lineRule="auto"/>
        <w:jc w:val="both"/>
        <w:rPr>
          <w:rFonts w:eastAsia="等线"/>
          <w:kern w:val="2"/>
          <w:lang w:val="en-US" w:eastAsia="zh-CN"/>
        </w:rPr>
      </w:pPr>
    </w:p>
    <w:p w14:paraId="40280663" w14:textId="77777777" w:rsidR="00955B7B" w:rsidRDefault="00955B7B" w:rsidP="00586AB3">
      <w:pPr>
        <w:widowControl w:val="0"/>
        <w:spacing w:beforeLines="50" w:before="156" w:afterLines="50" w:after="156" w:line="360" w:lineRule="auto"/>
        <w:jc w:val="both"/>
        <w:rPr>
          <w:rFonts w:eastAsia="等线"/>
          <w:kern w:val="2"/>
          <w:lang w:val="en-US" w:eastAsia="zh-CN"/>
        </w:rPr>
      </w:pPr>
    </w:p>
    <w:p w14:paraId="700D89C2" w14:textId="0667334F" w:rsidR="00586AB3" w:rsidRPr="00586AB3" w:rsidRDefault="00DF3EE1" w:rsidP="00586AB3">
      <w:pPr>
        <w:widowControl w:val="0"/>
        <w:spacing w:beforeLines="50" w:before="156" w:afterLines="50" w:after="156" w:line="360" w:lineRule="auto"/>
        <w:jc w:val="both"/>
        <w:rPr>
          <w:rFonts w:eastAsia="等线"/>
          <w:kern w:val="2"/>
          <w:lang w:val="en-US" w:eastAsia="zh-CN"/>
        </w:rPr>
      </w:pPr>
      <w:r>
        <w:rPr>
          <w:noProof/>
        </w:rPr>
        <w:lastRenderedPageBreak/>
        <w:drawing>
          <wp:inline distT="0" distB="0" distL="0" distR="0" wp14:anchorId="14F70DF3" wp14:editId="28C6EA8C">
            <wp:extent cx="5274310" cy="2966720"/>
            <wp:effectExtent l="0" t="0" r="2540" b="5080"/>
            <wp:docPr id="271479211" name="图片 1" descr="图片包含 桌子,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9211" name="图片 1" descr="图片包含 桌子, 游戏机, 食物&#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26AD6EE" w14:textId="5E4EE2A9" w:rsidR="00586AB3" w:rsidRPr="00586AB3" w:rsidRDefault="005F7FC7" w:rsidP="00586AB3">
      <w:pPr>
        <w:widowControl w:val="0"/>
        <w:spacing w:beforeLines="50" w:before="156" w:afterLines="50" w:after="156" w:line="360" w:lineRule="auto"/>
        <w:jc w:val="both"/>
        <w:rPr>
          <w:rFonts w:eastAsia="等线"/>
          <w:b/>
          <w:bCs/>
          <w:kern w:val="2"/>
          <w:lang w:val="en-US" w:eastAsia="zh-CN"/>
        </w:rPr>
      </w:pPr>
      <w:hyperlink r:id="rId20" w:history="1">
        <w:r w:rsidRPr="00523AFD">
          <w:rPr>
            <w:b/>
            <w:bCs/>
            <w:lang w:val="en-US"/>
          </w:rPr>
          <w:t xml:space="preserve">Supplementary Figure </w:t>
        </w:r>
        <w:r w:rsidR="00BD748F">
          <w:rPr>
            <w:rFonts w:eastAsiaTheme="minorEastAsia" w:hint="eastAsia"/>
            <w:b/>
            <w:bCs/>
            <w:lang w:val="en-US" w:eastAsia="zh-CN"/>
          </w:rPr>
          <w:t>8</w:t>
        </w:r>
      </w:hyperlink>
      <w:r w:rsidR="00586AB3" w:rsidRPr="00586AB3">
        <w:rPr>
          <w:rFonts w:eastAsia="等线"/>
          <w:b/>
          <w:bCs/>
          <w:kern w:val="2"/>
          <w:lang w:val="en-US" w:eastAsia="zh-CN"/>
        </w:rPr>
        <w:t xml:space="preserve">. </w:t>
      </w:r>
      <w:bookmarkStart w:id="9" w:name="OLE_LINK65"/>
      <w:r w:rsidR="00E229BA" w:rsidRPr="00E229BA">
        <w:rPr>
          <w:rFonts w:eastAsia="等线"/>
          <w:kern w:val="2"/>
          <w:lang w:val="en-US" w:eastAsia="zh-CN"/>
        </w:rPr>
        <w:t>Isolate the femoral artery (A) and introduce a microcatheter by puncturing the artery (B).</w:t>
      </w:r>
      <w:bookmarkEnd w:id="9"/>
    </w:p>
    <w:p w14:paraId="43F42495" w14:textId="4428CE14" w:rsidR="0087773E" w:rsidRDefault="0087773E">
      <w:pPr>
        <w:rPr>
          <w:rFonts w:eastAsiaTheme="minorEastAsia"/>
          <w:lang w:val="en-US" w:eastAsia="zh-CN"/>
        </w:rPr>
      </w:pPr>
    </w:p>
    <w:p w14:paraId="60BCE6EC" w14:textId="77024687" w:rsidR="00FA318D" w:rsidRPr="00BD748F" w:rsidRDefault="00FA318D">
      <w:pPr>
        <w:rPr>
          <w:rFonts w:eastAsiaTheme="minorEastAsia"/>
          <w:lang w:val="en-US" w:eastAsia="zh-CN"/>
        </w:rPr>
      </w:pPr>
    </w:p>
    <w:sectPr w:rsidR="00FA318D" w:rsidRPr="00BD74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2A658" w14:textId="77777777" w:rsidR="00EB1D61" w:rsidRDefault="00EB1D61" w:rsidP="00F510D2">
      <w:r>
        <w:separator/>
      </w:r>
    </w:p>
  </w:endnote>
  <w:endnote w:type="continuationSeparator" w:id="0">
    <w:p w14:paraId="192F6787" w14:textId="77777777" w:rsidR="00EB1D61" w:rsidRDefault="00EB1D61" w:rsidP="00F5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ScalaSansLF-Bold">
    <w:altName w:val="微软雅黑"/>
    <w:panose1 w:val="00000000000000000000"/>
    <w:charset w:val="86"/>
    <w:family w:val="swiss"/>
    <w:notTrueType/>
    <w:pitch w:val="default"/>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7" w:usb1="00000000" w:usb2="00000000" w:usb3="00000000" w:csb0="00000093"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F331B" w14:textId="77777777" w:rsidR="00EB1D61" w:rsidRDefault="00EB1D61" w:rsidP="00F510D2">
      <w:r>
        <w:separator/>
      </w:r>
    </w:p>
  </w:footnote>
  <w:footnote w:type="continuationSeparator" w:id="0">
    <w:p w14:paraId="18878542" w14:textId="77777777" w:rsidR="00EB1D61" w:rsidRDefault="00EB1D61" w:rsidP="00F510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7A9"/>
    <w:rsid w:val="000647A9"/>
    <w:rsid w:val="00077E65"/>
    <w:rsid w:val="00080512"/>
    <w:rsid w:val="00082A02"/>
    <w:rsid w:val="000D4CFB"/>
    <w:rsid w:val="00107711"/>
    <w:rsid w:val="00170EB5"/>
    <w:rsid w:val="001B1C34"/>
    <w:rsid w:val="001F4132"/>
    <w:rsid w:val="00205993"/>
    <w:rsid w:val="002347C7"/>
    <w:rsid w:val="002414B9"/>
    <w:rsid w:val="002B05C2"/>
    <w:rsid w:val="002B065F"/>
    <w:rsid w:val="002B3811"/>
    <w:rsid w:val="002D0389"/>
    <w:rsid w:val="003311EA"/>
    <w:rsid w:val="00337D16"/>
    <w:rsid w:val="00362BED"/>
    <w:rsid w:val="00397926"/>
    <w:rsid w:val="003A69A5"/>
    <w:rsid w:val="003E632E"/>
    <w:rsid w:val="003F6599"/>
    <w:rsid w:val="0040573E"/>
    <w:rsid w:val="004247AB"/>
    <w:rsid w:val="00483A89"/>
    <w:rsid w:val="0051666B"/>
    <w:rsid w:val="0052154A"/>
    <w:rsid w:val="00521F46"/>
    <w:rsid w:val="005363B9"/>
    <w:rsid w:val="005528C6"/>
    <w:rsid w:val="0055347B"/>
    <w:rsid w:val="00564E1E"/>
    <w:rsid w:val="00586AB3"/>
    <w:rsid w:val="00593741"/>
    <w:rsid w:val="005A3ACD"/>
    <w:rsid w:val="005D6DAE"/>
    <w:rsid w:val="005F7FC7"/>
    <w:rsid w:val="00616814"/>
    <w:rsid w:val="00626E71"/>
    <w:rsid w:val="00670A4B"/>
    <w:rsid w:val="006B7922"/>
    <w:rsid w:val="006E1F1D"/>
    <w:rsid w:val="006E44C3"/>
    <w:rsid w:val="006E4D01"/>
    <w:rsid w:val="007145CB"/>
    <w:rsid w:val="00744B67"/>
    <w:rsid w:val="00753A22"/>
    <w:rsid w:val="0075779D"/>
    <w:rsid w:val="007C2176"/>
    <w:rsid w:val="007F40AA"/>
    <w:rsid w:val="0087773E"/>
    <w:rsid w:val="00894EC6"/>
    <w:rsid w:val="008F1148"/>
    <w:rsid w:val="008F53B3"/>
    <w:rsid w:val="0095221B"/>
    <w:rsid w:val="00955B7B"/>
    <w:rsid w:val="009846DC"/>
    <w:rsid w:val="009C6495"/>
    <w:rsid w:val="00A11D7F"/>
    <w:rsid w:val="00A1425D"/>
    <w:rsid w:val="00A80900"/>
    <w:rsid w:val="00A8600E"/>
    <w:rsid w:val="00A97850"/>
    <w:rsid w:val="00AC0E30"/>
    <w:rsid w:val="00B167E6"/>
    <w:rsid w:val="00B32525"/>
    <w:rsid w:val="00B8637D"/>
    <w:rsid w:val="00BA5E0F"/>
    <w:rsid w:val="00BD748F"/>
    <w:rsid w:val="00C0405C"/>
    <w:rsid w:val="00C64388"/>
    <w:rsid w:val="00C9250B"/>
    <w:rsid w:val="00C95640"/>
    <w:rsid w:val="00CA0066"/>
    <w:rsid w:val="00CB2AF1"/>
    <w:rsid w:val="00D03032"/>
    <w:rsid w:val="00D50A28"/>
    <w:rsid w:val="00D76E35"/>
    <w:rsid w:val="00D9205F"/>
    <w:rsid w:val="00DC0B87"/>
    <w:rsid w:val="00DD7AF5"/>
    <w:rsid w:val="00DD7E39"/>
    <w:rsid w:val="00DE589D"/>
    <w:rsid w:val="00DF3EE1"/>
    <w:rsid w:val="00E229BA"/>
    <w:rsid w:val="00E756DA"/>
    <w:rsid w:val="00EB1D61"/>
    <w:rsid w:val="00EC0DDA"/>
    <w:rsid w:val="00EF23F5"/>
    <w:rsid w:val="00F144EE"/>
    <w:rsid w:val="00F510D2"/>
    <w:rsid w:val="00F62873"/>
    <w:rsid w:val="00F92183"/>
    <w:rsid w:val="00FA3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C80F9"/>
  <w15:chartTrackingRefBased/>
  <w15:docId w15:val="{7F40422C-407F-42F6-8366-CA943990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color w:val="000000" w:themeColor="text1"/>
        <w:kern w:val="2"/>
        <w:sz w:val="24"/>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47A9"/>
    <w:rPr>
      <w:rFonts w:eastAsia="MS Mincho"/>
      <w:color w:val="auto"/>
      <w:kern w:val="0"/>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2">
    <w:name w:val="Title2"/>
    <w:basedOn w:val="a"/>
    <w:rsid w:val="000647A9"/>
    <w:rPr>
      <w:b/>
      <w:lang w:val="en-US"/>
    </w:rPr>
  </w:style>
  <w:style w:type="character" w:styleId="a3">
    <w:name w:val="Hyperlink"/>
    <w:uiPriority w:val="99"/>
    <w:unhideWhenUsed/>
    <w:rsid w:val="000647A9"/>
    <w:rPr>
      <w:color w:val="0563C1"/>
      <w:u w:val="single"/>
    </w:rPr>
  </w:style>
  <w:style w:type="paragraph" w:styleId="a4">
    <w:name w:val="Revision"/>
    <w:hidden/>
    <w:uiPriority w:val="99"/>
    <w:semiHidden/>
    <w:rsid w:val="000647A9"/>
    <w:rPr>
      <w:rFonts w:eastAsia="MS Mincho"/>
      <w:color w:val="auto"/>
      <w:kern w:val="0"/>
      <w:szCs w:val="24"/>
      <w:lang w:val="de-DE" w:eastAsia="ja-JP"/>
    </w:rPr>
  </w:style>
  <w:style w:type="character" w:styleId="a5">
    <w:name w:val="annotation reference"/>
    <w:basedOn w:val="a0"/>
    <w:uiPriority w:val="99"/>
    <w:semiHidden/>
    <w:unhideWhenUsed/>
    <w:rsid w:val="003F6599"/>
    <w:rPr>
      <w:sz w:val="21"/>
      <w:szCs w:val="21"/>
    </w:rPr>
  </w:style>
  <w:style w:type="paragraph" w:styleId="a6">
    <w:name w:val="annotation text"/>
    <w:basedOn w:val="a"/>
    <w:link w:val="a7"/>
    <w:uiPriority w:val="99"/>
    <w:semiHidden/>
    <w:unhideWhenUsed/>
    <w:rsid w:val="003F6599"/>
  </w:style>
  <w:style w:type="character" w:customStyle="1" w:styleId="a7">
    <w:name w:val="批注文字 字符"/>
    <w:basedOn w:val="a0"/>
    <w:link w:val="a6"/>
    <w:uiPriority w:val="99"/>
    <w:semiHidden/>
    <w:rsid w:val="003F6599"/>
    <w:rPr>
      <w:rFonts w:eastAsia="MS Mincho"/>
      <w:color w:val="auto"/>
      <w:kern w:val="0"/>
      <w:szCs w:val="24"/>
      <w:lang w:val="de-DE" w:eastAsia="ja-JP"/>
    </w:rPr>
  </w:style>
  <w:style w:type="paragraph" w:styleId="a8">
    <w:name w:val="annotation subject"/>
    <w:basedOn w:val="a6"/>
    <w:next w:val="a6"/>
    <w:link w:val="a9"/>
    <w:uiPriority w:val="99"/>
    <w:semiHidden/>
    <w:unhideWhenUsed/>
    <w:rsid w:val="003F6599"/>
    <w:rPr>
      <w:b/>
      <w:bCs/>
    </w:rPr>
  </w:style>
  <w:style w:type="character" w:customStyle="1" w:styleId="a9">
    <w:name w:val="批注主题 字符"/>
    <w:basedOn w:val="a7"/>
    <w:link w:val="a8"/>
    <w:uiPriority w:val="99"/>
    <w:semiHidden/>
    <w:rsid w:val="003F6599"/>
    <w:rPr>
      <w:rFonts w:eastAsia="MS Mincho"/>
      <w:b/>
      <w:bCs/>
      <w:color w:val="auto"/>
      <w:kern w:val="0"/>
      <w:szCs w:val="24"/>
      <w:lang w:val="de-DE" w:eastAsia="ja-JP"/>
    </w:rPr>
  </w:style>
  <w:style w:type="paragraph" w:styleId="aa">
    <w:name w:val="header"/>
    <w:basedOn w:val="a"/>
    <w:link w:val="ab"/>
    <w:uiPriority w:val="99"/>
    <w:unhideWhenUsed/>
    <w:rsid w:val="00F510D2"/>
    <w:pPr>
      <w:tabs>
        <w:tab w:val="center" w:pos="4153"/>
        <w:tab w:val="right" w:pos="8306"/>
      </w:tabs>
      <w:snapToGrid w:val="0"/>
      <w:jc w:val="center"/>
    </w:pPr>
    <w:rPr>
      <w:sz w:val="18"/>
      <w:szCs w:val="18"/>
    </w:rPr>
  </w:style>
  <w:style w:type="character" w:customStyle="1" w:styleId="ab">
    <w:name w:val="页眉 字符"/>
    <w:basedOn w:val="a0"/>
    <w:link w:val="aa"/>
    <w:uiPriority w:val="99"/>
    <w:rsid w:val="00F510D2"/>
    <w:rPr>
      <w:rFonts w:eastAsia="MS Mincho"/>
      <w:color w:val="auto"/>
      <w:kern w:val="0"/>
      <w:sz w:val="18"/>
      <w:szCs w:val="18"/>
      <w:lang w:val="de-DE" w:eastAsia="ja-JP"/>
    </w:rPr>
  </w:style>
  <w:style w:type="paragraph" w:styleId="ac">
    <w:name w:val="footer"/>
    <w:basedOn w:val="a"/>
    <w:link w:val="ad"/>
    <w:uiPriority w:val="99"/>
    <w:unhideWhenUsed/>
    <w:rsid w:val="00F510D2"/>
    <w:pPr>
      <w:tabs>
        <w:tab w:val="center" w:pos="4153"/>
        <w:tab w:val="right" w:pos="8306"/>
      </w:tabs>
      <w:snapToGrid w:val="0"/>
    </w:pPr>
    <w:rPr>
      <w:sz w:val="18"/>
      <w:szCs w:val="18"/>
    </w:rPr>
  </w:style>
  <w:style w:type="character" w:customStyle="1" w:styleId="ad">
    <w:name w:val="页脚 字符"/>
    <w:basedOn w:val="a0"/>
    <w:link w:val="ac"/>
    <w:uiPriority w:val="99"/>
    <w:rsid w:val="00F510D2"/>
    <w:rPr>
      <w:rFonts w:eastAsia="MS Mincho"/>
      <w:color w:val="auto"/>
      <w:kern w:val="0"/>
      <w:sz w:val="18"/>
      <w:szCs w:val="18"/>
      <w:lang w:val="de-DE" w:eastAsia="ja-JP"/>
    </w:rPr>
  </w:style>
  <w:style w:type="table" w:styleId="ae">
    <w:name w:val="Table Grid"/>
    <w:basedOn w:val="a1"/>
    <w:autoRedefine/>
    <w:qFormat/>
    <w:rsid w:val="00586AB3"/>
    <w:pPr>
      <w:widowControl w:val="0"/>
      <w:jc w:val="both"/>
    </w:pPr>
    <w:rPr>
      <w:rFonts w:ascii="等线" w:eastAsia="等线" w:hAnsi="等线" w:cs="宋体"/>
      <w:color w:val="auto"/>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A1425D"/>
    <w:rPr>
      <w:color w:val="605E5C"/>
      <w:shd w:val="clear" w:color="auto" w:fill="E1DFDD"/>
    </w:rPr>
  </w:style>
  <w:style w:type="table" w:customStyle="1" w:styleId="1">
    <w:name w:val="网格型1"/>
    <w:basedOn w:val="a1"/>
    <w:next w:val="ae"/>
    <w:qFormat/>
    <w:rsid w:val="00FA318D"/>
    <w:pPr>
      <w:widowControl w:val="0"/>
      <w:jc w:val="both"/>
    </w:pPr>
    <w:rPr>
      <w:color w:val="auto"/>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955B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59590">
      <w:bodyDiv w:val="1"/>
      <w:marLeft w:val="0"/>
      <w:marRight w:val="0"/>
      <w:marTop w:val="0"/>
      <w:marBottom w:val="0"/>
      <w:divBdr>
        <w:top w:val="none" w:sz="0" w:space="0" w:color="auto"/>
        <w:left w:val="none" w:sz="0" w:space="0" w:color="auto"/>
        <w:bottom w:val="none" w:sz="0" w:space="0" w:color="auto"/>
        <w:right w:val="none" w:sz="0" w:space="0" w:color="auto"/>
      </w:divBdr>
    </w:div>
    <w:div w:id="246578415">
      <w:bodyDiv w:val="1"/>
      <w:marLeft w:val="0"/>
      <w:marRight w:val="0"/>
      <w:marTop w:val="0"/>
      <w:marBottom w:val="0"/>
      <w:divBdr>
        <w:top w:val="none" w:sz="0" w:space="0" w:color="auto"/>
        <w:left w:val="none" w:sz="0" w:space="0" w:color="auto"/>
        <w:bottom w:val="none" w:sz="0" w:space="0" w:color="auto"/>
        <w:right w:val="none" w:sz="0" w:space="0" w:color="auto"/>
      </w:divBdr>
    </w:div>
    <w:div w:id="71416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ovepress.com/get_supplementary_file.php?f=498965.docx"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dovepress.com/get_supplementary_file.php?f=498965.docx" TargetMode="External"/><Relationship Id="rId12" Type="http://schemas.openxmlformats.org/officeDocument/2006/relationships/image" Target="media/image4.tiff"/><Relationship Id="rId17" Type="http://schemas.openxmlformats.org/officeDocument/2006/relationships/hyperlink" Target="https://www.dovepress.com/get_supplementary_file.php?f=498965.docx"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dovepress.com/get_supplementary_file.php?f=498965.docx"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dovepress.com/get_supplementary_file.php?f=498965.docx" TargetMode="External"/><Relationship Id="rId5" Type="http://schemas.openxmlformats.org/officeDocument/2006/relationships/endnotes" Target="endnotes.xml"/><Relationship Id="rId15" Type="http://schemas.openxmlformats.org/officeDocument/2006/relationships/hyperlink" Target="https://www.dovepress.com/get_supplementary_file.php?f=498965.docx"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https://www.dovepress.com/get_supplementary_file.php?f=498965.docx" TargetMode="Externa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2467</Words>
  <Characters>14067</Characters>
  <Application>Microsoft Office Word</Application>
  <DocSecurity>0</DocSecurity>
  <Lines>117</Lines>
  <Paragraphs>33</Paragraphs>
  <ScaleCrop>false</ScaleCrop>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yjk yjk</dc:creator>
  <cp:keywords/>
  <dc:description/>
  <cp:lastModifiedBy>DA34443</cp:lastModifiedBy>
  <cp:revision>3</cp:revision>
  <dcterms:created xsi:type="dcterms:W3CDTF">2024-12-31T06:57:00Z</dcterms:created>
  <dcterms:modified xsi:type="dcterms:W3CDTF">2024-12-31T09:39:00Z</dcterms:modified>
</cp:coreProperties>
</file>