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EAA75" w14:textId="20E56F95" w:rsidR="00842467" w:rsidRPr="00456E50" w:rsidRDefault="00842467" w:rsidP="00E948BD">
      <w:pPr>
        <w:rPr>
          <w:rFonts w:ascii="Times New Roman" w:hAnsi="Times New Roman" w:cs="Times New Roman"/>
          <w:color w:val="000000"/>
          <w:sz w:val="20"/>
          <w:szCs w:val="20"/>
        </w:rPr>
      </w:pPr>
      <w:r w:rsidRPr="00456E50">
        <w:rPr>
          <w:rFonts w:hint="eastAsia"/>
          <w:color w:val="000000"/>
        </w:rPr>
        <w:br w:type="page"/>
      </w:r>
    </w:p>
    <w:p w14:paraId="3F39CF5A" w14:textId="5E47065C" w:rsidR="00194EC3" w:rsidRPr="00456E50" w:rsidRDefault="00194EC3" w:rsidP="00456E50">
      <w:pPr>
        <w:rPr>
          <w:rFonts w:ascii="Times New Roman" w:eastAsia="Microsoft YaHei" w:hAnsi="Times New Roman" w:cs="Times New Roman"/>
          <w:color w:val="000000"/>
          <w:sz w:val="40"/>
          <w:szCs w:val="44"/>
        </w:rPr>
      </w:pPr>
    </w:p>
    <w:p w14:paraId="6E0050F7" w14:textId="0A24C22C" w:rsidR="00194EC3" w:rsidRPr="00456E50" w:rsidRDefault="00194EC3" w:rsidP="00194EC3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4"/>
        </w:rPr>
        <w:t>Supplementary Figure1:</w:t>
      </w:r>
      <w:r w:rsidRPr="00456E50">
        <w:rPr>
          <w:rFonts w:ascii="Times New Roman" w:hAnsi="Times New Roman" w:cs="Times New Roman"/>
          <w:color w:val="000000"/>
          <w:sz w:val="36"/>
          <w:szCs w:val="36"/>
        </w:rPr>
        <w:t xml:space="preserve"> The enrichment results of ACVRL1 in CC samples with GO enrichment analysis. </w:t>
      </w:r>
    </w:p>
    <w:p w14:paraId="0DC570E0" w14:textId="1A85BA10" w:rsidR="00194EC3" w:rsidRPr="00456E50" w:rsidRDefault="00194EC3" w:rsidP="00194EC3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456E50">
        <w:rPr>
          <w:rFonts w:ascii="Times New Roman" w:hAnsi="Times New Roman" w:cs="Times New Roman"/>
          <w:color w:val="000000"/>
          <w:sz w:val="36"/>
          <w:szCs w:val="36"/>
        </w:rPr>
        <w:drawing>
          <wp:inline distT="0" distB="0" distL="0" distR="0" wp14:anchorId="173FA632" wp14:editId="19550ACC">
            <wp:extent cx="6403717" cy="7090012"/>
            <wp:effectExtent l="0" t="0" r="0" b="0"/>
            <wp:docPr id="2097244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43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2711" cy="711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2075" w14:textId="77777777" w:rsidR="00194EC3" w:rsidRPr="00456E50" w:rsidRDefault="00194EC3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4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4"/>
        </w:rPr>
        <w:br w:type="page"/>
      </w:r>
    </w:p>
    <w:p w14:paraId="523268B2" w14:textId="23FEFE9A" w:rsidR="00194EC3" w:rsidRPr="00456E50" w:rsidRDefault="00194EC3" w:rsidP="00194EC3">
      <w:pPr>
        <w:rPr>
          <w:rFonts w:ascii="Times New Roman" w:hAnsi="Times New Roman" w:cs="Times New Roman"/>
          <w:color w:val="000000"/>
          <w:sz w:val="36"/>
          <w:szCs w:val="36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4"/>
        </w:rPr>
        <w:lastRenderedPageBreak/>
        <w:t>Supplementary Figure 2:</w:t>
      </w:r>
      <w:r w:rsidRPr="00456E50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36"/>
          <w:szCs w:val="36"/>
        </w:rPr>
        <w:t>The enrichment results of ACVRL1</w:t>
      </w:r>
      <w:r w:rsidRPr="00456E50">
        <w:rPr>
          <w:rFonts w:ascii="Times New Roman" w:hAnsi="Times New Roman" w:cs="Times New Roman" w:hint="eastAsia"/>
          <w:color w:val="000000"/>
          <w:sz w:val="36"/>
          <w:szCs w:val="36"/>
        </w:rPr>
        <w:t xml:space="preserve"> in CC samples with KEGG enrichment analysis. </w:t>
      </w:r>
    </w:p>
    <w:p w14:paraId="2DD771EA" w14:textId="2C37CFD8" w:rsidR="00F76F31" w:rsidRPr="00456E50" w:rsidRDefault="00F010D5">
      <w:pPr>
        <w:widowControl/>
        <w:jc w:val="left"/>
        <w:rPr>
          <w:color w:val="000000"/>
        </w:rPr>
      </w:pPr>
      <w:r w:rsidRPr="00456E50">
        <w:rPr>
          <w:color w:val="000000"/>
        </w:rPr>
        <w:drawing>
          <wp:inline distT="0" distB="0" distL="0" distR="0" wp14:anchorId="742D5593" wp14:editId="3F052526">
            <wp:extent cx="6404818" cy="7148945"/>
            <wp:effectExtent l="0" t="0" r="0" b="0"/>
            <wp:docPr id="7301505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505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5250" cy="716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F31" w:rsidRPr="00456E50">
        <w:rPr>
          <w:rFonts w:hint="eastAsia"/>
          <w:color w:val="000000"/>
        </w:rPr>
        <w:br w:type="page"/>
      </w:r>
    </w:p>
    <w:p w14:paraId="39C97E3A" w14:textId="7D788A83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bookmarkStart w:id="0" w:name="_Hlk187674895"/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lastRenderedPageBreak/>
        <w:t>Supplementary Figure 3: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 The enrichment results of </w:t>
      </w:r>
      <w:r w:rsidR="00F63898" w:rsidRPr="00456E50">
        <w:rPr>
          <w:rFonts w:ascii="Times New Roman" w:hAnsi="Times New Roman" w:cs="Times New Roman" w:hint="eastAsia"/>
          <w:color w:val="000000"/>
          <w:sz w:val="40"/>
          <w:szCs w:val="40"/>
        </w:rPr>
        <w:t>MUC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1 in CC samples with GO enrichment analysis. </w:t>
      </w:r>
    </w:p>
    <w:p w14:paraId="58756485" w14:textId="3ACECBFC" w:rsidR="00F010D5" w:rsidRPr="00456E50" w:rsidRDefault="00F63898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2A746707" wp14:editId="37993940">
            <wp:extent cx="6412675" cy="7157715"/>
            <wp:effectExtent l="0" t="0" r="7620" b="5715"/>
            <wp:docPr id="995866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668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9883" cy="71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0549" w14:textId="77777777" w:rsidR="00F63898" w:rsidRPr="00456E50" w:rsidRDefault="00F63898" w:rsidP="00F010D5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1ECD9887" w14:textId="77777777" w:rsidR="00F63898" w:rsidRPr="00456E50" w:rsidRDefault="00F63898" w:rsidP="00F010D5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287F8122" w14:textId="764DB960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4: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="00F63898" w:rsidRPr="00456E50">
        <w:rPr>
          <w:rFonts w:ascii="Times New Roman" w:hAnsi="Times New Roman" w:cs="Times New Roman" w:hint="eastAsia"/>
          <w:color w:val="000000"/>
          <w:sz w:val="40"/>
          <w:szCs w:val="40"/>
        </w:rPr>
        <w:t>MUC1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in CC samples with KEGG enrichment analysis. </w:t>
      </w:r>
    </w:p>
    <w:p w14:paraId="144B5A51" w14:textId="63872946" w:rsidR="00F010D5" w:rsidRPr="00456E50" w:rsidRDefault="00F63898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53475704" wp14:editId="61089248">
            <wp:extent cx="6367483" cy="7089569"/>
            <wp:effectExtent l="0" t="0" r="0" b="0"/>
            <wp:docPr id="231122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22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0530" cy="710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B6615CB" w14:textId="77777777" w:rsidR="00F76F31" w:rsidRPr="00456E50" w:rsidRDefault="00F76F31" w:rsidP="00E948BD">
      <w:pPr>
        <w:widowControl/>
        <w:jc w:val="left"/>
        <w:rPr>
          <w:color w:val="000000"/>
        </w:rPr>
      </w:pPr>
    </w:p>
    <w:p w14:paraId="6CE6F87A" w14:textId="77777777" w:rsidR="00891671" w:rsidRPr="00456E50" w:rsidRDefault="00891671" w:rsidP="00F010D5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51C08794" w14:textId="36EAE885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5: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="00F63898" w:rsidRPr="00456E50">
        <w:rPr>
          <w:rFonts w:ascii="Times New Roman" w:hAnsi="Times New Roman" w:cs="Times New Roman" w:hint="eastAsia"/>
          <w:color w:val="000000"/>
          <w:sz w:val="40"/>
          <w:szCs w:val="40"/>
        </w:rPr>
        <w:t>UCHL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1 in CC samples with GO enrichment analysis. </w:t>
      </w:r>
    </w:p>
    <w:p w14:paraId="04A5FF10" w14:textId="1F0B11A4" w:rsidR="00F010D5" w:rsidRPr="00456E50" w:rsidRDefault="00F63898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06B0946D" wp14:editId="32EBA312">
            <wp:extent cx="6357745" cy="7053943"/>
            <wp:effectExtent l="0" t="0" r="5080" b="0"/>
            <wp:docPr id="717715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152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0161" cy="70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0D5" w:rsidRPr="00456E50">
        <w:rPr>
          <w:rFonts w:ascii="Times New Roman" w:hAnsi="Times New Roman" w:cs="Times New Roman"/>
          <w:color w:val="000000"/>
          <w:sz w:val="40"/>
          <w:szCs w:val="40"/>
        </w:rPr>
        <w:br w:type="page"/>
      </w:r>
    </w:p>
    <w:p w14:paraId="0A5FEE33" w14:textId="369EB10D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6: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="00B40064" w:rsidRPr="00456E50">
        <w:rPr>
          <w:rFonts w:ascii="Times New Roman" w:hAnsi="Times New Roman" w:cs="Times New Roman" w:hint="eastAsia"/>
          <w:color w:val="000000"/>
          <w:sz w:val="40"/>
          <w:szCs w:val="40"/>
        </w:rPr>
        <w:t>UCHL1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in CC samples with KEGG enrichment analysis. </w:t>
      </w:r>
    </w:p>
    <w:p w14:paraId="5B31C77F" w14:textId="648D5C90" w:rsidR="00F010D5" w:rsidRPr="00456E50" w:rsidRDefault="00B40064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1E24FECB" wp14:editId="44C975F5">
            <wp:extent cx="6388925" cy="7134300"/>
            <wp:effectExtent l="0" t="0" r="0" b="0"/>
            <wp:docPr id="1416066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666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2263" cy="71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0D5" w:rsidRPr="00456E50">
        <w:rPr>
          <w:rFonts w:ascii="Times New Roman" w:hAnsi="Times New Roman" w:cs="Times New Roman"/>
          <w:color w:val="000000"/>
          <w:sz w:val="40"/>
          <w:szCs w:val="40"/>
        </w:rPr>
        <w:br w:type="page"/>
      </w:r>
    </w:p>
    <w:p w14:paraId="79D82814" w14:textId="2F21EB74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7: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CALCRL in CC samples with GO enrichment analysis. </w:t>
      </w:r>
    </w:p>
    <w:p w14:paraId="43529F67" w14:textId="2E1BE993" w:rsidR="00F010D5" w:rsidRPr="00456E50" w:rsidRDefault="00B40064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7FDC8770" wp14:editId="544D4109">
            <wp:extent cx="6407359" cy="7125195"/>
            <wp:effectExtent l="0" t="0" r="0" b="0"/>
            <wp:docPr id="1146995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9950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8547" cy="713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0D5" w:rsidRPr="00456E50">
        <w:rPr>
          <w:rFonts w:ascii="Times New Roman" w:hAnsi="Times New Roman" w:cs="Times New Roman"/>
          <w:color w:val="000000"/>
          <w:sz w:val="40"/>
          <w:szCs w:val="40"/>
        </w:rPr>
        <w:br w:type="page"/>
      </w:r>
    </w:p>
    <w:p w14:paraId="61E31FAA" w14:textId="06737787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8: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CALCRL in CC samples with KEGG enrichment analysis. </w:t>
      </w:r>
    </w:p>
    <w:p w14:paraId="5DE18115" w14:textId="1E5F07D9" w:rsidR="00F010D5" w:rsidRPr="00456E50" w:rsidRDefault="00B40064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3EBCC375" wp14:editId="36C32183">
            <wp:extent cx="6424551" cy="7132454"/>
            <wp:effectExtent l="0" t="0" r="0" b="0"/>
            <wp:docPr id="1673003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034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6159" cy="71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2383D" w14:textId="77777777" w:rsidR="00B40064" w:rsidRPr="00456E50" w:rsidRDefault="00B40064" w:rsidP="00F010D5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5CC5B1F5" w14:textId="2BE30922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9: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ACVRL1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GO enrichment analysis. </w:t>
      </w:r>
    </w:p>
    <w:p w14:paraId="576627DB" w14:textId="365FC436" w:rsidR="00F010D5" w:rsidRPr="00456E50" w:rsidRDefault="00B40064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12F70AA3" wp14:editId="31E41221">
            <wp:extent cx="6428325" cy="5177642"/>
            <wp:effectExtent l="0" t="0" r="0" b="4445"/>
            <wp:docPr id="439097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976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6957" cy="51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03C5" w14:textId="2E876F8C" w:rsidR="00F010D5" w:rsidRPr="00456E50" w:rsidRDefault="00F010D5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br w:type="page"/>
      </w:r>
    </w:p>
    <w:p w14:paraId="7573DB20" w14:textId="52DC30E7" w:rsidR="00F010D5" w:rsidRPr="00456E50" w:rsidRDefault="00F010D5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10: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ACVRL1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KEGG enrichment analysis. </w:t>
      </w:r>
    </w:p>
    <w:p w14:paraId="1CCF26BA" w14:textId="6D1AE640" w:rsidR="00F010D5" w:rsidRPr="00456E50" w:rsidRDefault="00B40064" w:rsidP="00F010D5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3C000E00" wp14:editId="1D7E2403">
            <wp:extent cx="6408835" cy="5106389"/>
            <wp:effectExtent l="0" t="0" r="0" b="0"/>
            <wp:docPr id="1468651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5139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3735" cy="51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B17C" w14:textId="7C38BD16" w:rsidR="00045303" w:rsidRPr="00456E50" w:rsidRDefault="00045303">
      <w:pPr>
        <w:widowControl/>
        <w:jc w:val="left"/>
        <w:rPr>
          <w:color w:val="000000"/>
        </w:rPr>
      </w:pPr>
      <w:r w:rsidRPr="00456E50">
        <w:rPr>
          <w:rFonts w:hint="eastAsia"/>
          <w:color w:val="000000"/>
        </w:rPr>
        <w:br w:type="page"/>
      </w:r>
    </w:p>
    <w:p w14:paraId="44FFB0A5" w14:textId="2A631FB8" w:rsidR="009B16FE" w:rsidRPr="00456E50" w:rsidRDefault="009B16FE" w:rsidP="009B16FE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11: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MUC1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GO enrichment analysis. </w:t>
      </w:r>
    </w:p>
    <w:p w14:paraId="590550EB" w14:textId="3D07C036" w:rsidR="009B16FE" w:rsidRPr="00456E50" w:rsidRDefault="009B16FE" w:rsidP="009B16FE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6D65A6D0" wp14:editId="19E9E381">
            <wp:extent cx="6483671" cy="5201392"/>
            <wp:effectExtent l="0" t="0" r="0" b="0"/>
            <wp:docPr id="106895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95127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5079" cy="521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C5C3" w14:textId="5740A1C4" w:rsidR="009B16FE" w:rsidRPr="00456E50" w:rsidRDefault="009B16FE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br w:type="page"/>
      </w:r>
    </w:p>
    <w:p w14:paraId="1A7A9954" w14:textId="4EFF03F1" w:rsidR="009B16FE" w:rsidRPr="00456E50" w:rsidRDefault="009B16FE" w:rsidP="009B16FE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12: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MUC1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KEGG enrichment analysis. </w:t>
      </w:r>
    </w:p>
    <w:p w14:paraId="284713C9" w14:textId="7C5A1DAB" w:rsidR="009B16FE" w:rsidRPr="00456E50" w:rsidRDefault="004E72F7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283134DD" wp14:editId="7CB2C622">
            <wp:extent cx="6388925" cy="5104371"/>
            <wp:effectExtent l="0" t="0" r="0" b="1270"/>
            <wp:docPr id="129556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62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1696" cy="511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346D9" w14:textId="77777777" w:rsidR="004E72F7" w:rsidRPr="00456E50" w:rsidRDefault="004E72F7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43D72DE4" w14:textId="7D85971E" w:rsidR="009B16FE" w:rsidRPr="00456E50" w:rsidRDefault="009B16FE" w:rsidP="009B16FE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13: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UCHL1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GO enrichment analysis. </w:t>
      </w:r>
    </w:p>
    <w:p w14:paraId="109C15DA" w14:textId="19F67F6D" w:rsidR="009B16FE" w:rsidRPr="00456E50" w:rsidRDefault="004E72F7" w:rsidP="009B16FE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20834926" wp14:editId="4BFAD0B8">
            <wp:extent cx="6371057" cy="5106390"/>
            <wp:effectExtent l="0" t="0" r="0" b="0"/>
            <wp:docPr id="276584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8444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9598" cy="511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B2AB" w14:textId="1ABBD76C" w:rsidR="009B16FE" w:rsidRPr="00456E50" w:rsidRDefault="009B16FE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br w:type="page"/>
      </w:r>
    </w:p>
    <w:p w14:paraId="2A4BC5CD" w14:textId="78839585" w:rsidR="009B16FE" w:rsidRPr="00456E50" w:rsidRDefault="009B16FE" w:rsidP="009B16FE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14: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UCHL1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</w:t>
      </w:r>
      <w:r w:rsidR="004E72F7" w:rsidRPr="00456E50">
        <w:rPr>
          <w:rFonts w:ascii="Times New Roman" w:hAnsi="Times New Roman" w:cs="Times New Roman" w:hint="eastAsia"/>
          <w:color w:val="000000"/>
          <w:sz w:val="40"/>
          <w:szCs w:val="40"/>
        </w:rPr>
        <w:t>KEGG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enrichment analysis. </w:t>
      </w:r>
    </w:p>
    <w:p w14:paraId="3343FC1A" w14:textId="74D7EF75" w:rsidR="004E72F7" w:rsidRPr="00456E50" w:rsidRDefault="004E72F7">
      <w:pPr>
        <w:widowControl/>
        <w:jc w:val="left"/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1B0A429C" wp14:editId="2C43F5A2">
            <wp:extent cx="6471622" cy="5165766"/>
            <wp:effectExtent l="0" t="0" r="5715" b="0"/>
            <wp:docPr id="1253713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1333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1272" cy="517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CE46" w14:textId="77777777" w:rsidR="004E72F7" w:rsidRPr="00456E50" w:rsidRDefault="004E72F7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64AA8012" w14:textId="02EF3ACF" w:rsidR="004E72F7" w:rsidRPr="00456E50" w:rsidRDefault="004E72F7" w:rsidP="004E72F7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15: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CALCRL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GO enrichment analysis. </w:t>
      </w:r>
    </w:p>
    <w:p w14:paraId="23495639" w14:textId="2BF13146" w:rsidR="009B16FE" w:rsidRPr="00456E50" w:rsidRDefault="002A787F" w:rsidP="009B16FE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hAnsi="Times New Roman" w:cs="Times New Roman"/>
          <w:color w:val="000000"/>
          <w:sz w:val="40"/>
          <w:szCs w:val="40"/>
        </w:rPr>
        <w:drawing>
          <wp:inline distT="0" distB="0" distL="0" distR="0" wp14:anchorId="5EFC0A1E" wp14:editId="542A2535">
            <wp:extent cx="6421179" cy="5130140"/>
            <wp:effectExtent l="0" t="0" r="0" b="0"/>
            <wp:docPr id="1583319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1926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0699" cy="513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E6CF" w14:textId="08938CCE" w:rsidR="004E72F7" w:rsidRPr="00456E50" w:rsidRDefault="004E72F7">
      <w:pPr>
        <w:widowControl/>
        <w:jc w:val="left"/>
        <w:rPr>
          <w:color w:val="000000"/>
        </w:rPr>
      </w:pPr>
      <w:r w:rsidRPr="00456E50">
        <w:rPr>
          <w:rFonts w:hint="eastAsia"/>
          <w:color w:val="000000"/>
        </w:rPr>
        <w:br w:type="page"/>
      </w:r>
    </w:p>
    <w:p w14:paraId="4CC8ED4A" w14:textId="0F0CE0CC" w:rsidR="004E72F7" w:rsidRPr="00456E50" w:rsidRDefault="004E72F7" w:rsidP="004E72F7">
      <w:pPr>
        <w:rPr>
          <w:rFonts w:ascii="Times New Roman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16: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 xml:space="preserve">The enrichment results of 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CALCRL in </w:t>
      </w:r>
      <w:r w:rsidRPr="00456E50">
        <w:rPr>
          <w:rFonts w:ascii="Times New Roman" w:hAnsi="Times New Roman" w:cs="Times New Roman"/>
          <w:color w:val="000000"/>
          <w:sz w:val="40"/>
          <w:szCs w:val="40"/>
        </w:rPr>
        <w:t>GSE44001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with KEGG enrichment analysis. </w:t>
      </w:r>
    </w:p>
    <w:p w14:paraId="1F8D6579" w14:textId="2456214F" w:rsidR="002A787F" w:rsidRPr="00456E50" w:rsidRDefault="002A787F">
      <w:pPr>
        <w:widowControl/>
        <w:jc w:val="left"/>
        <w:rPr>
          <w:color w:val="000000"/>
        </w:rPr>
      </w:pPr>
      <w:r w:rsidRPr="00456E50">
        <w:rPr>
          <w:color w:val="000000"/>
        </w:rPr>
        <w:drawing>
          <wp:inline distT="0" distB="0" distL="0" distR="0" wp14:anchorId="17488920" wp14:editId="1649D9E0">
            <wp:extent cx="6447702" cy="5142015"/>
            <wp:effectExtent l="0" t="0" r="0" b="1905"/>
            <wp:docPr id="1906170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7022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61943" cy="515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91A0" w14:textId="77777777" w:rsidR="002A787F" w:rsidRPr="00456E50" w:rsidRDefault="002A787F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1BD8187B" w14:textId="1480FF08" w:rsidR="002A787F" w:rsidRPr="00456E50" w:rsidRDefault="002A787F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17:</w:t>
      </w:r>
      <w:r w:rsidRPr="00456E50">
        <w:rPr>
          <w:rFonts w:ascii="Times New Roman" w:hAnsi="Times New Roman" w:cs="Times New Roman" w:hint="eastAsia"/>
          <w:color w:val="000000"/>
          <w:sz w:val="40"/>
          <w:szCs w:val="40"/>
        </w:rPr>
        <w:t xml:space="preserve">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Violin plot of differences in immune score, matrix score.</w:t>
      </w:r>
    </w:p>
    <w:p w14:paraId="66E6C22D" w14:textId="3583B455" w:rsidR="002A787F" w:rsidRPr="00456E50" w:rsidRDefault="002A787F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drawing>
          <wp:inline distT="0" distB="0" distL="0" distR="0" wp14:anchorId="0F7BF6A7" wp14:editId="05245304">
            <wp:extent cx="6421180" cy="1710047"/>
            <wp:effectExtent l="0" t="0" r="0" b="5080"/>
            <wp:docPr id="228265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656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1077" cy="171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8295" w14:textId="6EB17C46" w:rsidR="008D2107" w:rsidRPr="00456E50" w:rsidRDefault="008D2107" w:rsidP="008D2107">
      <w:pPr>
        <w:pStyle w:val="NormalWeb"/>
        <w:spacing w:line="276" w:lineRule="auto"/>
        <w:rPr>
          <w:rFonts w:ascii="Times New Roman" w:eastAsia="Microsoft YaHei" w:hAnsi="Times New Roman" w:cs="Times New Roman"/>
          <w:color w:val="000000"/>
        </w:rPr>
      </w:pPr>
      <w:r w:rsidRPr="00456E50">
        <w:rPr>
          <w:rFonts w:ascii="Times New Roman" w:eastAsia="Microsoft YaHei" w:hAnsi="Times New Roman" w:cs="Times New Roman"/>
          <w:color w:val="000000"/>
        </w:rPr>
        <w:t>*p&lt;0.05; ns p&gt;0.05.</w:t>
      </w:r>
    </w:p>
    <w:p w14:paraId="7F4C847D" w14:textId="3398F9E8" w:rsidR="002A787F" w:rsidRPr="00456E50" w:rsidRDefault="002A787F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3CBE2CB1" w14:textId="77777777" w:rsidR="008439A3" w:rsidRPr="00456E50" w:rsidRDefault="008439A3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5C8DD70E" w14:textId="7CDCC6A9" w:rsidR="002A787F" w:rsidRPr="00456E50" w:rsidRDefault="002A787F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>Supplementary Figure 18: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 xml:space="preserve"> Scatter plot of correlation between risk score and immune score, matrix score, and ESTIMATE score. </w:t>
      </w:r>
    </w:p>
    <w:p w14:paraId="2AD10A4A" w14:textId="5B798C9E" w:rsidR="002A787F" w:rsidRPr="00456E50" w:rsidRDefault="002A787F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drawing>
          <wp:inline distT="0" distB="0" distL="0" distR="0" wp14:anchorId="6114718C" wp14:editId="20F7A41B">
            <wp:extent cx="6409097" cy="1674421"/>
            <wp:effectExtent l="0" t="0" r="0" b="2540"/>
            <wp:docPr id="1255971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717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45713" cy="16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0AFD" w14:textId="193E850B" w:rsidR="002A787F" w:rsidRPr="00456E50" w:rsidRDefault="002A787F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0E82BE7B" w14:textId="712BE567" w:rsidR="002A787F" w:rsidRPr="00456E50" w:rsidRDefault="002A787F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19: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Transcription factors in the 2000bp upstream promoter region of gene ACVRL1 in the UCSC database.</w:t>
      </w:r>
    </w:p>
    <w:p w14:paraId="3AE62DB6" w14:textId="309B56BC" w:rsidR="002A787F" w:rsidRPr="00456E50" w:rsidRDefault="00536337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0A429F40" wp14:editId="25E1D1A7">
            <wp:extent cx="5274310" cy="354330"/>
            <wp:effectExtent l="0" t="0" r="2540" b="7620"/>
            <wp:docPr id="20664969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1404" w14:textId="77777777" w:rsidR="008439A3" w:rsidRPr="00456E50" w:rsidRDefault="008439A3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38FEE9B8" w14:textId="2189695F" w:rsidR="002A787F" w:rsidRPr="00456E50" w:rsidRDefault="002A787F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20: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Transcription factors in the 2000bp upstream promoter region of gene CALCRL in the UCSC database.</w:t>
      </w:r>
    </w:p>
    <w:p w14:paraId="40F2F66F" w14:textId="163A8A94" w:rsidR="002A787F" w:rsidRPr="00456E50" w:rsidRDefault="00536337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287A977B" wp14:editId="454F2086">
            <wp:extent cx="5274310" cy="352425"/>
            <wp:effectExtent l="0" t="0" r="2540" b="9525"/>
            <wp:docPr id="16079432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DBF0" w14:textId="77777777" w:rsidR="008439A3" w:rsidRPr="00456E50" w:rsidRDefault="008439A3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5A4E9E3E" w14:textId="23E8F1D9" w:rsidR="002A787F" w:rsidRPr="00456E50" w:rsidRDefault="002A787F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21: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Transcription factors in the 2000bp upstream promoter region of gene GNRH1 in the UCSC database.</w:t>
      </w:r>
    </w:p>
    <w:p w14:paraId="668E7A85" w14:textId="1B235A6D" w:rsidR="002A787F" w:rsidRPr="00456E50" w:rsidRDefault="00536337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142F2ADE" wp14:editId="6FD5EBFF">
            <wp:extent cx="5274310" cy="374650"/>
            <wp:effectExtent l="0" t="0" r="2540" b="6350"/>
            <wp:docPr id="10289656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3FA8" w14:textId="77777777" w:rsidR="008439A3" w:rsidRPr="00456E50" w:rsidRDefault="008439A3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366A6F83" w14:textId="53E91BD9" w:rsidR="002A787F" w:rsidRPr="00456E50" w:rsidRDefault="002A787F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22: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Transcription factors in the 2000bp upstream promoter region of gene MUC1 in the UCSC database.</w:t>
      </w:r>
    </w:p>
    <w:p w14:paraId="04E4BB32" w14:textId="185A78D2" w:rsidR="002A787F" w:rsidRPr="00456E50" w:rsidRDefault="00CA2017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59876E64" wp14:editId="5A69331A">
            <wp:extent cx="5274310" cy="487680"/>
            <wp:effectExtent l="0" t="0" r="2540" b="7620"/>
            <wp:docPr id="16629639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362DE" w14:textId="77777777" w:rsidR="008439A3" w:rsidRPr="00456E50" w:rsidRDefault="008439A3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662CE25D" w14:textId="7D6E12C7" w:rsidR="002A787F" w:rsidRPr="00456E50" w:rsidRDefault="002A787F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23: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Transcription factors in the 2000bp upstream promoter region of gene UCHL1 in the UCSC database.</w:t>
      </w:r>
    </w:p>
    <w:p w14:paraId="49333BA4" w14:textId="41F2ADD7" w:rsidR="002A787F" w:rsidRPr="00456E50" w:rsidRDefault="00CA2017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187E104F" wp14:editId="5AF35D4C">
            <wp:extent cx="5274310" cy="375920"/>
            <wp:effectExtent l="0" t="0" r="2540" b="5080"/>
            <wp:docPr id="11534215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5164" w14:textId="77777777" w:rsidR="008439A3" w:rsidRPr="00456E50" w:rsidRDefault="008439A3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3865EDA3" w14:textId="59CFD7DE" w:rsidR="002A787F" w:rsidRPr="00456E50" w:rsidRDefault="00E06F97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24: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 xml:space="preserve">Venn plot of the intersection of </w:t>
      </w: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t>MUC1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.</w:t>
      </w:r>
    </w:p>
    <w:p w14:paraId="041D43D4" w14:textId="0DD86E89" w:rsidR="002A787F" w:rsidRPr="00456E50" w:rsidRDefault="00E06F97" w:rsidP="002A787F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34F1B8A6" wp14:editId="614BCB6C">
            <wp:extent cx="6372225" cy="5288947"/>
            <wp:effectExtent l="0" t="0" r="0" b="6985"/>
            <wp:docPr id="18769251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29" cy="529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A9A9" w14:textId="77777777" w:rsidR="00E06F97" w:rsidRPr="00456E50" w:rsidRDefault="00E06F97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42EBE248" w14:textId="158897B5" w:rsidR="00E06F97" w:rsidRPr="00456E50" w:rsidRDefault="00E06F97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25: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 xml:space="preserve">Venn plot of the intersection of </w:t>
      </w: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t>ACVRL1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.</w:t>
      </w:r>
    </w:p>
    <w:p w14:paraId="6C4E6353" w14:textId="167A0B49" w:rsidR="00F76F31" w:rsidRPr="00456E50" w:rsidRDefault="004C5FA4" w:rsidP="00E948BD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22FF7DCB" wp14:editId="4B6E9A48">
            <wp:extent cx="6391275" cy="5304758"/>
            <wp:effectExtent l="0" t="0" r="0" b="0"/>
            <wp:docPr id="7557696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06" cy="53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7B07" w14:textId="77777777" w:rsidR="004C5FA4" w:rsidRPr="00456E50" w:rsidRDefault="004C5FA4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0F70220E" w14:textId="113478A1" w:rsidR="00E06F97" w:rsidRPr="00456E50" w:rsidRDefault="00E06F97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26: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 xml:space="preserve">Venn plot of the intersection of </w:t>
      </w: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t>CALCRL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.</w:t>
      </w:r>
    </w:p>
    <w:p w14:paraId="3C470601" w14:textId="6C94663E" w:rsidR="00E06F97" w:rsidRPr="00456E50" w:rsidRDefault="004C5FA4" w:rsidP="00E948BD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03C7DB75" wp14:editId="499FB46A">
            <wp:extent cx="6403554" cy="5314950"/>
            <wp:effectExtent l="0" t="0" r="0" b="0"/>
            <wp:docPr id="904404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9" cy="532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B5061" w14:textId="77777777" w:rsidR="004C5FA4" w:rsidRPr="00456E50" w:rsidRDefault="004C5FA4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57CCD632" w14:textId="7F04485B" w:rsidR="003B3609" w:rsidRPr="00456E50" w:rsidRDefault="00E06F97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lastRenderedPageBreak/>
        <w:t xml:space="preserve">Supplementary Figure 27: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 xml:space="preserve">Venn plot of the intersection of </w:t>
      </w:r>
      <w:r w:rsidRPr="00456E50">
        <w:rPr>
          <w:rFonts w:ascii="Times New Roman" w:eastAsia="Microsoft YaHei" w:hAnsi="Times New Roman" w:cs="Times New Roman" w:hint="eastAsia"/>
          <w:color w:val="000000"/>
          <w:sz w:val="40"/>
          <w:szCs w:val="40"/>
        </w:rPr>
        <w:t>UCHL1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>.</w:t>
      </w:r>
    </w:p>
    <w:p w14:paraId="6258D526" w14:textId="2A64F554" w:rsidR="003B3609" w:rsidRPr="00456E50" w:rsidRDefault="003B3609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color w:val="000000"/>
        </w:rPr>
        <w:drawing>
          <wp:inline distT="0" distB="0" distL="0" distR="0" wp14:anchorId="7E24661D" wp14:editId="48A982A3">
            <wp:extent cx="6426336" cy="5334000"/>
            <wp:effectExtent l="0" t="0" r="0" b="0"/>
            <wp:docPr id="18660629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14" cy="53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66743" w14:textId="77777777" w:rsidR="00E06F97" w:rsidRPr="00456E50" w:rsidRDefault="00E06F97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5D1C18CA" w14:textId="77777777" w:rsidR="003B3609" w:rsidRPr="00456E50" w:rsidRDefault="003B3609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78B9B3F9" w14:textId="77777777" w:rsidR="003B3609" w:rsidRPr="00456E50" w:rsidRDefault="003B3609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65F560BE" w14:textId="77777777" w:rsidR="003B3609" w:rsidRPr="00456E50" w:rsidRDefault="003B3609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36C8F30B" w14:textId="77777777" w:rsidR="003B3609" w:rsidRPr="00456E50" w:rsidRDefault="003B3609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7252FA1B" w14:textId="77777777" w:rsidR="003B3609" w:rsidRPr="00456E50" w:rsidRDefault="003B3609" w:rsidP="00E06F9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456882C8" w14:textId="4749C4D8" w:rsidR="00A77019" w:rsidRPr="00456E50" w:rsidRDefault="00A77019" w:rsidP="00A77019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t xml:space="preserve">Supplementary Figure 28: PCA analysis of highly </w:t>
      </w: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lastRenderedPageBreak/>
        <w:t>variable genes.</w:t>
      </w:r>
    </w:p>
    <w:p w14:paraId="74116C61" w14:textId="1932CA91" w:rsidR="00A77019" w:rsidRPr="00456E50" w:rsidRDefault="00A77019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drawing>
          <wp:inline distT="0" distB="0" distL="0" distR="0" wp14:anchorId="4C91CBA8" wp14:editId="1BD547EE">
            <wp:extent cx="6339617" cy="4733925"/>
            <wp:effectExtent l="0" t="0" r="4445" b="0"/>
            <wp:docPr id="510527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2785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48886" cy="474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4BA4" w14:textId="27F15E97" w:rsidR="00A77019" w:rsidRPr="00456E50" w:rsidRDefault="00A77019">
      <w:pPr>
        <w:widowControl/>
        <w:jc w:val="left"/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br w:type="page"/>
      </w:r>
    </w:p>
    <w:p w14:paraId="479B0B99" w14:textId="77777777" w:rsidR="00B474E4" w:rsidRPr="00456E50" w:rsidRDefault="00B474E4" w:rsidP="00B474E4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lastRenderedPageBreak/>
        <w:t xml:space="preserve">Supplementary Figure 29: Identification of available dimensions. </w:t>
      </w:r>
    </w:p>
    <w:p w14:paraId="71C67E26" w14:textId="05B01BB1" w:rsidR="00E06F97" w:rsidRPr="00456E50" w:rsidRDefault="00B474E4" w:rsidP="00A77019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drawing>
          <wp:inline distT="0" distB="0" distL="0" distR="0" wp14:anchorId="5023070D" wp14:editId="21CC7587">
            <wp:extent cx="6343650" cy="6343650"/>
            <wp:effectExtent l="0" t="0" r="0" b="0"/>
            <wp:docPr id="941275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2758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43695" cy="63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3E68" w14:textId="77777777" w:rsidR="00A77019" w:rsidRPr="00456E50" w:rsidRDefault="00A77019" w:rsidP="00A77019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68852BA4" w14:textId="77777777" w:rsidR="00A77019" w:rsidRPr="00456E50" w:rsidRDefault="00A77019" w:rsidP="00A77019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7E6D3E25" w14:textId="77777777" w:rsidR="00A77019" w:rsidRPr="00456E50" w:rsidRDefault="00A77019" w:rsidP="00A77019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60E58BE3" w14:textId="77777777" w:rsidR="00A77019" w:rsidRPr="00456E50" w:rsidRDefault="00A77019" w:rsidP="00A77019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</w:p>
    <w:p w14:paraId="65F438D5" w14:textId="77777777" w:rsidR="00FB6CB8" w:rsidRPr="00456E50" w:rsidRDefault="00FB6CB8" w:rsidP="00FB6CB8">
      <w:pPr>
        <w:rPr>
          <w:color w:val="00000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lastRenderedPageBreak/>
        <w:t>Supplementary Figure 30: Expression of biomarkers in different cell types in normal and disease.</w:t>
      </w:r>
    </w:p>
    <w:p w14:paraId="37E34C05" w14:textId="00BE629A" w:rsidR="00A77019" w:rsidRPr="00456E50" w:rsidRDefault="00FB6CB8" w:rsidP="008D2107">
      <w:pPr>
        <w:rPr>
          <w:rFonts w:ascii="Times New Roman" w:eastAsia="Microsoft YaHei" w:hAnsi="Times New Roman" w:cs="Times New Roman"/>
          <w:color w:val="000000"/>
          <w:sz w:val="40"/>
          <w:szCs w:val="40"/>
        </w:rPr>
      </w:pPr>
      <w:r w:rsidRPr="00456E50">
        <w:rPr>
          <w:rFonts w:ascii="Times New Roman" w:eastAsia="Microsoft YaHei" w:hAnsi="Times New Roman" w:cs="Times New Roman"/>
          <w:color w:val="000000"/>
          <w:sz w:val="40"/>
          <w:szCs w:val="40"/>
        </w:rPr>
        <w:drawing>
          <wp:inline distT="0" distB="0" distL="0" distR="0" wp14:anchorId="110B4683" wp14:editId="4721AE06">
            <wp:extent cx="5095875" cy="7676562"/>
            <wp:effectExtent l="0" t="0" r="0" b="635"/>
            <wp:docPr id="250106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0671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00860" cy="768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019" w:rsidRPr="00456E50" w:rsidSect="008D2107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A2B8B" w14:textId="77777777" w:rsidR="0081591E" w:rsidRDefault="0081591E" w:rsidP="00842467">
      <w:r>
        <w:separator/>
      </w:r>
    </w:p>
  </w:endnote>
  <w:endnote w:type="continuationSeparator" w:id="0">
    <w:p w14:paraId="0508DD91" w14:textId="77777777" w:rsidR="0081591E" w:rsidRDefault="0081591E" w:rsidP="00842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8077F" w14:textId="77777777" w:rsidR="0081591E" w:rsidRDefault="0081591E" w:rsidP="00842467">
      <w:r>
        <w:separator/>
      </w:r>
    </w:p>
  </w:footnote>
  <w:footnote w:type="continuationSeparator" w:id="0">
    <w:p w14:paraId="62B46C86" w14:textId="77777777" w:rsidR="0081591E" w:rsidRDefault="0081591E" w:rsidP="008424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oNotTrackFormatting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4F4"/>
    <w:rsid w:val="00045303"/>
    <w:rsid w:val="00076F5D"/>
    <w:rsid w:val="00102307"/>
    <w:rsid w:val="00104C1F"/>
    <w:rsid w:val="00105FFF"/>
    <w:rsid w:val="00194EC3"/>
    <w:rsid w:val="001964BC"/>
    <w:rsid w:val="001B085A"/>
    <w:rsid w:val="0021785E"/>
    <w:rsid w:val="002A787F"/>
    <w:rsid w:val="002C4C81"/>
    <w:rsid w:val="00315D1B"/>
    <w:rsid w:val="003B3609"/>
    <w:rsid w:val="003D3F45"/>
    <w:rsid w:val="003E2720"/>
    <w:rsid w:val="00420A8F"/>
    <w:rsid w:val="0044636C"/>
    <w:rsid w:val="00456E50"/>
    <w:rsid w:val="0048027A"/>
    <w:rsid w:val="004C5FA4"/>
    <w:rsid w:val="004E72F7"/>
    <w:rsid w:val="00501AAF"/>
    <w:rsid w:val="0053464F"/>
    <w:rsid w:val="00536337"/>
    <w:rsid w:val="00617145"/>
    <w:rsid w:val="00686C26"/>
    <w:rsid w:val="006E22D4"/>
    <w:rsid w:val="007D44F4"/>
    <w:rsid w:val="007E44C1"/>
    <w:rsid w:val="0081591E"/>
    <w:rsid w:val="008337E4"/>
    <w:rsid w:val="00836531"/>
    <w:rsid w:val="00842467"/>
    <w:rsid w:val="008439A3"/>
    <w:rsid w:val="00891671"/>
    <w:rsid w:val="008954EE"/>
    <w:rsid w:val="008D2107"/>
    <w:rsid w:val="00902C7B"/>
    <w:rsid w:val="00994A38"/>
    <w:rsid w:val="009B16FE"/>
    <w:rsid w:val="009B363C"/>
    <w:rsid w:val="00A77019"/>
    <w:rsid w:val="00AB52F9"/>
    <w:rsid w:val="00B254E0"/>
    <w:rsid w:val="00B40064"/>
    <w:rsid w:val="00B474E4"/>
    <w:rsid w:val="00CA08FB"/>
    <w:rsid w:val="00CA2017"/>
    <w:rsid w:val="00DD600D"/>
    <w:rsid w:val="00DE68E4"/>
    <w:rsid w:val="00E06F97"/>
    <w:rsid w:val="00E53CEA"/>
    <w:rsid w:val="00E948BD"/>
    <w:rsid w:val="00EE59C3"/>
    <w:rsid w:val="00F010D5"/>
    <w:rsid w:val="00F20C45"/>
    <w:rsid w:val="00F45D00"/>
    <w:rsid w:val="00F63486"/>
    <w:rsid w:val="00F63898"/>
    <w:rsid w:val="00F670A8"/>
    <w:rsid w:val="00F76F31"/>
    <w:rsid w:val="00FB6CB8"/>
    <w:rsid w:val="00FF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AF213"/>
  <w15:chartTrackingRefBased/>
  <w15:docId w15:val="{9780E782-4031-4814-9833-CEE9FB4E4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46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46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4246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24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2467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42467"/>
  </w:style>
  <w:style w:type="character" w:styleId="CommentReference">
    <w:name w:val="annotation reference"/>
    <w:basedOn w:val="DefaultParagraphFont"/>
    <w:uiPriority w:val="99"/>
    <w:semiHidden/>
    <w:unhideWhenUsed/>
    <w:rsid w:val="006171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1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71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1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14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63486"/>
  </w:style>
  <w:style w:type="paragraph" w:styleId="NormalWeb">
    <w:name w:val="Normal (Web)"/>
    <w:basedOn w:val="Normal"/>
    <w:uiPriority w:val="99"/>
    <w:unhideWhenUsed/>
    <w:rsid w:val="008D210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Daisy</dc:creator>
  <cp:keywords/>
  <dc:description/>
  <cp:lastModifiedBy>Murphy, Alexandra</cp:lastModifiedBy>
  <cp:revision>2</cp:revision>
  <dcterms:created xsi:type="dcterms:W3CDTF">2025-02-06T21:27:00Z</dcterms:created>
  <dcterms:modified xsi:type="dcterms:W3CDTF">2025-02-06T21:27:00Z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2025-01-12T23:16:17Z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7c84ad05-230e-4a91-8542-8fd9926c51e3</vt:lpwstr>
  </property>
  <property fmtid="{D5CDD505-2E9C-101B-9397-08002B2CF9AE}" pid="8" name="MSIP_Label_2bbab825-a111-45e4-86a1-18cee0005896_ContentBits">
    <vt:lpwstr>2</vt:lpwstr>
  </property>
</Properties>
</file>