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AC8A" w14:textId="77777777" w:rsidR="00DE28E8" w:rsidRPr="00274C7E" w:rsidRDefault="00DE28E8" w:rsidP="00DE28E8">
      <w:pPr>
        <w:rPr>
          <w:b/>
          <w:color w:val="0070C0"/>
          <w:sz w:val="28"/>
          <w:szCs w:val="28"/>
          <w:lang w:val="en-US"/>
        </w:rPr>
      </w:pPr>
      <w:r w:rsidRPr="00274C7E">
        <w:rPr>
          <w:b/>
          <w:color w:val="0070C0"/>
          <w:sz w:val="28"/>
          <w:szCs w:val="28"/>
          <w:lang w:val="en-US"/>
        </w:rPr>
        <w:t>Supplementary Material for</w:t>
      </w:r>
    </w:p>
    <w:p w14:paraId="3D13126F" w14:textId="77777777" w:rsidR="00535F62" w:rsidRPr="00274C7E" w:rsidRDefault="00535F62" w:rsidP="00535F62">
      <w:pPr>
        <w:jc w:val="both"/>
        <w:rPr>
          <w:b/>
          <w:bCs/>
          <w:sz w:val="32"/>
          <w:szCs w:val="32"/>
          <w:lang w:val="en-US"/>
        </w:rPr>
      </w:pPr>
      <w:r w:rsidRPr="00274C7E">
        <w:rPr>
          <w:b/>
          <w:bCs/>
          <w:sz w:val="32"/>
          <w:szCs w:val="32"/>
          <w:lang w:val="en-US"/>
        </w:rPr>
        <w:t>Management of CPAP follow-up by telemonitoring in obstructive sleep apnea: the PROTEUS project</w:t>
      </w:r>
    </w:p>
    <w:p w14:paraId="2BB190C8" w14:textId="77777777" w:rsidR="00DE28E8" w:rsidRPr="00274C7E" w:rsidRDefault="00DE28E8" w:rsidP="00DE28E8">
      <w:pPr>
        <w:jc w:val="center"/>
        <w:rPr>
          <w:highlight w:val="cyan"/>
        </w:rPr>
      </w:pPr>
    </w:p>
    <w:p w14:paraId="560C22DE" w14:textId="77777777" w:rsidR="00DE28E8" w:rsidRPr="00274C7E" w:rsidRDefault="00DE28E8" w:rsidP="00DE28E8">
      <w:pPr>
        <w:jc w:val="center"/>
        <w:rPr>
          <w:highlight w:val="cyan"/>
        </w:rPr>
      </w:pPr>
    </w:p>
    <w:p w14:paraId="2AA2932A" w14:textId="77777777" w:rsidR="00DE28E8" w:rsidRPr="00274C7E" w:rsidRDefault="00DE28E8" w:rsidP="00DE28E8">
      <w:pPr>
        <w:jc w:val="center"/>
        <w:rPr>
          <w:highlight w:val="cyan"/>
        </w:rPr>
      </w:pPr>
    </w:p>
    <w:p w14:paraId="39F4770B" w14:textId="77777777" w:rsidR="00DE28E8" w:rsidRPr="00274C7E" w:rsidRDefault="00DE28E8" w:rsidP="00DE28E8">
      <w:pPr>
        <w:rPr>
          <w:b/>
          <w:bCs/>
          <w:lang w:val="en-US"/>
        </w:rPr>
      </w:pPr>
      <w:r w:rsidRPr="00274C7E">
        <w:rPr>
          <w:b/>
          <w:bCs/>
          <w:lang w:val="en-US"/>
        </w:rPr>
        <w:t>Table S</w:t>
      </w:r>
      <w:r w:rsidR="00DC477A" w:rsidRPr="00274C7E">
        <w:rPr>
          <w:b/>
          <w:bCs/>
          <w:lang w:val="en-US"/>
        </w:rPr>
        <w:t>1</w:t>
      </w:r>
      <w:r w:rsidRPr="00274C7E">
        <w:rPr>
          <w:b/>
          <w:bCs/>
          <w:lang w:val="en-US"/>
        </w:rPr>
        <w:t xml:space="preserve"> – Comparison between males and females</w:t>
      </w:r>
    </w:p>
    <w:tbl>
      <w:tblPr>
        <w:tblW w:w="8152" w:type="dxa"/>
        <w:tblCellMar>
          <w:left w:w="70" w:type="dxa"/>
          <w:right w:w="70" w:type="dxa"/>
        </w:tblCellMar>
        <w:tblLook w:val="04A0" w:firstRow="1" w:lastRow="0" w:firstColumn="1" w:lastColumn="0" w:noHBand="0" w:noVBand="1"/>
      </w:tblPr>
      <w:tblGrid>
        <w:gridCol w:w="2051"/>
        <w:gridCol w:w="2440"/>
        <w:gridCol w:w="2440"/>
        <w:gridCol w:w="1221"/>
      </w:tblGrid>
      <w:tr w:rsidR="00DC477A" w:rsidRPr="00274C7E" w14:paraId="35629371" w14:textId="77777777" w:rsidTr="00962A17">
        <w:trPr>
          <w:trHeight w:val="275"/>
        </w:trPr>
        <w:tc>
          <w:tcPr>
            <w:tcW w:w="2051" w:type="dxa"/>
            <w:tcBorders>
              <w:top w:val="single" w:sz="4" w:space="0" w:color="auto"/>
              <w:left w:val="single" w:sz="4" w:space="0" w:color="auto"/>
              <w:bottom w:val="nil"/>
              <w:right w:val="nil"/>
            </w:tcBorders>
            <w:shd w:val="clear" w:color="auto" w:fill="auto"/>
            <w:noWrap/>
            <w:vAlign w:val="bottom"/>
            <w:hideMark/>
          </w:tcPr>
          <w:p w14:paraId="7287B117" w14:textId="77777777" w:rsidR="00DE28E8" w:rsidRPr="00274C7E" w:rsidRDefault="00DE28E8" w:rsidP="00962A17">
            <w:pPr>
              <w:spacing w:line="240" w:lineRule="auto"/>
              <w:rPr>
                <w:rFonts w:eastAsia="Times New Roman"/>
                <w:lang w:val="en-US"/>
              </w:rPr>
            </w:pPr>
            <w:r w:rsidRPr="00274C7E">
              <w:rPr>
                <w:rFonts w:eastAsia="Times New Roman"/>
                <w:lang w:val="en-US"/>
              </w:rPr>
              <w:t> </w:t>
            </w:r>
          </w:p>
        </w:tc>
        <w:tc>
          <w:tcPr>
            <w:tcW w:w="2440" w:type="dxa"/>
            <w:tcBorders>
              <w:top w:val="single" w:sz="4" w:space="0" w:color="auto"/>
              <w:left w:val="nil"/>
              <w:bottom w:val="nil"/>
              <w:right w:val="nil"/>
            </w:tcBorders>
            <w:shd w:val="clear" w:color="auto" w:fill="auto"/>
            <w:noWrap/>
            <w:vAlign w:val="center"/>
            <w:hideMark/>
          </w:tcPr>
          <w:p w14:paraId="5AA1C63A" w14:textId="77777777" w:rsidR="00DE28E8" w:rsidRPr="00274C7E" w:rsidRDefault="00DE28E8" w:rsidP="00962A17">
            <w:pPr>
              <w:spacing w:line="240" w:lineRule="auto"/>
              <w:jc w:val="center"/>
              <w:rPr>
                <w:rFonts w:eastAsia="Times New Roman"/>
                <w:b/>
                <w:bCs/>
              </w:rPr>
            </w:pPr>
            <w:r w:rsidRPr="00274C7E">
              <w:rPr>
                <w:rFonts w:eastAsia="Times New Roman"/>
                <w:b/>
                <w:bCs/>
              </w:rPr>
              <w:t>Females</w:t>
            </w:r>
          </w:p>
        </w:tc>
        <w:tc>
          <w:tcPr>
            <w:tcW w:w="2440" w:type="dxa"/>
            <w:tcBorders>
              <w:top w:val="single" w:sz="4" w:space="0" w:color="auto"/>
              <w:left w:val="nil"/>
              <w:bottom w:val="nil"/>
              <w:right w:val="nil"/>
            </w:tcBorders>
            <w:shd w:val="clear" w:color="auto" w:fill="auto"/>
            <w:noWrap/>
            <w:vAlign w:val="center"/>
            <w:hideMark/>
          </w:tcPr>
          <w:p w14:paraId="0B3E771D" w14:textId="77777777" w:rsidR="00DE28E8" w:rsidRPr="00274C7E" w:rsidRDefault="00DE28E8" w:rsidP="00962A17">
            <w:pPr>
              <w:spacing w:line="240" w:lineRule="auto"/>
              <w:jc w:val="center"/>
              <w:rPr>
                <w:rFonts w:eastAsia="Times New Roman"/>
                <w:b/>
                <w:bCs/>
              </w:rPr>
            </w:pPr>
            <w:r w:rsidRPr="00274C7E">
              <w:rPr>
                <w:rFonts w:eastAsia="Times New Roman"/>
                <w:b/>
                <w:bCs/>
              </w:rPr>
              <w:t xml:space="preserve">Males </w:t>
            </w:r>
          </w:p>
        </w:tc>
        <w:tc>
          <w:tcPr>
            <w:tcW w:w="1221" w:type="dxa"/>
            <w:tcBorders>
              <w:top w:val="single" w:sz="4" w:space="0" w:color="auto"/>
              <w:left w:val="nil"/>
              <w:bottom w:val="nil"/>
              <w:right w:val="single" w:sz="4" w:space="0" w:color="auto"/>
            </w:tcBorders>
            <w:shd w:val="clear" w:color="auto" w:fill="auto"/>
            <w:noWrap/>
            <w:vAlign w:val="bottom"/>
            <w:hideMark/>
          </w:tcPr>
          <w:p w14:paraId="766C576B" w14:textId="77777777" w:rsidR="00DE28E8" w:rsidRPr="00274C7E" w:rsidRDefault="00DE28E8" w:rsidP="00962A17">
            <w:pPr>
              <w:spacing w:line="240" w:lineRule="auto"/>
              <w:jc w:val="center"/>
              <w:rPr>
                <w:rFonts w:eastAsia="Times New Roman"/>
              </w:rPr>
            </w:pPr>
            <w:r w:rsidRPr="00274C7E">
              <w:rPr>
                <w:rFonts w:eastAsia="Times New Roman"/>
              </w:rPr>
              <w:t> </w:t>
            </w:r>
          </w:p>
        </w:tc>
      </w:tr>
      <w:tr w:rsidR="00DC477A" w:rsidRPr="00274C7E" w14:paraId="5008A0BC"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21BF1B5D" w14:textId="77777777" w:rsidR="00DE28E8" w:rsidRPr="00274C7E" w:rsidRDefault="00DE28E8" w:rsidP="00962A17">
            <w:pPr>
              <w:spacing w:line="240" w:lineRule="auto"/>
              <w:rPr>
                <w:rFonts w:eastAsia="Times New Roman"/>
              </w:rPr>
            </w:pPr>
            <w:r w:rsidRPr="00274C7E">
              <w:rPr>
                <w:rFonts w:eastAsia="Times New Roman"/>
              </w:rPr>
              <w:t> </w:t>
            </w:r>
          </w:p>
        </w:tc>
        <w:tc>
          <w:tcPr>
            <w:tcW w:w="2440" w:type="dxa"/>
            <w:tcBorders>
              <w:top w:val="nil"/>
              <w:left w:val="nil"/>
              <w:bottom w:val="single" w:sz="4" w:space="0" w:color="auto"/>
              <w:right w:val="nil"/>
            </w:tcBorders>
            <w:shd w:val="clear" w:color="auto" w:fill="auto"/>
            <w:noWrap/>
            <w:vAlign w:val="center"/>
            <w:hideMark/>
          </w:tcPr>
          <w:p w14:paraId="3B8972F0" w14:textId="77777777" w:rsidR="00DE28E8" w:rsidRPr="00274C7E" w:rsidRDefault="00DE28E8" w:rsidP="00962A17">
            <w:pPr>
              <w:spacing w:line="240" w:lineRule="auto"/>
              <w:jc w:val="center"/>
              <w:rPr>
                <w:rFonts w:eastAsia="Times New Roman"/>
                <w:b/>
                <w:bCs/>
              </w:rPr>
            </w:pPr>
            <w:r w:rsidRPr="00274C7E">
              <w:rPr>
                <w:rFonts w:eastAsia="Times New Roman"/>
                <w:b/>
                <w:bCs/>
              </w:rPr>
              <w:t xml:space="preserve"> N=1</w:t>
            </w:r>
            <w:r w:rsidR="00F0727F" w:rsidRPr="00274C7E">
              <w:rPr>
                <w:rFonts w:eastAsia="Times New Roman"/>
                <w:b/>
                <w:bCs/>
              </w:rPr>
              <w:t>46</w:t>
            </w:r>
          </w:p>
        </w:tc>
        <w:tc>
          <w:tcPr>
            <w:tcW w:w="2440" w:type="dxa"/>
            <w:tcBorders>
              <w:top w:val="nil"/>
              <w:left w:val="nil"/>
              <w:bottom w:val="single" w:sz="4" w:space="0" w:color="auto"/>
              <w:right w:val="nil"/>
            </w:tcBorders>
            <w:shd w:val="clear" w:color="auto" w:fill="auto"/>
            <w:noWrap/>
            <w:vAlign w:val="center"/>
            <w:hideMark/>
          </w:tcPr>
          <w:p w14:paraId="230B24DA" w14:textId="77777777" w:rsidR="00DE28E8" w:rsidRPr="00274C7E" w:rsidRDefault="00DE28E8" w:rsidP="00962A17">
            <w:pPr>
              <w:spacing w:line="240" w:lineRule="auto"/>
              <w:jc w:val="center"/>
              <w:rPr>
                <w:rFonts w:eastAsia="Times New Roman"/>
                <w:b/>
                <w:bCs/>
              </w:rPr>
            </w:pPr>
            <w:r w:rsidRPr="00274C7E">
              <w:rPr>
                <w:rFonts w:eastAsia="Times New Roman"/>
                <w:b/>
                <w:bCs/>
              </w:rPr>
              <w:t>N=34</w:t>
            </w:r>
            <w:r w:rsidR="00F0727F" w:rsidRPr="00274C7E">
              <w:rPr>
                <w:rFonts w:eastAsia="Times New Roman"/>
                <w:b/>
                <w:bCs/>
              </w:rPr>
              <w:t>0</w:t>
            </w:r>
          </w:p>
        </w:tc>
        <w:tc>
          <w:tcPr>
            <w:tcW w:w="1221" w:type="dxa"/>
            <w:tcBorders>
              <w:top w:val="nil"/>
              <w:left w:val="nil"/>
              <w:bottom w:val="single" w:sz="4" w:space="0" w:color="auto"/>
              <w:right w:val="single" w:sz="4" w:space="0" w:color="auto"/>
            </w:tcBorders>
            <w:shd w:val="clear" w:color="auto" w:fill="auto"/>
            <w:noWrap/>
            <w:vAlign w:val="center"/>
            <w:hideMark/>
          </w:tcPr>
          <w:p w14:paraId="7D91737E" w14:textId="77777777" w:rsidR="00DE28E8" w:rsidRPr="00274C7E" w:rsidRDefault="00DE28E8" w:rsidP="00962A17">
            <w:pPr>
              <w:spacing w:line="240" w:lineRule="auto"/>
              <w:jc w:val="center"/>
              <w:rPr>
                <w:rFonts w:eastAsia="Times New Roman"/>
                <w:b/>
                <w:bCs/>
                <w:i/>
                <w:iCs/>
              </w:rPr>
            </w:pPr>
            <w:r w:rsidRPr="00274C7E">
              <w:rPr>
                <w:rFonts w:eastAsia="Times New Roman"/>
                <w:b/>
                <w:bCs/>
                <w:i/>
                <w:iCs/>
              </w:rPr>
              <w:t>p</w:t>
            </w:r>
          </w:p>
        </w:tc>
      </w:tr>
      <w:tr w:rsidR="00DC477A" w:rsidRPr="00274C7E" w14:paraId="23A92B10" w14:textId="77777777" w:rsidTr="00962A17">
        <w:trPr>
          <w:trHeight w:val="275"/>
        </w:trPr>
        <w:tc>
          <w:tcPr>
            <w:tcW w:w="8152" w:type="dxa"/>
            <w:gridSpan w:val="4"/>
            <w:tcBorders>
              <w:top w:val="nil"/>
              <w:left w:val="single" w:sz="4" w:space="0" w:color="auto"/>
              <w:bottom w:val="single" w:sz="4" w:space="0" w:color="auto"/>
              <w:right w:val="single" w:sz="4" w:space="0" w:color="auto"/>
            </w:tcBorders>
            <w:shd w:val="clear" w:color="auto" w:fill="auto"/>
            <w:noWrap/>
            <w:vAlign w:val="bottom"/>
          </w:tcPr>
          <w:p w14:paraId="760B1ECA" w14:textId="77777777" w:rsidR="00DE28E8" w:rsidRPr="00274C7E" w:rsidRDefault="00DE28E8" w:rsidP="00962A17">
            <w:pPr>
              <w:spacing w:line="240" w:lineRule="auto"/>
              <w:rPr>
                <w:rFonts w:eastAsia="Times New Roman"/>
              </w:rPr>
            </w:pPr>
            <w:r w:rsidRPr="00274C7E">
              <w:rPr>
                <w:rFonts w:eastAsia="Times New Roman"/>
                <w:b/>
                <w:bCs/>
              </w:rPr>
              <w:t>Demographics</w:t>
            </w:r>
          </w:p>
        </w:tc>
      </w:tr>
      <w:tr w:rsidR="00DC477A" w:rsidRPr="00274C7E" w14:paraId="5823A287"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2BE5CC12" w14:textId="77777777" w:rsidR="003928C4" w:rsidRPr="00274C7E" w:rsidRDefault="003928C4" w:rsidP="00573EAC">
            <w:pPr>
              <w:spacing w:line="240" w:lineRule="auto"/>
              <w:rPr>
                <w:rFonts w:eastAsia="Times New Roman"/>
              </w:rPr>
            </w:pPr>
            <w:r w:rsidRPr="00274C7E">
              <w:rPr>
                <w:rFonts w:eastAsia="Times New Roman"/>
              </w:rPr>
              <w:t>Age (years)</w:t>
            </w:r>
          </w:p>
        </w:tc>
        <w:tc>
          <w:tcPr>
            <w:tcW w:w="2440" w:type="dxa"/>
            <w:tcBorders>
              <w:top w:val="nil"/>
              <w:left w:val="nil"/>
              <w:bottom w:val="single" w:sz="4" w:space="0" w:color="auto"/>
              <w:right w:val="nil"/>
            </w:tcBorders>
            <w:shd w:val="clear" w:color="auto" w:fill="auto"/>
            <w:noWrap/>
            <w:vAlign w:val="center"/>
            <w:hideMark/>
          </w:tcPr>
          <w:p w14:paraId="29D29E6A" w14:textId="77777777" w:rsidR="003928C4" w:rsidRPr="00274C7E" w:rsidRDefault="003928C4" w:rsidP="00962A17">
            <w:pPr>
              <w:spacing w:line="240" w:lineRule="auto"/>
              <w:jc w:val="center"/>
              <w:rPr>
                <w:rFonts w:eastAsia="Times New Roman"/>
              </w:rPr>
            </w:pPr>
            <w:r w:rsidRPr="00274C7E">
              <w:rPr>
                <w:rFonts w:eastAsia="Times New Roman"/>
              </w:rPr>
              <w:t>70,02±11,34</w:t>
            </w:r>
          </w:p>
        </w:tc>
        <w:tc>
          <w:tcPr>
            <w:tcW w:w="2440" w:type="dxa"/>
            <w:tcBorders>
              <w:top w:val="nil"/>
              <w:left w:val="nil"/>
              <w:bottom w:val="single" w:sz="4" w:space="0" w:color="auto"/>
              <w:right w:val="nil"/>
            </w:tcBorders>
            <w:shd w:val="clear" w:color="auto" w:fill="auto"/>
            <w:noWrap/>
            <w:vAlign w:val="center"/>
            <w:hideMark/>
          </w:tcPr>
          <w:p w14:paraId="1014141D" w14:textId="77777777" w:rsidR="003928C4" w:rsidRPr="00274C7E" w:rsidRDefault="003928C4" w:rsidP="00962A17">
            <w:pPr>
              <w:spacing w:line="240" w:lineRule="auto"/>
              <w:jc w:val="center"/>
              <w:rPr>
                <w:rFonts w:eastAsia="Times New Roman"/>
              </w:rPr>
            </w:pPr>
            <w:r w:rsidRPr="00274C7E">
              <w:rPr>
                <w:rFonts w:eastAsia="Times New Roman"/>
              </w:rPr>
              <w:t>67,89±12,31</w:t>
            </w:r>
          </w:p>
        </w:tc>
        <w:tc>
          <w:tcPr>
            <w:tcW w:w="1221" w:type="dxa"/>
            <w:tcBorders>
              <w:top w:val="nil"/>
              <w:left w:val="nil"/>
              <w:bottom w:val="single" w:sz="4" w:space="0" w:color="auto"/>
              <w:right w:val="single" w:sz="4" w:space="0" w:color="auto"/>
            </w:tcBorders>
            <w:shd w:val="clear" w:color="auto" w:fill="auto"/>
            <w:noWrap/>
            <w:vAlign w:val="center"/>
            <w:hideMark/>
          </w:tcPr>
          <w:p w14:paraId="6D545A93" w14:textId="77777777" w:rsidR="003928C4" w:rsidRPr="00274C7E" w:rsidRDefault="003928C4" w:rsidP="00962A17">
            <w:pPr>
              <w:spacing w:line="240" w:lineRule="auto"/>
              <w:jc w:val="center"/>
              <w:rPr>
                <w:rFonts w:eastAsia="Times New Roman"/>
              </w:rPr>
            </w:pPr>
            <w:r w:rsidRPr="00274C7E">
              <w:rPr>
                <w:rFonts w:eastAsia="Times New Roman"/>
              </w:rPr>
              <w:t>0,075</w:t>
            </w:r>
          </w:p>
        </w:tc>
      </w:tr>
      <w:tr w:rsidR="00DC477A" w:rsidRPr="00274C7E" w14:paraId="20AEF5B0"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6A1EE8E3" w14:textId="77777777" w:rsidR="003928C4" w:rsidRPr="00274C7E" w:rsidRDefault="003928C4" w:rsidP="00573EAC">
            <w:pPr>
              <w:spacing w:line="240" w:lineRule="auto"/>
              <w:rPr>
                <w:rFonts w:eastAsia="Times New Roman"/>
              </w:rPr>
            </w:pPr>
            <w:r w:rsidRPr="00274C7E">
              <w:rPr>
                <w:rFonts w:eastAsia="Times New Roman"/>
              </w:rPr>
              <w:t>Age &gt;65</w:t>
            </w:r>
            <w:r w:rsidR="00582A1A">
              <w:rPr>
                <w:rFonts w:eastAsia="Times New Roman"/>
              </w:rPr>
              <w:t xml:space="preserve"> </w:t>
            </w:r>
            <w:r w:rsidRPr="00274C7E">
              <w:rPr>
                <w:rFonts w:eastAsia="Times New Roman"/>
              </w:rPr>
              <w:t>y</w:t>
            </w:r>
            <w:r w:rsidR="00582A1A">
              <w:rPr>
                <w:rFonts w:eastAsia="Times New Roman"/>
              </w:rPr>
              <w:t>r</w:t>
            </w:r>
            <w:r w:rsidRPr="00274C7E">
              <w:rPr>
                <w:rFonts w:eastAsia="Times New Roman"/>
              </w:rPr>
              <w:t xml:space="preserve"> (%)</w:t>
            </w:r>
          </w:p>
        </w:tc>
        <w:tc>
          <w:tcPr>
            <w:tcW w:w="2440" w:type="dxa"/>
            <w:tcBorders>
              <w:top w:val="nil"/>
              <w:left w:val="nil"/>
              <w:bottom w:val="single" w:sz="4" w:space="0" w:color="auto"/>
              <w:right w:val="nil"/>
            </w:tcBorders>
            <w:shd w:val="clear" w:color="auto" w:fill="auto"/>
            <w:noWrap/>
            <w:vAlign w:val="center"/>
            <w:hideMark/>
          </w:tcPr>
          <w:p w14:paraId="3ED9301F" w14:textId="77777777" w:rsidR="003928C4" w:rsidRPr="00274C7E" w:rsidRDefault="003928C4" w:rsidP="00962A17">
            <w:pPr>
              <w:spacing w:line="240" w:lineRule="auto"/>
              <w:jc w:val="center"/>
              <w:rPr>
                <w:rFonts w:eastAsia="Times New Roman"/>
              </w:rPr>
            </w:pPr>
            <w:r w:rsidRPr="00274C7E">
              <w:rPr>
                <w:rFonts w:eastAsia="Times New Roman"/>
              </w:rPr>
              <w:t>71% </w:t>
            </w:r>
          </w:p>
        </w:tc>
        <w:tc>
          <w:tcPr>
            <w:tcW w:w="2440" w:type="dxa"/>
            <w:tcBorders>
              <w:top w:val="nil"/>
              <w:left w:val="nil"/>
              <w:bottom w:val="single" w:sz="4" w:space="0" w:color="auto"/>
              <w:right w:val="nil"/>
            </w:tcBorders>
            <w:shd w:val="clear" w:color="auto" w:fill="auto"/>
            <w:noWrap/>
            <w:vAlign w:val="center"/>
            <w:hideMark/>
          </w:tcPr>
          <w:p w14:paraId="2D17DF11" w14:textId="77777777" w:rsidR="003928C4" w:rsidRPr="00274C7E" w:rsidRDefault="003928C4" w:rsidP="00962A17">
            <w:pPr>
              <w:spacing w:line="240" w:lineRule="auto"/>
              <w:jc w:val="center"/>
              <w:rPr>
                <w:rFonts w:eastAsia="Times New Roman"/>
              </w:rPr>
            </w:pPr>
            <w:r w:rsidRPr="00274C7E">
              <w:rPr>
                <w:rFonts w:eastAsia="Times New Roman"/>
              </w:rPr>
              <w:t>64% </w:t>
            </w:r>
          </w:p>
        </w:tc>
        <w:tc>
          <w:tcPr>
            <w:tcW w:w="1221" w:type="dxa"/>
            <w:tcBorders>
              <w:top w:val="nil"/>
              <w:left w:val="nil"/>
              <w:bottom w:val="single" w:sz="4" w:space="0" w:color="auto"/>
              <w:right w:val="single" w:sz="4" w:space="0" w:color="auto"/>
            </w:tcBorders>
            <w:shd w:val="clear" w:color="auto" w:fill="auto"/>
            <w:noWrap/>
            <w:vAlign w:val="center"/>
            <w:hideMark/>
          </w:tcPr>
          <w:p w14:paraId="07D565CC" w14:textId="77777777" w:rsidR="003928C4" w:rsidRPr="00274C7E" w:rsidRDefault="003928C4" w:rsidP="00962A17">
            <w:pPr>
              <w:spacing w:line="240" w:lineRule="auto"/>
              <w:jc w:val="center"/>
              <w:rPr>
                <w:rFonts w:eastAsia="Times New Roman"/>
              </w:rPr>
            </w:pPr>
            <w:r w:rsidRPr="00274C7E">
              <w:rPr>
                <w:rFonts w:eastAsia="Times New Roman"/>
              </w:rPr>
              <w:t>0,147</w:t>
            </w:r>
          </w:p>
        </w:tc>
      </w:tr>
      <w:tr w:rsidR="00DC477A" w:rsidRPr="00274C7E" w14:paraId="67DDEFF5" w14:textId="77777777" w:rsidTr="00962A17">
        <w:trPr>
          <w:trHeight w:val="275"/>
        </w:trPr>
        <w:tc>
          <w:tcPr>
            <w:tcW w:w="8152" w:type="dxa"/>
            <w:gridSpan w:val="4"/>
            <w:tcBorders>
              <w:top w:val="nil"/>
              <w:left w:val="single" w:sz="4" w:space="0" w:color="auto"/>
              <w:bottom w:val="single" w:sz="4" w:space="0" w:color="auto"/>
              <w:right w:val="single" w:sz="4" w:space="0" w:color="auto"/>
            </w:tcBorders>
            <w:shd w:val="clear" w:color="auto" w:fill="auto"/>
            <w:noWrap/>
            <w:vAlign w:val="bottom"/>
          </w:tcPr>
          <w:p w14:paraId="73142BB7" w14:textId="77777777" w:rsidR="00DE28E8" w:rsidRPr="00274C7E" w:rsidRDefault="00DE28E8" w:rsidP="00962A17">
            <w:pPr>
              <w:spacing w:line="240" w:lineRule="auto"/>
              <w:rPr>
                <w:rFonts w:eastAsia="Times New Roman"/>
              </w:rPr>
            </w:pPr>
            <w:r w:rsidRPr="00274C7E">
              <w:rPr>
                <w:rFonts w:eastAsia="Times New Roman"/>
                <w:b/>
                <w:bCs/>
              </w:rPr>
              <w:t>CPAP data</w:t>
            </w:r>
          </w:p>
        </w:tc>
      </w:tr>
      <w:tr w:rsidR="00DC477A" w:rsidRPr="00274C7E" w14:paraId="59476E00"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484B7A2C" w14:textId="77777777" w:rsidR="003928C4" w:rsidRPr="00274C7E" w:rsidRDefault="003928C4" w:rsidP="00573EAC">
            <w:pPr>
              <w:spacing w:line="240" w:lineRule="auto"/>
              <w:rPr>
                <w:rFonts w:eastAsia="Times New Roman"/>
              </w:rPr>
            </w:pPr>
            <w:r w:rsidRPr="00274C7E">
              <w:rPr>
                <w:rFonts w:eastAsia="Times New Roman"/>
              </w:rPr>
              <w:t>rAHI (events·h</w:t>
            </w:r>
            <w:r w:rsidRPr="00274C7E">
              <w:rPr>
                <w:rFonts w:eastAsia="Times New Roman"/>
                <w:vertAlign w:val="superscript"/>
              </w:rPr>
              <w:t>-1</w:t>
            </w:r>
            <w:r w:rsidRPr="00274C7E">
              <w:rPr>
                <w:rFonts w:eastAsia="Times New Roman"/>
              </w:rPr>
              <w:t>)</w:t>
            </w:r>
          </w:p>
        </w:tc>
        <w:tc>
          <w:tcPr>
            <w:tcW w:w="2440" w:type="dxa"/>
            <w:tcBorders>
              <w:top w:val="nil"/>
              <w:left w:val="nil"/>
              <w:bottom w:val="single" w:sz="4" w:space="0" w:color="auto"/>
              <w:right w:val="nil"/>
            </w:tcBorders>
            <w:shd w:val="clear" w:color="auto" w:fill="auto"/>
            <w:noWrap/>
            <w:vAlign w:val="center"/>
            <w:hideMark/>
          </w:tcPr>
          <w:p w14:paraId="129AC09B" w14:textId="77777777" w:rsidR="003928C4" w:rsidRPr="00274C7E" w:rsidRDefault="003928C4" w:rsidP="00962A17">
            <w:pPr>
              <w:spacing w:line="240" w:lineRule="auto"/>
              <w:jc w:val="center"/>
              <w:rPr>
                <w:rFonts w:eastAsia="Times New Roman"/>
              </w:rPr>
            </w:pPr>
            <w:r w:rsidRPr="00274C7E">
              <w:rPr>
                <w:rFonts w:eastAsia="Times New Roman"/>
              </w:rPr>
              <w:t>3,99±5,65</w:t>
            </w:r>
          </w:p>
        </w:tc>
        <w:tc>
          <w:tcPr>
            <w:tcW w:w="2440" w:type="dxa"/>
            <w:tcBorders>
              <w:top w:val="nil"/>
              <w:left w:val="nil"/>
              <w:bottom w:val="single" w:sz="4" w:space="0" w:color="auto"/>
              <w:right w:val="nil"/>
            </w:tcBorders>
            <w:shd w:val="clear" w:color="auto" w:fill="auto"/>
            <w:noWrap/>
            <w:vAlign w:val="center"/>
            <w:hideMark/>
          </w:tcPr>
          <w:p w14:paraId="55DBACE2" w14:textId="77777777" w:rsidR="003928C4" w:rsidRPr="00274C7E" w:rsidRDefault="003928C4" w:rsidP="00962A17">
            <w:pPr>
              <w:spacing w:line="240" w:lineRule="auto"/>
              <w:jc w:val="center"/>
              <w:rPr>
                <w:rFonts w:eastAsia="Times New Roman"/>
              </w:rPr>
            </w:pPr>
            <w:r w:rsidRPr="00274C7E">
              <w:rPr>
                <w:rFonts w:eastAsia="Times New Roman"/>
              </w:rPr>
              <w:t>3,93±5,07</w:t>
            </w:r>
          </w:p>
        </w:tc>
        <w:tc>
          <w:tcPr>
            <w:tcW w:w="1221" w:type="dxa"/>
            <w:tcBorders>
              <w:top w:val="nil"/>
              <w:left w:val="nil"/>
              <w:bottom w:val="single" w:sz="4" w:space="0" w:color="auto"/>
              <w:right w:val="single" w:sz="4" w:space="0" w:color="auto"/>
            </w:tcBorders>
            <w:shd w:val="clear" w:color="auto" w:fill="auto"/>
            <w:noWrap/>
            <w:vAlign w:val="center"/>
            <w:hideMark/>
          </w:tcPr>
          <w:p w14:paraId="67844B3E" w14:textId="77777777" w:rsidR="003928C4" w:rsidRPr="00274C7E" w:rsidRDefault="003928C4" w:rsidP="00962A17">
            <w:pPr>
              <w:spacing w:line="240" w:lineRule="auto"/>
              <w:jc w:val="center"/>
              <w:rPr>
                <w:rFonts w:eastAsia="Times New Roman"/>
              </w:rPr>
            </w:pPr>
            <w:r w:rsidRPr="00274C7E">
              <w:rPr>
                <w:rFonts w:eastAsia="Times New Roman"/>
              </w:rPr>
              <w:t>0,898</w:t>
            </w:r>
          </w:p>
        </w:tc>
      </w:tr>
      <w:tr w:rsidR="00DC477A" w:rsidRPr="00274C7E" w14:paraId="405A5AE4"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2453E618" w14:textId="77777777" w:rsidR="003928C4" w:rsidRPr="00274C7E" w:rsidRDefault="003928C4" w:rsidP="00573EAC">
            <w:pPr>
              <w:spacing w:line="240" w:lineRule="auto"/>
              <w:rPr>
                <w:rFonts w:eastAsia="Times New Roman"/>
              </w:rPr>
            </w:pPr>
            <w:r w:rsidRPr="00274C7E">
              <w:rPr>
                <w:rFonts w:eastAsia="Times New Roman"/>
              </w:rPr>
              <w:t>rAHI &gt;10 events·h</w:t>
            </w:r>
            <w:r w:rsidRPr="00274C7E">
              <w:rPr>
                <w:rFonts w:eastAsia="Times New Roman"/>
                <w:vertAlign w:val="superscript"/>
              </w:rPr>
              <w:t>-1</w:t>
            </w:r>
            <w:r w:rsidRPr="00274C7E">
              <w:rPr>
                <w:rFonts w:eastAsia="Times New Roman"/>
              </w:rPr>
              <w:t xml:space="preserve"> (%)</w:t>
            </w:r>
          </w:p>
        </w:tc>
        <w:tc>
          <w:tcPr>
            <w:tcW w:w="2440" w:type="dxa"/>
            <w:tcBorders>
              <w:top w:val="nil"/>
              <w:left w:val="nil"/>
              <w:bottom w:val="single" w:sz="4" w:space="0" w:color="auto"/>
              <w:right w:val="nil"/>
            </w:tcBorders>
            <w:shd w:val="clear" w:color="auto" w:fill="auto"/>
            <w:noWrap/>
            <w:vAlign w:val="center"/>
            <w:hideMark/>
          </w:tcPr>
          <w:p w14:paraId="41AEF65E" w14:textId="77777777" w:rsidR="003928C4" w:rsidRPr="00274C7E" w:rsidRDefault="003928C4" w:rsidP="00962A17">
            <w:pPr>
              <w:spacing w:line="240" w:lineRule="auto"/>
              <w:jc w:val="center"/>
              <w:rPr>
                <w:rFonts w:eastAsia="Times New Roman"/>
              </w:rPr>
            </w:pPr>
            <w:r w:rsidRPr="00274C7E">
              <w:rPr>
                <w:rFonts w:eastAsia="Times New Roman"/>
              </w:rPr>
              <w:t>9% </w:t>
            </w:r>
          </w:p>
        </w:tc>
        <w:tc>
          <w:tcPr>
            <w:tcW w:w="2440" w:type="dxa"/>
            <w:tcBorders>
              <w:top w:val="nil"/>
              <w:left w:val="nil"/>
              <w:bottom w:val="single" w:sz="4" w:space="0" w:color="auto"/>
              <w:right w:val="nil"/>
            </w:tcBorders>
            <w:shd w:val="clear" w:color="auto" w:fill="auto"/>
            <w:noWrap/>
            <w:vAlign w:val="center"/>
            <w:hideMark/>
          </w:tcPr>
          <w:p w14:paraId="702E5135" w14:textId="77777777" w:rsidR="003928C4" w:rsidRPr="00274C7E" w:rsidRDefault="003928C4" w:rsidP="00962A17">
            <w:pPr>
              <w:spacing w:line="240" w:lineRule="auto"/>
              <w:jc w:val="center"/>
              <w:rPr>
                <w:rFonts w:eastAsia="Times New Roman"/>
              </w:rPr>
            </w:pPr>
            <w:r w:rsidRPr="00274C7E">
              <w:rPr>
                <w:rFonts w:eastAsia="Times New Roman"/>
              </w:rPr>
              <w:t>9% </w:t>
            </w:r>
          </w:p>
        </w:tc>
        <w:tc>
          <w:tcPr>
            <w:tcW w:w="1221" w:type="dxa"/>
            <w:tcBorders>
              <w:top w:val="nil"/>
              <w:left w:val="nil"/>
              <w:bottom w:val="single" w:sz="4" w:space="0" w:color="auto"/>
              <w:right w:val="single" w:sz="4" w:space="0" w:color="auto"/>
            </w:tcBorders>
            <w:shd w:val="clear" w:color="auto" w:fill="auto"/>
            <w:noWrap/>
            <w:vAlign w:val="center"/>
            <w:hideMark/>
          </w:tcPr>
          <w:p w14:paraId="3BEE4F06" w14:textId="77777777" w:rsidR="003928C4" w:rsidRPr="00274C7E" w:rsidRDefault="003928C4" w:rsidP="00962A17">
            <w:pPr>
              <w:spacing w:line="240" w:lineRule="auto"/>
              <w:jc w:val="center"/>
              <w:rPr>
                <w:rFonts w:eastAsia="Times New Roman"/>
              </w:rPr>
            </w:pPr>
            <w:r w:rsidRPr="00274C7E">
              <w:rPr>
                <w:rFonts w:eastAsia="Times New Roman"/>
              </w:rPr>
              <w:t>0,87</w:t>
            </w:r>
          </w:p>
        </w:tc>
      </w:tr>
      <w:tr w:rsidR="00DC477A" w:rsidRPr="00274C7E" w14:paraId="3F55F4C3"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655DC221" w14:textId="77777777" w:rsidR="003928C4" w:rsidRPr="00274C7E" w:rsidRDefault="003928C4" w:rsidP="00573EAC">
            <w:pPr>
              <w:spacing w:line="240" w:lineRule="auto"/>
              <w:rPr>
                <w:rFonts w:eastAsia="Times New Roman"/>
              </w:rPr>
            </w:pPr>
            <w:r w:rsidRPr="00274C7E">
              <w:rPr>
                <w:rFonts w:eastAsia="Times New Roman"/>
              </w:rPr>
              <w:t>Usage hours (h)</w:t>
            </w:r>
          </w:p>
        </w:tc>
        <w:tc>
          <w:tcPr>
            <w:tcW w:w="2440" w:type="dxa"/>
            <w:tcBorders>
              <w:top w:val="nil"/>
              <w:left w:val="nil"/>
              <w:bottom w:val="single" w:sz="4" w:space="0" w:color="auto"/>
              <w:right w:val="nil"/>
            </w:tcBorders>
            <w:shd w:val="clear" w:color="auto" w:fill="auto"/>
            <w:noWrap/>
            <w:vAlign w:val="center"/>
            <w:hideMark/>
          </w:tcPr>
          <w:p w14:paraId="58ED5C01" w14:textId="77777777" w:rsidR="003928C4" w:rsidRPr="00274C7E" w:rsidRDefault="003928C4" w:rsidP="00962A17">
            <w:pPr>
              <w:spacing w:line="240" w:lineRule="auto"/>
              <w:jc w:val="center"/>
              <w:rPr>
                <w:rFonts w:eastAsia="Times New Roman"/>
              </w:rPr>
            </w:pPr>
            <w:r w:rsidRPr="00274C7E">
              <w:rPr>
                <w:rFonts w:eastAsia="Times New Roman"/>
              </w:rPr>
              <w:t>6,24±1,67</w:t>
            </w:r>
          </w:p>
        </w:tc>
        <w:tc>
          <w:tcPr>
            <w:tcW w:w="2440" w:type="dxa"/>
            <w:tcBorders>
              <w:top w:val="nil"/>
              <w:left w:val="nil"/>
              <w:bottom w:val="single" w:sz="4" w:space="0" w:color="auto"/>
              <w:right w:val="nil"/>
            </w:tcBorders>
            <w:shd w:val="clear" w:color="auto" w:fill="auto"/>
            <w:noWrap/>
            <w:vAlign w:val="center"/>
            <w:hideMark/>
          </w:tcPr>
          <w:p w14:paraId="24EF8169" w14:textId="77777777" w:rsidR="003928C4" w:rsidRPr="00274C7E" w:rsidRDefault="003928C4" w:rsidP="00962A17">
            <w:pPr>
              <w:spacing w:line="240" w:lineRule="auto"/>
              <w:jc w:val="center"/>
              <w:rPr>
                <w:rFonts w:eastAsia="Times New Roman"/>
              </w:rPr>
            </w:pPr>
            <w:r w:rsidRPr="00274C7E">
              <w:rPr>
                <w:rFonts w:eastAsia="Times New Roman"/>
              </w:rPr>
              <w:t>6,40±1,74</w:t>
            </w:r>
          </w:p>
        </w:tc>
        <w:tc>
          <w:tcPr>
            <w:tcW w:w="1221" w:type="dxa"/>
            <w:tcBorders>
              <w:top w:val="nil"/>
              <w:left w:val="nil"/>
              <w:bottom w:val="single" w:sz="4" w:space="0" w:color="auto"/>
              <w:right w:val="single" w:sz="4" w:space="0" w:color="auto"/>
            </w:tcBorders>
            <w:shd w:val="clear" w:color="auto" w:fill="auto"/>
            <w:noWrap/>
            <w:vAlign w:val="center"/>
            <w:hideMark/>
          </w:tcPr>
          <w:p w14:paraId="134453F7" w14:textId="77777777" w:rsidR="003928C4" w:rsidRPr="00274C7E" w:rsidRDefault="003928C4" w:rsidP="00962A17">
            <w:pPr>
              <w:spacing w:line="240" w:lineRule="auto"/>
              <w:jc w:val="center"/>
              <w:rPr>
                <w:rFonts w:eastAsia="Times New Roman"/>
              </w:rPr>
            </w:pPr>
            <w:r w:rsidRPr="00274C7E">
              <w:rPr>
                <w:rFonts w:eastAsia="Times New Roman"/>
              </w:rPr>
              <w:t>0,331</w:t>
            </w:r>
          </w:p>
        </w:tc>
      </w:tr>
      <w:tr w:rsidR="00DC477A" w:rsidRPr="00274C7E" w14:paraId="2C4F22C8"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5F9BA1FF" w14:textId="77777777" w:rsidR="003928C4" w:rsidRPr="00274C7E" w:rsidRDefault="003928C4" w:rsidP="00573EAC">
            <w:pPr>
              <w:spacing w:line="240" w:lineRule="auto"/>
              <w:rPr>
                <w:rFonts w:eastAsia="Times New Roman"/>
              </w:rPr>
            </w:pPr>
            <w:r w:rsidRPr="00274C7E">
              <w:rPr>
                <w:rFonts w:eastAsia="Times New Roman"/>
              </w:rPr>
              <w:t>Adherence (%)</w:t>
            </w:r>
          </w:p>
        </w:tc>
        <w:tc>
          <w:tcPr>
            <w:tcW w:w="2440" w:type="dxa"/>
            <w:tcBorders>
              <w:top w:val="nil"/>
              <w:left w:val="nil"/>
              <w:bottom w:val="single" w:sz="4" w:space="0" w:color="auto"/>
              <w:right w:val="nil"/>
            </w:tcBorders>
            <w:shd w:val="clear" w:color="auto" w:fill="auto"/>
            <w:noWrap/>
            <w:vAlign w:val="center"/>
            <w:hideMark/>
          </w:tcPr>
          <w:p w14:paraId="70A2A693" w14:textId="77777777" w:rsidR="003928C4" w:rsidRPr="00274C7E" w:rsidRDefault="003928C4" w:rsidP="00962A17">
            <w:pPr>
              <w:spacing w:line="240" w:lineRule="auto"/>
              <w:jc w:val="center"/>
              <w:rPr>
                <w:rFonts w:eastAsia="Times New Roman"/>
              </w:rPr>
            </w:pPr>
            <w:r w:rsidRPr="00274C7E">
              <w:rPr>
                <w:rFonts w:eastAsia="Times New Roman"/>
              </w:rPr>
              <w:t>87,31±16,26</w:t>
            </w:r>
          </w:p>
        </w:tc>
        <w:tc>
          <w:tcPr>
            <w:tcW w:w="2440" w:type="dxa"/>
            <w:tcBorders>
              <w:top w:val="nil"/>
              <w:left w:val="nil"/>
              <w:bottom w:val="single" w:sz="4" w:space="0" w:color="auto"/>
              <w:right w:val="nil"/>
            </w:tcBorders>
            <w:shd w:val="clear" w:color="auto" w:fill="auto"/>
            <w:noWrap/>
            <w:vAlign w:val="center"/>
            <w:hideMark/>
          </w:tcPr>
          <w:p w14:paraId="2ADD47AB" w14:textId="77777777" w:rsidR="003928C4" w:rsidRPr="00274C7E" w:rsidRDefault="003928C4" w:rsidP="00962A17">
            <w:pPr>
              <w:spacing w:line="240" w:lineRule="auto"/>
              <w:jc w:val="center"/>
              <w:rPr>
                <w:rFonts w:eastAsia="Times New Roman"/>
              </w:rPr>
            </w:pPr>
            <w:r w:rsidRPr="00274C7E">
              <w:rPr>
                <w:rFonts w:eastAsia="Times New Roman"/>
              </w:rPr>
              <w:t>88,8±18,32</w:t>
            </w:r>
          </w:p>
        </w:tc>
        <w:tc>
          <w:tcPr>
            <w:tcW w:w="1221" w:type="dxa"/>
            <w:tcBorders>
              <w:top w:val="nil"/>
              <w:left w:val="nil"/>
              <w:bottom w:val="single" w:sz="4" w:space="0" w:color="auto"/>
              <w:right w:val="single" w:sz="4" w:space="0" w:color="auto"/>
            </w:tcBorders>
            <w:shd w:val="clear" w:color="auto" w:fill="auto"/>
            <w:noWrap/>
            <w:vAlign w:val="center"/>
            <w:hideMark/>
          </w:tcPr>
          <w:p w14:paraId="0613451D" w14:textId="77777777" w:rsidR="003928C4" w:rsidRPr="00274C7E" w:rsidRDefault="003928C4" w:rsidP="00962A17">
            <w:pPr>
              <w:spacing w:line="240" w:lineRule="auto"/>
              <w:jc w:val="center"/>
              <w:rPr>
                <w:rFonts w:eastAsia="Times New Roman"/>
              </w:rPr>
            </w:pPr>
            <w:r w:rsidRPr="00274C7E">
              <w:rPr>
                <w:rFonts w:eastAsia="Times New Roman"/>
              </w:rPr>
              <w:t>0,396</w:t>
            </w:r>
          </w:p>
        </w:tc>
      </w:tr>
      <w:tr w:rsidR="003928C4" w:rsidRPr="00274C7E" w14:paraId="1A40F85D" w14:textId="77777777" w:rsidTr="00962A17">
        <w:trPr>
          <w:trHeight w:val="275"/>
        </w:trPr>
        <w:tc>
          <w:tcPr>
            <w:tcW w:w="2051" w:type="dxa"/>
            <w:tcBorders>
              <w:top w:val="nil"/>
              <w:left w:val="single" w:sz="4" w:space="0" w:color="auto"/>
              <w:bottom w:val="single" w:sz="4" w:space="0" w:color="auto"/>
              <w:right w:val="nil"/>
            </w:tcBorders>
            <w:shd w:val="clear" w:color="auto" w:fill="auto"/>
            <w:noWrap/>
            <w:vAlign w:val="bottom"/>
            <w:hideMark/>
          </w:tcPr>
          <w:p w14:paraId="72F623CD" w14:textId="77777777" w:rsidR="003928C4" w:rsidRPr="00274C7E" w:rsidRDefault="003928C4" w:rsidP="00573EAC">
            <w:pPr>
              <w:spacing w:line="240" w:lineRule="auto"/>
              <w:rPr>
                <w:rFonts w:eastAsia="Times New Roman"/>
              </w:rPr>
            </w:pPr>
            <w:r w:rsidRPr="00274C7E">
              <w:rPr>
                <w:rFonts w:eastAsia="Times New Roman"/>
              </w:rPr>
              <w:t>High leakage (%)</w:t>
            </w:r>
          </w:p>
        </w:tc>
        <w:tc>
          <w:tcPr>
            <w:tcW w:w="2440" w:type="dxa"/>
            <w:tcBorders>
              <w:top w:val="nil"/>
              <w:left w:val="nil"/>
              <w:bottom w:val="single" w:sz="4" w:space="0" w:color="auto"/>
              <w:right w:val="nil"/>
            </w:tcBorders>
            <w:shd w:val="clear" w:color="auto" w:fill="auto"/>
            <w:noWrap/>
            <w:vAlign w:val="center"/>
            <w:hideMark/>
          </w:tcPr>
          <w:p w14:paraId="67C864CF" w14:textId="77777777" w:rsidR="003928C4" w:rsidRPr="00274C7E" w:rsidRDefault="003928C4" w:rsidP="00962A17">
            <w:pPr>
              <w:spacing w:line="240" w:lineRule="auto"/>
              <w:jc w:val="center"/>
              <w:rPr>
                <w:rFonts w:eastAsia="Times New Roman"/>
              </w:rPr>
            </w:pPr>
            <w:r w:rsidRPr="00274C7E">
              <w:rPr>
                <w:rFonts w:eastAsia="Times New Roman"/>
              </w:rPr>
              <w:t>19% </w:t>
            </w:r>
          </w:p>
        </w:tc>
        <w:tc>
          <w:tcPr>
            <w:tcW w:w="2440" w:type="dxa"/>
            <w:tcBorders>
              <w:top w:val="nil"/>
              <w:left w:val="nil"/>
              <w:bottom w:val="single" w:sz="4" w:space="0" w:color="auto"/>
              <w:right w:val="nil"/>
            </w:tcBorders>
            <w:shd w:val="clear" w:color="auto" w:fill="auto"/>
            <w:noWrap/>
            <w:vAlign w:val="center"/>
            <w:hideMark/>
          </w:tcPr>
          <w:p w14:paraId="0DD0446D" w14:textId="77777777" w:rsidR="003928C4" w:rsidRPr="00274C7E" w:rsidRDefault="003928C4" w:rsidP="00962A17">
            <w:pPr>
              <w:spacing w:line="240" w:lineRule="auto"/>
              <w:jc w:val="center"/>
              <w:rPr>
                <w:rFonts w:eastAsia="Times New Roman"/>
              </w:rPr>
            </w:pPr>
            <w:r w:rsidRPr="00274C7E">
              <w:rPr>
                <w:rFonts w:eastAsia="Times New Roman"/>
              </w:rPr>
              <w:t>27% </w:t>
            </w:r>
          </w:p>
        </w:tc>
        <w:tc>
          <w:tcPr>
            <w:tcW w:w="1221" w:type="dxa"/>
            <w:tcBorders>
              <w:top w:val="nil"/>
              <w:left w:val="nil"/>
              <w:bottom w:val="single" w:sz="4" w:space="0" w:color="auto"/>
              <w:right w:val="single" w:sz="4" w:space="0" w:color="auto"/>
            </w:tcBorders>
            <w:shd w:val="clear" w:color="auto" w:fill="auto"/>
            <w:noWrap/>
            <w:vAlign w:val="center"/>
            <w:hideMark/>
          </w:tcPr>
          <w:p w14:paraId="09DDBA4E" w14:textId="77777777" w:rsidR="003928C4" w:rsidRPr="00274C7E" w:rsidRDefault="003928C4" w:rsidP="00962A17">
            <w:pPr>
              <w:spacing w:line="240" w:lineRule="auto"/>
              <w:jc w:val="center"/>
              <w:rPr>
                <w:rFonts w:eastAsia="Times New Roman"/>
              </w:rPr>
            </w:pPr>
            <w:r w:rsidRPr="00274C7E">
              <w:rPr>
                <w:rFonts w:eastAsia="Times New Roman"/>
              </w:rPr>
              <w:t>0,082</w:t>
            </w:r>
          </w:p>
        </w:tc>
      </w:tr>
    </w:tbl>
    <w:p w14:paraId="4984B9D6" w14:textId="77777777" w:rsidR="00DE28E8" w:rsidRPr="00274C7E" w:rsidRDefault="00DE28E8" w:rsidP="00DE28E8">
      <w:pPr>
        <w:jc w:val="center"/>
        <w:rPr>
          <w:highlight w:val="cyan"/>
        </w:rPr>
      </w:pPr>
    </w:p>
    <w:p w14:paraId="03DA2D79" w14:textId="77777777" w:rsidR="00DE28E8" w:rsidRPr="00274C7E" w:rsidRDefault="00DE28E8" w:rsidP="00DE28E8">
      <w:pPr>
        <w:jc w:val="center"/>
        <w:rPr>
          <w:highlight w:val="cyan"/>
        </w:rPr>
      </w:pPr>
    </w:p>
    <w:p w14:paraId="640F2F8E" w14:textId="77777777" w:rsidR="00DE28E8" w:rsidRPr="00274C7E" w:rsidRDefault="00DE28E8" w:rsidP="00DE28E8">
      <w:pPr>
        <w:jc w:val="center"/>
        <w:rPr>
          <w:highlight w:val="cyan"/>
        </w:rPr>
      </w:pPr>
    </w:p>
    <w:p w14:paraId="35A0480F" w14:textId="77777777" w:rsidR="00DE28E8" w:rsidRPr="00274C7E" w:rsidRDefault="00DE28E8" w:rsidP="00DE28E8">
      <w:pPr>
        <w:rPr>
          <w:b/>
          <w:bCs/>
          <w:lang w:val="en-US"/>
        </w:rPr>
      </w:pPr>
      <w:r w:rsidRPr="00274C7E">
        <w:rPr>
          <w:b/>
          <w:bCs/>
          <w:lang w:val="en-US"/>
        </w:rPr>
        <w:t>Table S</w:t>
      </w:r>
      <w:r w:rsidR="00DC477A" w:rsidRPr="00274C7E">
        <w:rPr>
          <w:b/>
          <w:bCs/>
          <w:lang w:val="en-US"/>
        </w:rPr>
        <w:t>2</w:t>
      </w:r>
      <w:r w:rsidRPr="00274C7E">
        <w:rPr>
          <w:b/>
          <w:bCs/>
          <w:lang w:val="en-US"/>
        </w:rPr>
        <w:t xml:space="preserve"> – Comparison between patients with CPAP us</w:t>
      </w:r>
      <w:r w:rsidR="00BC0F74" w:rsidRPr="00274C7E">
        <w:rPr>
          <w:b/>
          <w:bCs/>
          <w:lang w:val="en-US"/>
        </w:rPr>
        <w:t>age</w:t>
      </w:r>
      <w:r w:rsidRPr="00274C7E">
        <w:rPr>
          <w:b/>
          <w:bCs/>
          <w:lang w:val="en-US"/>
        </w:rPr>
        <w:t xml:space="preserve"> threshold of 4 h</w:t>
      </w:r>
      <w:r w:rsidR="002F72AD">
        <w:rPr>
          <w:b/>
          <w:bCs/>
          <w:lang w:val="en-US"/>
        </w:rPr>
        <w:t>·</w:t>
      </w:r>
      <w:r w:rsidRPr="00274C7E">
        <w:rPr>
          <w:b/>
          <w:bCs/>
          <w:lang w:val="en-US"/>
        </w:rPr>
        <w:t>night</w:t>
      </w:r>
      <w:r w:rsidR="002F72AD" w:rsidRPr="002F72AD">
        <w:rPr>
          <w:b/>
          <w:bCs/>
          <w:vertAlign w:val="superscript"/>
          <w:lang w:val="en-US"/>
        </w:rPr>
        <w:t>-1</w:t>
      </w:r>
    </w:p>
    <w:tbl>
      <w:tblPr>
        <w:tblW w:w="7860" w:type="dxa"/>
        <w:tblCellMar>
          <w:left w:w="70" w:type="dxa"/>
          <w:right w:w="70" w:type="dxa"/>
        </w:tblCellMar>
        <w:tblLook w:val="04A0" w:firstRow="1" w:lastRow="0" w:firstColumn="1" w:lastColumn="0" w:noHBand="0" w:noVBand="1"/>
      </w:tblPr>
      <w:tblGrid>
        <w:gridCol w:w="2020"/>
        <w:gridCol w:w="2336"/>
        <w:gridCol w:w="2336"/>
        <w:gridCol w:w="1168"/>
      </w:tblGrid>
      <w:tr w:rsidR="00DC477A" w:rsidRPr="00274C7E" w14:paraId="10EB0368" w14:textId="77777777" w:rsidTr="00962A17">
        <w:trPr>
          <w:trHeight w:val="278"/>
        </w:trPr>
        <w:tc>
          <w:tcPr>
            <w:tcW w:w="2020" w:type="dxa"/>
            <w:tcBorders>
              <w:top w:val="single" w:sz="4" w:space="0" w:color="auto"/>
              <w:left w:val="single" w:sz="4" w:space="0" w:color="auto"/>
              <w:bottom w:val="nil"/>
              <w:right w:val="nil"/>
            </w:tcBorders>
            <w:shd w:val="clear" w:color="auto" w:fill="auto"/>
            <w:noWrap/>
            <w:vAlign w:val="bottom"/>
            <w:hideMark/>
          </w:tcPr>
          <w:p w14:paraId="60F92962" w14:textId="77777777" w:rsidR="00DE28E8" w:rsidRPr="00274C7E" w:rsidRDefault="00DE28E8" w:rsidP="00962A17">
            <w:pPr>
              <w:spacing w:line="240" w:lineRule="auto"/>
              <w:rPr>
                <w:rFonts w:eastAsia="Times New Roman"/>
                <w:lang w:val="en-US"/>
              </w:rPr>
            </w:pPr>
            <w:r w:rsidRPr="00274C7E">
              <w:rPr>
                <w:rFonts w:eastAsia="Times New Roman"/>
                <w:lang w:val="en-US"/>
              </w:rPr>
              <w:t> </w:t>
            </w:r>
          </w:p>
        </w:tc>
        <w:tc>
          <w:tcPr>
            <w:tcW w:w="2336" w:type="dxa"/>
            <w:tcBorders>
              <w:top w:val="single" w:sz="4" w:space="0" w:color="auto"/>
              <w:left w:val="nil"/>
              <w:bottom w:val="nil"/>
              <w:right w:val="nil"/>
            </w:tcBorders>
            <w:shd w:val="clear" w:color="auto" w:fill="auto"/>
            <w:noWrap/>
            <w:vAlign w:val="bottom"/>
            <w:hideMark/>
          </w:tcPr>
          <w:p w14:paraId="51B58ECF" w14:textId="77777777" w:rsidR="00DE28E8" w:rsidRPr="00274C7E" w:rsidRDefault="00DE28E8" w:rsidP="00582A1A">
            <w:pPr>
              <w:spacing w:line="240" w:lineRule="auto"/>
              <w:jc w:val="center"/>
              <w:rPr>
                <w:rFonts w:eastAsia="Times New Roman"/>
                <w:b/>
                <w:bCs/>
              </w:rPr>
            </w:pPr>
            <w:r w:rsidRPr="00274C7E">
              <w:rPr>
                <w:rFonts w:eastAsia="Times New Roman"/>
                <w:b/>
                <w:bCs/>
              </w:rPr>
              <w:t>&lt;4h</w:t>
            </w:r>
            <w:r w:rsidR="00582A1A">
              <w:rPr>
                <w:rFonts w:eastAsia="Times New Roman"/>
                <w:b/>
                <w:bCs/>
              </w:rPr>
              <w:t>·</w:t>
            </w:r>
            <w:r w:rsidRPr="00274C7E">
              <w:rPr>
                <w:rFonts w:eastAsia="Times New Roman"/>
                <w:b/>
                <w:bCs/>
              </w:rPr>
              <w:t>night</w:t>
            </w:r>
            <w:r w:rsidR="00582A1A" w:rsidRPr="00582A1A">
              <w:rPr>
                <w:rFonts w:eastAsia="Times New Roman"/>
                <w:b/>
                <w:bCs/>
                <w:vertAlign w:val="superscript"/>
              </w:rPr>
              <w:t>-1</w:t>
            </w:r>
          </w:p>
        </w:tc>
        <w:tc>
          <w:tcPr>
            <w:tcW w:w="2336" w:type="dxa"/>
            <w:tcBorders>
              <w:top w:val="single" w:sz="4" w:space="0" w:color="auto"/>
              <w:left w:val="nil"/>
              <w:bottom w:val="nil"/>
              <w:right w:val="nil"/>
            </w:tcBorders>
            <w:shd w:val="clear" w:color="auto" w:fill="auto"/>
            <w:noWrap/>
            <w:vAlign w:val="bottom"/>
            <w:hideMark/>
          </w:tcPr>
          <w:p w14:paraId="3D347EDB" w14:textId="77777777" w:rsidR="00DE28E8" w:rsidRPr="00274C7E" w:rsidRDefault="00DE28E8" w:rsidP="00582A1A">
            <w:pPr>
              <w:spacing w:line="240" w:lineRule="auto"/>
              <w:jc w:val="center"/>
              <w:rPr>
                <w:rFonts w:eastAsia="Times New Roman"/>
                <w:b/>
                <w:bCs/>
              </w:rPr>
            </w:pPr>
            <w:r w:rsidRPr="00274C7E">
              <w:rPr>
                <w:rFonts w:eastAsia="Times New Roman"/>
                <w:b/>
                <w:bCs/>
              </w:rPr>
              <w:t>≥4h</w:t>
            </w:r>
            <w:r w:rsidR="00582A1A">
              <w:rPr>
                <w:rFonts w:eastAsia="Times New Roman"/>
                <w:b/>
                <w:bCs/>
              </w:rPr>
              <w:t>·</w:t>
            </w:r>
            <w:r w:rsidRPr="00274C7E">
              <w:rPr>
                <w:rFonts w:eastAsia="Times New Roman"/>
                <w:b/>
                <w:bCs/>
              </w:rPr>
              <w:t>night</w:t>
            </w:r>
            <w:r w:rsidR="00582A1A" w:rsidRPr="00582A1A">
              <w:rPr>
                <w:rFonts w:eastAsia="Times New Roman"/>
                <w:b/>
                <w:bCs/>
                <w:vertAlign w:val="superscript"/>
              </w:rPr>
              <w:t>-1</w:t>
            </w:r>
          </w:p>
        </w:tc>
        <w:tc>
          <w:tcPr>
            <w:tcW w:w="1168" w:type="dxa"/>
            <w:tcBorders>
              <w:top w:val="single" w:sz="4" w:space="0" w:color="auto"/>
              <w:left w:val="nil"/>
              <w:bottom w:val="nil"/>
              <w:right w:val="single" w:sz="4" w:space="0" w:color="auto"/>
            </w:tcBorders>
            <w:shd w:val="clear" w:color="auto" w:fill="auto"/>
            <w:noWrap/>
            <w:vAlign w:val="bottom"/>
            <w:hideMark/>
          </w:tcPr>
          <w:p w14:paraId="21F3615D" w14:textId="77777777" w:rsidR="00DE28E8" w:rsidRPr="00274C7E" w:rsidRDefault="00DE28E8" w:rsidP="00962A17">
            <w:pPr>
              <w:spacing w:line="240" w:lineRule="auto"/>
              <w:jc w:val="center"/>
              <w:rPr>
                <w:rFonts w:eastAsia="Times New Roman"/>
                <w:b/>
                <w:bCs/>
              </w:rPr>
            </w:pPr>
            <w:r w:rsidRPr="00274C7E">
              <w:rPr>
                <w:rFonts w:eastAsia="Times New Roman"/>
                <w:b/>
                <w:bCs/>
              </w:rPr>
              <w:t> </w:t>
            </w:r>
          </w:p>
        </w:tc>
      </w:tr>
      <w:tr w:rsidR="00DC477A" w:rsidRPr="00274C7E" w14:paraId="17615A28" w14:textId="77777777" w:rsidTr="00962A17">
        <w:trPr>
          <w:trHeight w:val="278"/>
        </w:trPr>
        <w:tc>
          <w:tcPr>
            <w:tcW w:w="2020" w:type="dxa"/>
            <w:tcBorders>
              <w:top w:val="nil"/>
              <w:left w:val="single" w:sz="4" w:space="0" w:color="auto"/>
              <w:bottom w:val="nil"/>
              <w:right w:val="nil"/>
            </w:tcBorders>
            <w:shd w:val="clear" w:color="auto" w:fill="auto"/>
            <w:noWrap/>
            <w:vAlign w:val="bottom"/>
            <w:hideMark/>
          </w:tcPr>
          <w:p w14:paraId="22EE5F5C" w14:textId="77777777" w:rsidR="00DE28E8" w:rsidRPr="00274C7E" w:rsidRDefault="00DE28E8" w:rsidP="00962A17">
            <w:pPr>
              <w:spacing w:line="240" w:lineRule="auto"/>
              <w:rPr>
                <w:rFonts w:eastAsia="Times New Roman"/>
              </w:rPr>
            </w:pPr>
            <w:r w:rsidRPr="00274C7E">
              <w:rPr>
                <w:rFonts w:eastAsia="Times New Roman"/>
              </w:rPr>
              <w:t> </w:t>
            </w:r>
          </w:p>
        </w:tc>
        <w:tc>
          <w:tcPr>
            <w:tcW w:w="2336" w:type="dxa"/>
            <w:tcBorders>
              <w:top w:val="nil"/>
              <w:left w:val="nil"/>
              <w:bottom w:val="nil"/>
              <w:right w:val="nil"/>
            </w:tcBorders>
            <w:shd w:val="clear" w:color="auto" w:fill="auto"/>
            <w:noWrap/>
            <w:vAlign w:val="bottom"/>
            <w:hideMark/>
          </w:tcPr>
          <w:p w14:paraId="2DCD1734" w14:textId="77777777" w:rsidR="00DE28E8" w:rsidRPr="00274C7E" w:rsidRDefault="00DE28E8" w:rsidP="00962A17">
            <w:pPr>
              <w:spacing w:line="240" w:lineRule="auto"/>
              <w:jc w:val="center"/>
              <w:rPr>
                <w:rFonts w:eastAsia="Times New Roman"/>
                <w:b/>
                <w:bCs/>
              </w:rPr>
            </w:pPr>
            <w:r w:rsidRPr="00274C7E">
              <w:rPr>
                <w:rFonts w:eastAsia="Times New Roman"/>
                <w:b/>
                <w:bCs/>
              </w:rPr>
              <w:t>N=22</w:t>
            </w:r>
          </w:p>
        </w:tc>
        <w:tc>
          <w:tcPr>
            <w:tcW w:w="2336" w:type="dxa"/>
            <w:tcBorders>
              <w:top w:val="nil"/>
              <w:left w:val="nil"/>
              <w:bottom w:val="nil"/>
              <w:right w:val="nil"/>
            </w:tcBorders>
            <w:shd w:val="clear" w:color="auto" w:fill="auto"/>
            <w:noWrap/>
            <w:vAlign w:val="bottom"/>
            <w:hideMark/>
          </w:tcPr>
          <w:p w14:paraId="2FFFE402" w14:textId="77777777" w:rsidR="00DE28E8" w:rsidRPr="00274C7E" w:rsidRDefault="00DE28E8" w:rsidP="00962A17">
            <w:pPr>
              <w:spacing w:line="240" w:lineRule="auto"/>
              <w:jc w:val="center"/>
              <w:rPr>
                <w:rFonts w:eastAsia="Times New Roman"/>
                <w:b/>
                <w:bCs/>
              </w:rPr>
            </w:pPr>
            <w:r w:rsidRPr="00274C7E">
              <w:rPr>
                <w:rFonts w:eastAsia="Times New Roman"/>
                <w:b/>
                <w:bCs/>
              </w:rPr>
              <w:t>N=464</w:t>
            </w:r>
          </w:p>
        </w:tc>
        <w:tc>
          <w:tcPr>
            <w:tcW w:w="1168" w:type="dxa"/>
            <w:tcBorders>
              <w:top w:val="nil"/>
              <w:left w:val="nil"/>
              <w:bottom w:val="nil"/>
              <w:right w:val="single" w:sz="4" w:space="0" w:color="auto"/>
            </w:tcBorders>
            <w:shd w:val="clear" w:color="auto" w:fill="auto"/>
            <w:noWrap/>
            <w:vAlign w:val="bottom"/>
            <w:hideMark/>
          </w:tcPr>
          <w:p w14:paraId="06DAEA76" w14:textId="77777777" w:rsidR="00DE28E8" w:rsidRPr="00274C7E" w:rsidRDefault="00DE28E8" w:rsidP="00962A17">
            <w:pPr>
              <w:spacing w:line="240" w:lineRule="auto"/>
              <w:jc w:val="center"/>
              <w:rPr>
                <w:rFonts w:eastAsia="Times New Roman"/>
                <w:b/>
                <w:bCs/>
                <w:i/>
                <w:iCs/>
              </w:rPr>
            </w:pPr>
            <w:r w:rsidRPr="00274C7E">
              <w:rPr>
                <w:rFonts w:eastAsia="Times New Roman"/>
                <w:b/>
                <w:bCs/>
                <w:i/>
                <w:iCs/>
              </w:rPr>
              <w:t>p</w:t>
            </w:r>
          </w:p>
        </w:tc>
      </w:tr>
      <w:tr w:rsidR="00DC477A" w:rsidRPr="00274C7E" w14:paraId="1DB2EF46" w14:textId="77777777" w:rsidTr="00962A17">
        <w:trPr>
          <w:trHeight w:val="278"/>
        </w:trPr>
        <w:tc>
          <w:tcPr>
            <w:tcW w:w="2020" w:type="dxa"/>
            <w:tcBorders>
              <w:top w:val="single" w:sz="4" w:space="0" w:color="auto"/>
              <w:left w:val="single" w:sz="4" w:space="0" w:color="auto"/>
              <w:bottom w:val="single" w:sz="4" w:space="0" w:color="auto"/>
              <w:right w:val="nil"/>
            </w:tcBorders>
            <w:shd w:val="clear" w:color="auto" w:fill="auto"/>
            <w:noWrap/>
            <w:vAlign w:val="bottom"/>
          </w:tcPr>
          <w:p w14:paraId="0CCC673B" w14:textId="77777777" w:rsidR="00DE28E8" w:rsidRPr="00274C7E" w:rsidRDefault="00DE28E8" w:rsidP="00962A17">
            <w:pPr>
              <w:spacing w:line="240" w:lineRule="auto"/>
              <w:rPr>
                <w:rFonts w:eastAsia="Times New Roman"/>
              </w:rPr>
            </w:pPr>
            <w:r w:rsidRPr="00274C7E">
              <w:rPr>
                <w:rFonts w:eastAsia="Times New Roman"/>
                <w:b/>
                <w:bCs/>
              </w:rPr>
              <w:t>Demographics</w:t>
            </w:r>
          </w:p>
        </w:tc>
        <w:tc>
          <w:tcPr>
            <w:tcW w:w="2336" w:type="dxa"/>
            <w:tcBorders>
              <w:top w:val="single" w:sz="4" w:space="0" w:color="auto"/>
              <w:left w:val="nil"/>
              <w:bottom w:val="single" w:sz="4" w:space="0" w:color="auto"/>
              <w:right w:val="nil"/>
            </w:tcBorders>
            <w:shd w:val="clear" w:color="auto" w:fill="auto"/>
            <w:noWrap/>
            <w:vAlign w:val="bottom"/>
          </w:tcPr>
          <w:p w14:paraId="18A10CD7" w14:textId="77777777" w:rsidR="00DE28E8" w:rsidRPr="00274C7E" w:rsidRDefault="00DE28E8" w:rsidP="00962A17">
            <w:pPr>
              <w:spacing w:line="240" w:lineRule="auto"/>
              <w:jc w:val="center"/>
              <w:rPr>
                <w:rFonts w:eastAsia="Times New Roman"/>
              </w:rPr>
            </w:pPr>
          </w:p>
        </w:tc>
        <w:tc>
          <w:tcPr>
            <w:tcW w:w="2336" w:type="dxa"/>
            <w:tcBorders>
              <w:top w:val="single" w:sz="4" w:space="0" w:color="auto"/>
              <w:left w:val="nil"/>
              <w:bottom w:val="single" w:sz="4" w:space="0" w:color="auto"/>
              <w:right w:val="nil"/>
            </w:tcBorders>
            <w:shd w:val="clear" w:color="auto" w:fill="auto"/>
            <w:noWrap/>
            <w:vAlign w:val="bottom"/>
          </w:tcPr>
          <w:p w14:paraId="757655BD" w14:textId="77777777" w:rsidR="00DE28E8" w:rsidRPr="00274C7E" w:rsidRDefault="00DE28E8" w:rsidP="00962A17">
            <w:pPr>
              <w:spacing w:line="240" w:lineRule="auto"/>
              <w:jc w:val="center"/>
              <w:rPr>
                <w:rFonts w:eastAsia="Times New Roman"/>
              </w:rPr>
            </w:pPr>
          </w:p>
        </w:tc>
        <w:tc>
          <w:tcPr>
            <w:tcW w:w="1168" w:type="dxa"/>
            <w:tcBorders>
              <w:top w:val="single" w:sz="4" w:space="0" w:color="auto"/>
              <w:left w:val="nil"/>
              <w:bottom w:val="single" w:sz="4" w:space="0" w:color="auto"/>
              <w:right w:val="single" w:sz="4" w:space="0" w:color="auto"/>
            </w:tcBorders>
            <w:shd w:val="clear" w:color="auto" w:fill="auto"/>
            <w:noWrap/>
            <w:vAlign w:val="bottom"/>
          </w:tcPr>
          <w:p w14:paraId="57C4385B" w14:textId="77777777" w:rsidR="00DE28E8" w:rsidRPr="00274C7E" w:rsidRDefault="00DE28E8" w:rsidP="00962A17">
            <w:pPr>
              <w:spacing w:line="240" w:lineRule="auto"/>
              <w:jc w:val="center"/>
              <w:rPr>
                <w:rFonts w:eastAsia="Times New Roman"/>
              </w:rPr>
            </w:pPr>
          </w:p>
        </w:tc>
      </w:tr>
      <w:tr w:rsidR="00DC477A" w:rsidRPr="00274C7E" w14:paraId="457A5EE4" w14:textId="77777777" w:rsidTr="00962A17">
        <w:trPr>
          <w:trHeight w:val="278"/>
        </w:trPr>
        <w:tc>
          <w:tcPr>
            <w:tcW w:w="2020" w:type="dxa"/>
            <w:tcBorders>
              <w:top w:val="single" w:sz="4" w:space="0" w:color="auto"/>
              <w:left w:val="single" w:sz="4" w:space="0" w:color="auto"/>
              <w:bottom w:val="single" w:sz="4" w:space="0" w:color="auto"/>
              <w:right w:val="nil"/>
            </w:tcBorders>
            <w:shd w:val="clear" w:color="auto" w:fill="auto"/>
            <w:noWrap/>
            <w:vAlign w:val="bottom"/>
            <w:hideMark/>
          </w:tcPr>
          <w:p w14:paraId="74921FB3" w14:textId="77777777" w:rsidR="003928C4" w:rsidRPr="00274C7E" w:rsidRDefault="003928C4" w:rsidP="00573EAC">
            <w:pPr>
              <w:spacing w:line="240" w:lineRule="auto"/>
              <w:rPr>
                <w:rFonts w:eastAsia="Times New Roman"/>
              </w:rPr>
            </w:pPr>
            <w:r w:rsidRPr="00274C7E">
              <w:rPr>
                <w:rFonts w:eastAsia="Times New Roman"/>
              </w:rPr>
              <w:t>Sex (male)</w:t>
            </w:r>
          </w:p>
        </w:tc>
        <w:tc>
          <w:tcPr>
            <w:tcW w:w="2336" w:type="dxa"/>
            <w:tcBorders>
              <w:top w:val="single" w:sz="4" w:space="0" w:color="auto"/>
              <w:left w:val="nil"/>
              <w:bottom w:val="single" w:sz="4" w:space="0" w:color="auto"/>
              <w:right w:val="nil"/>
            </w:tcBorders>
            <w:shd w:val="clear" w:color="auto" w:fill="auto"/>
            <w:noWrap/>
            <w:vAlign w:val="bottom"/>
            <w:hideMark/>
          </w:tcPr>
          <w:p w14:paraId="24D71CFA" w14:textId="77777777" w:rsidR="003928C4" w:rsidRPr="00274C7E" w:rsidRDefault="003928C4" w:rsidP="00962A17">
            <w:pPr>
              <w:spacing w:line="240" w:lineRule="auto"/>
              <w:jc w:val="center"/>
              <w:rPr>
                <w:rFonts w:eastAsia="Times New Roman"/>
              </w:rPr>
            </w:pPr>
            <w:r w:rsidRPr="00274C7E">
              <w:rPr>
                <w:rFonts w:eastAsia="Times New Roman"/>
              </w:rPr>
              <w:t>65% </w:t>
            </w:r>
          </w:p>
        </w:tc>
        <w:tc>
          <w:tcPr>
            <w:tcW w:w="2336" w:type="dxa"/>
            <w:tcBorders>
              <w:top w:val="single" w:sz="4" w:space="0" w:color="auto"/>
              <w:left w:val="nil"/>
              <w:bottom w:val="single" w:sz="4" w:space="0" w:color="auto"/>
              <w:right w:val="nil"/>
            </w:tcBorders>
            <w:shd w:val="clear" w:color="auto" w:fill="auto"/>
            <w:noWrap/>
            <w:vAlign w:val="bottom"/>
            <w:hideMark/>
          </w:tcPr>
          <w:p w14:paraId="6B7F5B8A" w14:textId="77777777" w:rsidR="003928C4" w:rsidRPr="00274C7E" w:rsidRDefault="003928C4" w:rsidP="00962A17">
            <w:pPr>
              <w:spacing w:line="240" w:lineRule="auto"/>
              <w:jc w:val="center"/>
              <w:rPr>
                <w:rFonts w:eastAsia="Times New Roman"/>
              </w:rPr>
            </w:pPr>
            <w:r w:rsidRPr="00274C7E">
              <w:rPr>
                <w:rFonts w:eastAsia="Times New Roman"/>
              </w:rPr>
              <w:t>70% </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0FE7AA3B" w14:textId="77777777" w:rsidR="003928C4" w:rsidRPr="00274C7E" w:rsidRDefault="003928C4" w:rsidP="00962A17">
            <w:pPr>
              <w:spacing w:line="240" w:lineRule="auto"/>
              <w:jc w:val="center"/>
              <w:rPr>
                <w:rFonts w:eastAsia="Times New Roman"/>
              </w:rPr>
            </w:pPr>
            <w:r w:rsidRPr="00274C7E">
              <w:rPr>
                <w:rFonts w:eastAsia="Times New Roman"/>
              </w:rPr>
              <w:t>0,596</w:t>
            </w:r>
          </w:p>
        </w:tc>
      </w:tr>
      <w:tr w:rsidR="00DC477A" w:rsidRPr="00274C7E" w14:paraId="52C2566D"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hideMark/>
          </w:tcPr>
          <w:p w14:paraId="02973948" w14:textId="77777777" w:rsidR="003928C4" w:rsidRPr="00274C7E" w:rsidRDefault="003928C4" w:rsidP="00573EAC">
            <w:pPr>
              <w:spacing w:line="240" w:lineRule="auto"/>
              <w:rPr>
                <w:rFonts w:eastAsia="Times New Roman"/>
              </w:rPr>
            </w:pPr>
            <w:r w:rsidRPr="00274C7E">
              <w:rPr>
                <w:rFonts w:eastAsia="Times New Roman"/>
              </w:rPr>
              <w:t>Age (years)</w:t>
            </w:r>
          </w:p>
        </w:tc>
        <w:tc>
          <w:tcPr>
            <w:tcW w:w="2336" w:type="dxa"/>
            <w:tcBorders>
              <w:top w:val="nil"/>
              <w:left w:val="nil"/>
              <w:bottom w:val="single" w:sz="4" w:space="0" w:color="auto"/>
              <w:right w:val="nil"/>
            </w:tcBorders>
            <w:shd w:val="clear" w:color="auto" w:fill="auto"/>
            <w:noWrap/>
            <w:vAlign w:val="bottom"/>
            <w:hideMark/>
          </w:tcPr>
          <w:p w14:paraId="7E7D3A92" w14:textId="77777777" w:rsidR="003928C4" w:rsidRPr="00274C7E" w:rsidRDefault="003928C4" w:rsidP="00962A17">
            <w:pPr>
              <w:spacing w:line="240" w:lineRule="auto"/>
              <w:jc w:val="center"/>
              <w:rPr>
                <w:rFonts w:eastAsia="Times New Roman"/>
              </w:rPr>
            </w:pPr>
            <w:r w:rsidRPr="00274C7E">
              <w:rPr>
                <w:rFonts w:eastAsia="Times New Roman"/>
              </w:rPr>
              <w:t>67,65±14,51</w:t>
            </w:r>
          </w:p>
        </w:tc>
        <w:tc>
          <w:tcPr>
            <w:tcW w:w="2336" w:type="dxa"/>
            <w:tcBorders>
              <w:top w:val="nil"/>
              <w:left w:val="nil"/>
              <w:bottom w:val="single" w:sz="4" w:space="0" w:color="auto"/>
              <w:right w:val="nil"/>
            </w:tcBorders>
            <w:shd w:val="clear" w:color="auto" w:fill="auto"/>
            <w:noWrap/>
            <w:vAlign w:val="bottom"/>
            <w:hideMark/>
          </w:tcPr>
          <w:p w14:paraId="253CF4D2" w14:textId="77777777" w:rsidR="003928C4" w:rsidRPr="00274C7E" w:rsidRDefault="003928C4" w:rsidP="00962A17">
            <w:pPr>
              <w:spacing w:line="240" w:lineRule="auto"/>
              <w:jc w:val="center"/>
              <w:rPr>
                <w:rFonts w:eastAsia="Times New Roman"/>
              </w:rPr>
            </w:pPr>
            <w:r w:rsidRPr="00274C7E">
              <w:rPr>
                <w:rFonts w:eastAsia="Times New Roman"/>
              </w:rPr>
              <w:t>68,57±11,94</w:t>
            </w:r>
          </w:p>
        </w:tc>
        <w:tc>
          <w:tcPr>
            <w:tcW w:w="1168" w:type="dxa"/>
            <w:tcBorders>
              <w:top w:val="nil"/>
              <w:left w:val="nil"/>
              <w:bottom w:val="single" w:sz="4" w:space="0" w:color="auto"/>
              <w:right w:val="single" w:sz="4" w:space="0" w:color="auto"/>
            </w:tcBorders>
            <w:shd w:val="clear" w:color="auto" w:fill="auto"/>
            <w:noWrap/>
            <w:vAlign w:val="bottom"/>
            <w:hideMark/>
          </w:tcPr>
          <w:p w14:paraId="2E88D78F" w14:textId="77777777" w:rsidR="003928C4" w:rsidRPr="00274C7E" w:rsidRDefault="003928C4" w:rsidP="00962A17">
            <w:pPr>
              <w:spacing w:line="240" w:lineRule="auto"/>
              <w:jc w:val="center"/>
              <w:rPr>
                <w:rFonts w:eastAsia="Times New Roman"/>
              </w:rPr>
            </w:pPr>
            <w:r w:rsidRPr="00274C7E">
              <w:rPr>
                <w:rFonts w:eastAsia="Times New Roman"/>
              </w:rPr>
              <w:t>0,721</w:t>
            </w:r>
          </w:p>
        </w:tc>
      </w:tr>
      <w:tr w:rsidR="00DC477A" w:rsidRPr="00274C7E" w14:paraId="0140A274"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hideMark/>
          </w:tcPr>
          <w:p w14:paraId="047A6666" w14:textId="77777777" w:rsidR="003928C4" w:rsidRPr="00274C7E" w:rsidRDefault="003928C4" w:rsidP="00573EAC">
            <w:pPr>
              <w:spacing w:line="240" w:lineRule="auto"/>
              <w:rPr>
                <w:rFonts w:eastAsia="Times New Roman"/>
              </w:rPr>
            </w:pPr>
            <w:r w:rsidRPr="00274C7E">
              <w:rPr>
                <w:rFonts w:eastAsia="Times New Roman"/>
              </w:rPr>
              <w:t>Age &gt;65</w:t>
            </w:r>
            <w:r w:rsidR="00582A1A">
              <w:rPr>
                <w:rFonts w:eastAsia="Times New Roman"/>
              </w:rPr>
              <w:t xml:space="preserve"> </w:t>
            </w:r>
            <w:r w:rsidRPr="00274C7E">
              <w:rPr>
                <w:rFonts w:eastAsia="Times New Roman"/>
              </w:rPr>
              <w:t>y</w:t>
            </w:r>
            <w:r w:rsidR="00582A1A">
              <w:rPr>
                <w:rFonts w:eastAsia="Times New Roman"/>
              </w:rPr>
              <w:t>r</w:t>
            </w:r>
            <w:r w:rsidRPr="00274C7E">
              <w:rPr>
                <w:rFonts w:eastAsia="Times New Roman"/>
              </w:rPr>
              <w:t xml:space="preserve"> (%)</w:t>
            </w:r>
          </w:p>
        </w:tc>
        <w:tc>
          <w:tcPr>
            <w:tcW w:w="2336" w:type="dxa"/>
            <w:tcBorders>
              <w:top w:val="nil"/>
              <w:left w:val="nil"/>
              <w:bottom w:val="single" w:sz="4" w:space="0" w:color="auto"/>
              <w:right w:val="nil"/>
            </w:tcBorders>
            <w:shd w:val="clear" w:color="auto" w:fill="auto"/>
            <w:noWrap/>
            <w:vAlign w:val="bottom"/>
            <w:hideMark/>
          </w:tcPr>
          <w:p w14:paraId="66B6FF84" w14:textId="77777777" w:rsidR="003928C4" w:rsidRPr="00274C7E" w:rsidRDefault="003928C4" w:rsidP="00962A17">
            <w:pPr>
              <w:spacing w:line="240" w:lineRule="auto"/>
              <w:jc w:val="center"/>
              <w:rPr>
                <w:rFonts w:eastAsia="Times New Roman"/>
              </w:rPr>
            </w:pPr>
            <w:r w:rsidRPr="00274C7E">
              <w:rPr>
                <w:rFonts w:eastAsia="Times New Roman"/>
              </w:rPr>
              <w:t>57% </w:t>
            </w:r>
          </w:p>
        </w:tc>
        <w:tc>
          <w:tcPr>
            <w:tcW w:w="2336" w:type="dxa"/>
            <w:tcBorders>
              <w:top w:val="nil"/>
              <w:left w:val="nil"/>
              <w:bottom w:val="single" w:sz="4" w:space="0" w:color="auto"/>
              <w:right w:val="nil"/>
            </w:tcBorders>
            <w:shd w:val="clear" w:color="auto" w:fill="auto"/>
            <w:noWrap/>
            <w:vAlign w:val="bottom"/>
            <w:hideMark/>
          </w:tcPr>
          <w:p w14:paraId="15754818" w14:textId="77777777" w:rsidR="003928C4" w:rsidRPr="00274C7E" w:rsidRDefault="003928C4" w:rsidP="00962A17">
            <w:pPr>
              <w:spacing w:line="240" w:lineRule="auto"/>
              <w:jc w:val="center"/>
              <w:rPr>
                <w:rFonts w:eastAsia="Times New Roman"/>
              </w:rPr>
            </w:pPr>
            <w:r w:rsidRPr="00274C7E">
              <w:rPr>
                <w:rFonts w:eastAsia="Times New Roman"/>
              </w:rPr>
              <w:t>67% </w:t>
            </w:r>
          </w:p>
        </w:tc>
        <w:tc>
          <w:tcPr>
            <w:tcW w:w="1168" w:type="dxa"/>
            <w:tcBorders>
              <w:top w:val="nil"/>
              <w:left w:val="nil"/>
              <w:bottom w:val="single" w:sz="4" w:space="0" w:color="auto"/>
              <w:right w:val="single" w:sz="4" w:space="0" w:color="auto"/>
            </w:tcBorders>
            <w:shd w:val="clear" w:color="auto" w:fill="auto"/>
            <w:noWrap/>
            <w:vAlign w:val="bottom"/>
            <w:hideMark/>
          </w:tcPr>
          <w:p w14:paraId="4F5B6BBA" w14:textId="77777777" w:rsidR="003928C4" w:rsidRPr="00274C7E" w:rsidRDefault="003928C4" w:rsidP="00962A17">
            <w:pPr>
              <w:spacing w:line="240" w:lineRule="auto"/>
              <w:jc w:val="center"/>
              <w:rPr>
                <w:rFonts w:eastAsia="Times New Roman"/>
              </w:rPr>
            </w:pPr>
            <w:r w:rsidRPr="00274C7E">
              <w:rPr>
                <w:rFonts w:eastAsia="Times New Roman"/>
              </w:rPr>
              <w:t>0,313</w:t>
            </w:r>
          </w:p>
        </w:tc>
      </w:tr>
      <w:tr w:rsidR="00DC477A" w:rsidRPr="00274C7E" w14:paraId="3B351DD4"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tcPr>
          <w:p w14:paraId="27A4F47D" w14:textId="77777777" w:rsidR="00DE28E8" w:rsidRPr="00274C7E" w:rsidRDefault="00DE28E8" w:rsidP="00962A17">
            <w:pPr>
              <w:spacing w:line="240" w:lineRule="auto"/>
              <w:rPr>
                <w:rFonts w:eastAsia="Times New Roman"/>
              </w:rPr>
            </w:pPr>
            <w:r w:rsidRPr="00274C7E">
              <w:rPr>
                <w:rFonts w:eastAsia="Times New Roman"/>
                <w:b/>
                <w:bCs/>
              </w:rPr>
              <w:t>CPAP data</w:t>
            </w:r>
          </w:p>
        </w:tc>
        <w:tc>
          <w:tcPr>
            <w:tcW w:w="2336" w:type="dxa"/>
            <w:tcBorders>
              <w:top w:val="nil"/>
              <w:left w:val="nil"/>
              <w:bottom w:val="single" w:sz="4" w:space="0" w:color="auto"/>
              <w:right w:val="nil"/>
            </w:tcBorders>
            <w:shd w:val="clear" w:color="auto" w:fill="auto"/>
            <w:noWrap/>
            <w:vAlign w:val="bottom"/>
          </w:tcPr>
          <w:p w14:paraId="7E4429A9" w14:textId="77777777" w:rsidR="00DE28E8" w:rsidRPr="00274C7E" w:rsidRDefault="00DE28E8" w:rsidP="00962A17">
            <w:pPr>
              <w:spacing w:line="240" w:lineRule="auto"/>
              <w:jc w:val="center"/>
              <w:rPr>
                <w:rFonts w:eastAsia="Times New Roman"/>
              </w:rPr>
            </w:pPr>
          </w:p>
        </w:tc>
        <w:tc>
          <w:tcPr>
            <w:tcW w:w="2336" w:type="dxa"/>
            <w:tcBorders>
              <w:top w:val="nil"/>
              <w:left w:val="nil"/>
              <w:bottom w:val="single" w:sz="4" w:space="0" w:color="auto"/>
              <w:right w:val="nil"/>
            </w:tcBorders>
            <w:shd w:val="clear" w:color="auto" w:fill="auto"/>
            <w:noWrap/>
            <w:vAlign w:val="bottom"/>
          </w:tcPr>
          <w:p w14:paraId="17FF4453" w14:textId="77777777" w:rsidR="00DE28E8" w:rsidRPr="00274C7E" w:rsidRDefault="00DE28E8" w:rsidP="00962A17">
            <w:pPr>
              <w:spacing w:line="240" w:lineRule="auto"/>
              <w:jc w:val="center"/>
              <w:rPr>
                <w:rFonts w:eastAsia="Times New Roman"/>
              </w:rPr>
            </w:pPr>
          </w:p>
        </w:tc>
        <w:tc>
          <w:tcPr>
            <w:tcW w:w="1168" w:type="dxa"/>
            <w:tcBorders>
              <w:top w:val="nil"/>
              <w:left w:val="nil"/>
              <w:bottom w:val="single" w:sz="4" w:space="0" w:color="auto"/>
              <w:right w:val="single" w:sz="4" w:space="0" w:color="auto"/>
            </w:tcBorders>
            <w:shd w:val="clear" w:color="auto" w:fill="auto"/>
            <w:noWrap/>
            <w:vAlign w:val="bottom"/>
          </w:tcPr>
          <w:p w14:paraId="36ECF30D" w14:textId="77777777" w:rsidR="00DE28E8" w:rsidRPr="00274C7E" w:rsidRDefault="00DE28E8" w:rsidP="00962A17">
            <w:pPr>
              <w:spacing w:line="240" w:lineRule="auto"/>
              <w:jc w:val="center"/>
              <w:rPr>
                <w:rFonts w:eastAsia="Times New Roman"/>
              </w:rPr>
            </w:pPr>
          </w:p>
        </w:tc>
      </w:tr>
      <w:tr w:rsidR="00DC477A" w:rsidRPr="00274C7E" w14:paraId="1F065327"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hideMark/>
          </w:tcPr>
          <w:p w14:paraId="7FC61B43" w14:textId="77777777" w:rsidR="003928C4" w:rsidRPr="00274C7E" w:rsidRDefault="003928C4" w:rsidP="00573EAC">
            <w:pPr>
              <w:spacing w:line="240" w:lineRule="auto"/>
              <w:rPr>
                <w:rFonts w:eastAsia="Times New Roman"/>
              </w:rPr>
            </w:pPr>
            <w:r w:rsidRPr="00274C7E">
              <w:rPr>
                <w:rFonts w:eastAsia="Times New Roman"/>
              </w:rPr>
              <w:t>rAHI (events·h</w:t>
            </w:r>
            <w:r w:rsidRPr="00274C7E">
              <w:rPr>
                <w:rFonts w:eastAsia="Times New Roman"/>
                <w:vertAlign w:val="superscript"/>
              </w:rPr>
              <w:t>-1</w:t>
            </w:r>
            <w:r w:rsidRPr="00274C7E">
              <w:rPr>
                <w:rFonts w:eastAsia="Times New Roman"/>
              </w:rPr>
              <w:t>)</w:t>
            </w:r>
          </w:p>
        </w:tc>
        <w:tc>
          <w:tcPr>
            <w:tcW w:w="2336" w:type="dxa"/>
            <w:tcBorders>
              <w:top w:val="nil"/>
              <w:left w:val="nil"/>
              <w:bottom w:val="single" w:sz="4" w:space="0" w:color="auto"/>
              <w:right w:val="nil"/>
            </w:tcBorders>
            <w:shd w:val="clear" w:color="auto" w:fill="auto"/>
            <w:noWrap/>
            <w:vAlign w:val="bottom"/>
            <w:hideMark/>
          </w:tcPr>
          <w:p w14:paraId="6E10E3F4" w14:textId="77777777" w:rsidR="003928C4" w:rsidRPr="00274C7E" w:rsidRDefault="003928C4" w:rsidP="00962A17">
            <w:pPr>
              <w:spacing w:line="240" w:lineRule="auto"/>
              <w:jc w:val="center"/>
              <w:rPr>
                <w:rFonts w:eastAsia="Times New Roman"/>
              </w:rPr>
            </w:pPr>
            <w:r w:rsidRPr="00274C7E">
              <w:rPr>
                <w:rFonts w:eastAsia="Times New Roman"/>
              </w:rPr>
              <w:t>6,03±6,06</w:t>
            </w:r>
          </w:p>
        </w:tc>
        <w:tc>
          <w:tcPr>
            <w:tcW w:w="2336" w:type="dxa"/>
            <w:tcBorders>
              <w:top w:val="nil"/>
              <w:left w:val="nil"/>
              <w:bottom w:val="single" w:sz="4" w:space="0" w:color="auto"/>
              <w:right w:val="nil"/>
            </w:tcBorders>
            <w:shd w:val="clear" w:color="auto" w:fill="auto"/>
            <w:noWrap/>
            <w:vAlign w:val="bottom"/>
            <w:hideMark/>
          </w:tcPr>
          <w:p w14:paraId="19060958" w14:textId="77777777" w:rsidR="003928C4" w:rsidRPr="00274C7E" w:rsidRDefault="003928C4" w:rsidP="00962A17">
            <w:pPr>
              <w:spacing w:line="240" w:lineRule="auto"/>
              <w:jc w:val="center"/>
              <w:rPr>
                <w:rFonts w:eastAsia="Times New Roman"/>
              </w:rPr>
            </w:pPr>
            <w:r w:rsidRPr="00274C7E">
              <w:rPr>
                <w:rFonts w:eastAsia="Times New Roman"/>
              </w:rPr>
              <w:t>3,84±5,19</w:t>
            </w:r>
          </w:p>
        </w:tc>
        <w:tc>
          <w:tcPr>
            <w:tcW w:w="1168" w:type="dxa"/>
            <w:tcBorders>
              <w:top w:val="nil"/>
              <w:left w:val="nil"/>
              <w:bottom w:val="single" w:sz="4" w:space="0" w:color="auto"/>
              <w:right w:val="single" w:sz="4" w:space="0" w:color="auto"/>
            </w:tcBorders>
            <w:shd w:val="clear" w:color="auto" w:fill="auto"/>
            <w:noWrap/>
            <w:vAlign w:val="bottom"/>
            <w:hideMark/>
          </w:tcPr>
          <w:p w14:paraId="17A138A2" w14:textId="77777777" w:rsidR="003928C4" w:rsidRPr="00274C7E" w:rsidRDefault="003928C4" w:rsidP="00962A17">
            <w:pPr>
              <w:spacing w:line="240" w:lineRule="auto"/>
              <w:jc w:val="center"/>
              <w:rPr>
                <w:rFonts w:eastAsia="Times New Roman"/>
              </w:rPr>
            </w:pPr>
            <w:r w:rsidRPr="00274C7E">
              <w:rPr>
                <w:rFonts w:eastAsia="Times New Roman"/>
              </w:rPr>
              <w:t>0,051</w:t>
            </w:r>
          </w:p>
        </w:tc>
      </w:tr>
      <w:tr w:rsidR="00DC477A" w:rsidRPr="00274C7E" w14:paraId="2028BCBE"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hideMark/>
          </w:tcPr>
          <w:p w14:paraId="50B0D0C4" w14:textId="77777777" w:rsidR="003928C4" w:rsidRPr="00274C7E" w:rsidRDefault="003928C4" w:rsidP="00573EAC">
            <w:pPr>
              <w:spacing w:line="240" w:lineRule="auto"/>
              <w:rPr>
                <w:rFonts w:eastAsia="Times New Roman"/>
              </w:rPr>
            </w:pPr>
            <w:r w:rsidRPr="00274C7E">
              <w:rPr>
                <w:rFonts w:eastAsia="Times New Roman"/>
              </w:rPr>
              <w:t>rAHI &gt;10 events·h</w:t>
            </w:r>
            <w:r w:rsidRPr="00274C7E">
              <w:rPr>
                <w:rFonts w:eastAsia="Times New Roman"/>
                <w:vertAlign w:val="superscript"/>
              </w:rPr>
              <w:t>-1</w:t>
            </w:r>
            <w:r w:rsidRPr="00274C7E">
              <w:rPr>
                <w:rFonts w:eastAsia="Times New Roman"/>
              </w:rPr>
              <w:t xml:space="preserve"> (%)</w:t>
            </w:r>
          </w:p>
        </w:tc>
        <w:tc>
          <w:tcPr>
            <w:tcW w:w="2336" w:type="dxa"/>
            <w:tcBorders>
              <w:top w:val="nil"/>
              <w:left w:val="nil"/>
              <w:bottom w:val="single" w:sz="4" w:space="0" w:color="auto"/>
              <w:right w:val="nil"/>
            </w:tcBorders>
            <w:shd w:val="clear" w:color="auto" w:fill="auto"/>
            <w:noWrap/>
            <w:vAlign w:val="bottom"/>
            <w:hideMark/>
          </w:tcPr>
          <w:p w14:paraId="2A45C1A0" w14:textId="77777777" w:rsidR="003928C4" w:rsidRPr="00274C7E" w:rsidRDefault="003928C4" w:rsidP="00962A17">
            <w:pPr>
              <w:spacing w:line="240" w:lineRule="auto"/>
              <w:jc w:val="center"/>
              <w:rPr>
                <w:rFonts w:eastAsia="Times New Roman"/>
              </w:rPr>
            </w:pPr>
            <w:r w:rsidRPr="00274C7E">
              <w:rPr>
                <w:rFonts w:eastAsia="Times New Roman"/>
              </w:rPr>
              <w:t>13% </w:t>
            </w:r>
          </w:p>
        </w:tc>
        <w:tc>
          <w:tcPr>
            <w:tcW w:w="2336" w:type="dxa"/>
            <w:tcBorders>
              <w:top w:val="nil"/>
              <w:left w:val="nil"/>
              <w:bottom w:val="single" w:sz="4" w:space="0" w:color="auto"/>
              <w:right w:val="nil"/>
            </w:tcBorders>
            <w:shd w:val="clear" w:color="auto" w:fill="auto"/>
            <w:noWrap/>
            <w:vAlign w:val="bottom"/>
            <w:hideMark/>
          </w:tcPr>
          <w:p w14:paraId="5121E978" w14:textId="77777777" w:rsidR="003928C4" w:rsidRPr="00274C7E" w:rsidRDefault="003928C4" w:rsidP="00962A17">
            <w:pPr>
              <w:spacing w:line="240" w:lineRule="auto"/>
              <w:jc w:val="center"/>
              <w:rPr>
                <w:rFonts w:eastAsia="Times New Roman"/>
              </w:rPr>
            </w:pPr>
            <w:r w:rsidRPr="00274C7E">
              <w:rPr>
                <w:rFonts w:eastAsia="Times New Roman"/>
              </w:rPr>
              <w:t>9% </w:t>
            </w:r>
          </w:p>
        </w:tc>
        <w:tc>
          <w:tcPr>
            <w:tcW w:w="1168" w:type="dxa"/>
            <w:tcBorders>
              <w:top w:val="nil"/>
              <w:left w:val="nil"/>
              <w:bottom w:val="single" w:sz="4" w:space="0" w:color="auto"/>
              <w:right w:val="single" w:sz="4" w:space="0" w:color="auto"/>
            </w:tcBorders>
            <w:shd w:val="clear" w:color="auto" w:fill="auto"/>
            <w:noWrap/>
            <w:vAlign w:val="bottom"/>
            <w:hideMark/>
          </w:tcPr>
          <w:p w14:paraId="1D069256" w14:textId="77777777" w:rsidR="003928C4" w:rsidRPr="00274C7E" w:rsidRDefault="003928C4" w:rsidP="00962A17">
            <w:pPr>
              <w:spacing w:line="240" w:lineRule="auto"/>
              <w:jc w:val="center"/>
              <w:rPr>
                <w:rFonts w:eastAsia="Times New Roman"/>
              </w:rPr>
            </w:pPr>
            <w:r w:rsidRPr="00274C7E">
              <w:rPr>
                <w:rFonts w:eastAsia="Times New Roman"/>
              </w:rPr>
              <w:t>0,527</w:t>
            </w:r>
          </w:p>
        </w:tc>
      </w:tr>
      <w:tr w:rsidR="00DE28E8" w:rsidRPr="00274C7E" w14:paraId="33759E5C" w14:textId="77777777" w:rsidTr="00962A17">
        <w:trPr>
          <w:trHeight w:val="278"/>
        </w:trPr>
        <w:tc>
          <w:tcPr>
            <w:tcW w:w="2020" w:type="dxa"/>
            <w:tcBorders>
              <w:top w:val="nil"/>
              <w:left w:val="single" w:sz="4" w:space="0" w:color="auto"/>
              <w:bottom w:val="single" w:sz="4" w:space="0" w:color="auto"/>
              <w:right w:val="nil"/>
            </w:tcBorders>
            <w:shd w:val="clear" w:color="auto" w:fill="auto"/>
            <w:noWrap/>
            <w:vAlign w:val="bottom"/>
            <w:hideMark/>
          </w:tcPr>
          <w:p w14:paraId="55DD9426" w14:textId="77777777" w:rsidR="00DE28E8" w:rsidRPr="00274C7E" w:rsidRDefault="003928C4" w:rsidP="00962A17">
            <w:pPr>
              <w:spacing w:line="240" w:lineRule="auto"/>
              <w:rPr>
                <w:rFonts w:eastAsia="Times New Roman"/>
              </w:rPr>
            </w:pPr>
            <w:r w:rsidRPr="00274C7E">
              <w:rPr>
                <w:rFonts w:eastAsia="Times New Roman"/>
              </w:rPr>
              <w:t>High leakage (%)</w:t>
            </w:r>
          </w:p>
        </w:tc>
        <w:tc>
          <w:tcPr>
            <w:tcW w:w="2336" w:type="dxa"/>
            <w:tcBorders>
              <w:top w:val="nil"/>
              <w:left w:val="nil"/>
              <w:bottom w:val="single" w:sz="4" w:space="0" w:color="auto"/>
              <w:right w:val="nil"/>
            </w:tcBorders>
            <w:shd w:val="clear" w:color="auto" w:fill="auto"/>
            <w:noWrap/>
            <w:vAlign w:val="bottom"/>
            <w:hideMark/>
          </w:tcPr>
          <w:p w14:paraId="30894874" w14:textId="77777777" w:rsidR="00DE28E8" w:rsidRPr="00274C7E" w:rsidRDefault="00DE28E8" w:rsidP="00962A17">
            <w:pPr>
              <w:spacing w:line="240" w:lineRule="auto"/>
              <w:jc w:val="center"/>
              <w:rPr>
                <w:rFonts w:eastAsia="Times New Roman"/>
              </w:rPr>
            </w:pPr>
            <w:r w:rsidRPr="00274C7E">
              <w:rPr>
                <w:rFonts w:eastAsia="Times New Roman"/>
              </w:rPr>
              <w:t>20% </w:t>
            </w:r>
          </w:p>
        </w:tc>
        <w:tc>
          <w:tcPr>
            <w:tcW w:w="2336" w:type="dxa"/>
            <w:tcBorders>
              <w:top w:val="nil"/>
              <w:left w:val="nil"/>
              <w:bottom w:val="single" w:sz="4" w:space="0" w:color="auto"/>
              <w:right w:val="nil"/>
            </w:tcBorders>
            <w:shd w:val="clear" w:color="auto" w:fill="auto"/>
            <w:noWrap/>
            <w:vAlign w:val="bottom"/>
            <w:hideMark/>
          </w:tcPr>
          <w:p w14:paraId="1DAD4B08" w14:textId="77777777" w:rsidR="00DE28E8" w:rsidRPr="00274C7E" w:rsidRDefault="00DE28E8" w:rsidP="00962A17">
            <w:pPr>
              <w:spacing w:line="240" w:lineRule="auto"/>
              <w:jc w:val="center"/>
              <w:rPr>
                <w:rFonts w:eastAsia="Times New Roman"/>
              </w:rPr>
            </w:pPr>
            <w:r w:rsidRPr="00274C7E">
              <w:rPr>
                <w:rFonts w:eastAsia="Times New Roman"/>
              </w:rPr>
              <w:t>25% </w:t>
            </w:r>
          </w:p>
        </w:tc>
        <w:tc>
          <w:tcPr>
            <w:tcW w:w="1168" w:type="dxa"/>
            <w:tcBorders>
              <w:top w:val="nil"/>
              <w:left w:val="nil"/>
              <w:bottom w:val="single" w:sz="4" w:space="0" w:color="auto"/>
              <w:right w:val="single" w:sz="4" w:space="0" w:color="auto"/>
            </w:tcBorders>
            <w:shd w:val="clear" w:color="auto" w:fill="auto"/>
            <w:noWrap/>
            <w:vAlign w:val="bottom"/>
            <w:hideMark/>
          </w:tcPr>
          <w:p w14:paraId="1C2430EC" w14:textId="77777777" w:rsidR="00DE28E8" w:rsidRPr="00274C7E" w:rsidRDefault="00DE28E8" w:rsidP="00962A17">
            <w:pPr>
              <w:spacing w:line="240" w:lineRule="auto"/>
              <w:jc w:val="center"/>
              <w:rPr>
                <w:rFonts w:eastAsia="Times New Roman"/>
              </w:rPr>
            </w:pPr>
            <w:r w:rsidRPr="00274C7E">
              <w:rPr>
                <w:rFonts w:eastAsia="Times New Roman"/>
              </w:rPr>
              <w:t>0,674</w:t>
            </w:r>
          </w:p>
        </w:tc>
      </w:tr>
    </w:tbl>
    <w:p w14:paraId="4248F3FB" w14:textId="77777777" w:rsidR="00DE28E8" w:rsidRDefault="00DE28E8" w:rsidP="00DE28E8">
      <w:pPr>
        <w:jc w:val="center"/>
        <w:rPr>
          <w:highlight w:val="cyan"/>
        </w:rPr>
      </w:pPr>
    </w:p>
    <w:p w14:paraId="280F30D6" w14:textId="77777777" w:rsidR="00912F70" w:rsidRDefault="00912F70" w:rsidP="00DE28E8">
      <w:pPr>
        <w:jc w:val="center"/>
        <w:rPr>
          <w:highlight w:val="cyan"/>
        </w:rPr>
      </w:pPr>
    </w:p>
    <w:p w14:paraId="1B4C6780" w14:textId="77777777" w:rsidR="00912F70" w:rsidRPr="00274C7E" w:rsidRDefault="00912F70" w:rsidP="00DE28E8">
      <w:pPr>
        <w:jc w:val="center"/>
        <w:rPr>
          <w:highlight w:val="cyan"/>
        </w:rPr>
      </w:pPr>
    </w:p>
    <w:p w14:paraId="03C4C5BF" w14:textId="77777777" w:rsidR="00DE28E8" w:rsidRPr="00274C7E" w:rsidRDefault="00DE28E8" w:rsidP="00DE28E8">
      <w:pPr>
        <w:jc w:val="center"/>
        <w:rPr>
          <w:highlight w:val="cyan"/>
        </w:rPr>
      </w:pPr>
    </w:p>
    <w:p w14:paraId="623E3FDF" w14:textId="77777777" w:rsidR="001F4A3B" w:rsidRDefault="001F4A3B">
      <w:pPr>
        <w:spacing w:after="160" w:line="259" w:lineRule="auto"/>
        <w:rPr>
          <w:b/>
          <w:bCs/>
          <w:lang w:val="en-US"/>
        </w:rPr>
      </w:pPr>
      <w:r>
        <w:rPr>
          <w:b/>
          <w:bCs/>
          <w:lang w:val="en-US"/>
        </w:rPr>
        <w:br w:type="page"/>
      </w:r>
    </w:p>
    <w:p w14:paraId="2EE2D088" w14:textId="1CBEE404" w:rsidR="00DE28E8" w:rsidRPr="00274C7E" w:rsidRDefault="00DE28E8" w:rsidP="00DE28E8">
      <w:pPr>
        <w:rPr>
          <w:b/>
          <w:bCs/>
          <w:lang w:val="en-US"/>
        </w:rPr>
      </w:pPr>
      <w:r w:rsidRPr="00274C7E">
        <w:rPr>
          <w:b/>
          <w:bCs/>
          <w:lang w:val="en-US"/>
        </w:rPr>
        <w:lastRenderedPageBreak/>
        <w:t>Table S</w:t>
      </w:r>
      <w:r w:rsidR="00DC477A" w:rsidRPr="00274C7E">
        <w:rPr>
          <w:b/>
          <w:bCs/>
          <w:lang w:val="en-US"/>
        </w:rPr>
        <w:t>3</w:t>
      </w:r>
      <w:r w:rsidRPr="00274C7E">
        <w:rPr>
          <w:b/>
          <w:bCs/>
          <w:lang w:val="en-US"/>
        </w:rPr>
        <w:t xml:space="preserve"> – Comparison between </w:t>
      </w:r>
      <w:r w:rsidR="003928C4" w:rsidRPr="00274C7E">
        <w:rPr>
          <w:b/>
          <w:bCs/>
          <w:lang w:val="en-US"/>
        </w:rPr>
        <w:t>different thresholds of CPAP usage</w:t>
      </w:r>
      <w:r w:rsidRPr="00274C7E">
        <w:rPr>
          <w:b/>
          <w:bCs/>
          <w:lang w:val="en-US"/>
        </w:rPr>
        <w:t xml:space="preserve"> </w:t>
      </w:r>
    </w:p>
    <w:tbl>
      <w:tblPr>
        <w:tblW w:w="9438"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884"/>
        <w:gridCol w:w="1802"/>
        <w:gridCol w:w="1860"/>
        <w:gridCol w:w="1880"/>
        <w:gridCol w:w="1012"/>
      </w:tblGrid>
      <w:tr w:rsidR="00DC477A" w:rsidRPr="00274C7E" w14:paraId="6AE5C6BD" w14:textId="77777777" w:rsidTr="00380FC9">
        <w:trPr>
          <w:trHeight w:val="357"/>
        </w:trPr>
        <w:tc>
          <w:tcPr>
            <w:tcW w:w="2884" w:type="dxa"/>
            <w:tcBorders>
              <w:bottom w:val="nil"/>
            </w:tcBorders>
            <w:shd w:val="clear" w:color="auto" w:fill="auto"/>
            <w:noWrap/>
            <w:vAlign w:val="bottom"/>
            <w:hideMark/>
          </w:tcPr>
          <w:p w14:paraId="4E66C853" w14:textId="77777777" w:rsidR="00DE28E8" w:rsidRPr="00274C7E" w:rsidRDefault="00DE28E8" w:rsidP="00962A17">
            <w:pPr>
              <w:spacing w:line="240" w:lineRule="auto"/>
              <w:rPr>
                <w:rFonts w:eastAsia="Times New Roman"/>
                <w:sz w:val="24"/>
                <w:szCs w:val="24"/>
                <w:lang w:val="en-US"/>
              </w:rPr>
            </w:pPr>
          </w:p>
        </w:tc>
        <w:tc>
          <w:tcPr>
            <w:tcW w:w="1802" w:type="dxa"/>
            <w:tcBorders>
              <w:bottom w:val="nil"/>
            </w:tcBorders>
            <w:shd w:val="clear" w:color="auto" w:fill="auto"/>
            <w:noWrap/>
            <w:vAlign w:val="bottom"/>
            <w:hideMark/>
          </w:tcPr>
          <w:p w14:paraId="581FE69A" w14:textId="77777777" w:rsidR="00DE28E8" w:rsidRPr="00274C7E" w:rsidRDefault="00DE28E8" w:rsidP="00962A17">
            <w:pPr>
              <w:spacing w:line="240" w:lineRule="auto"/>
              <w:jc w:val="center"/>
              <w:rPr>
                <w:rFonts w:eastAsia="Times New Roman"/>
                <w:b/>
                <w:bCs/>
              </w:rPr>
            </w:pPr>
            <w:r w:rsidRPr="00274C7E">
              <w:rPr>
                <w:rFonts w:eastAsia="Times New Roman"/>
                <w:b/>
                <w:bCs/>
              </w:rPr>
              <w:t>Group 1 (4-6h)</w:t>
            </w:r>
          </w:p>
        </w:tc>
        <w:tc>
          <w:tcPr>
            <w:tcW w:w="1860" w:type="dxa"/>
            <w:tcBorders>
              <w:bottom w:val="nil"/>
            </w:tcBorders>
            <w:shd w:val="clear" w:color="auto" w:fill="auto"/>
            <w:noWrap/>
            <w:vAlign w:val="bottom"/>
            <w:hideMark/>
          </w:tcPr>
          <w:p w14:paraId="5ADE829A" w14:textId="77777777" w:rsidR="00DE28E8" w:rsidRPr="00274C7E" w:rsidRDefault="00DE28E8" w:rsidP="00962A17">
            <w:pPr>
              <w:spacing w:line="240" w:lineRule="auto"/>
              <w:jc w:val="center"/>
              <w:rPr>
                <w:rFonts w:eastAsia="Times New Roman"/>
                <w:b/>
                <w:bCs/>
              </w:rPr>
            </w:pPr>
            <w:r w:rsidRPr="00274C7E">
              <w:rPr>
                <w:rFonts w:eastAsia="Times New Roman"/>
                <w:b/>
                <w:bCs/>
              </w:rPr>
              <w:t>Group 2 (6-8h)</w:t>
            </w:r>
          </w:p>
        </w:tc>
        <w:tc>
          <w:tcPr>
            <w:tcW w:w="2892" w:type="dxa"/>
            <w:gridSpan w:val="2"/>
            <w:tcBorders>
              <w:bottom w:val="nil"/>
            </w:tcBorders>
            <w:shd w:val="clear" w:color="auto" w:fill="auto"/>
            <w:noWrap/>
            <w:vAlign w:val="bottom"/>
            <w:hideMark/>
          </w:tcPr>
          <w:p w14:paraId="254533ED" w14:textId="77777777" w:rsidR="00DE28E8" w:rsidRPr="00274C7E" w:rsidRDefault="00DE28E8" w:rsidP="00962A17">
            <w:pPr>
              <w:spacing w:line="240" w:lineRule="auto"/>
              <w:jc w:val="center"/>
              <w:rPr>
                <w:rFonts w:eastAsia="Times New Roman"/>
                <w:b/>
                <w:bCs/>
              </w:rPr>
            </w:pPr>
            <w:r w:rsidRPr="00274C7E">
              <w:rPr>
                <w:rFonts w:eastAsia="Times New Roman"/>
                <w:b/>
                <w:bCs/>
              </w:rPr>
              <w:t>Group 3 (&gt;8h)</w:t>
            </w:r>
          </w:p>
        </w:tc>
      </w:tr>
      <w:tr w:rsidR="00DC477A" w:rsidRPr="00274C7E" w14:paraId="5BEFBCCE" w14:textId="77777777" w:rsidTr="00380FC9">
        <w:trPr>
          <w:trHeight w:val="357"/>
        </w:trPr>
        <w:tc>
          <w:tcPr>
            <w:tcW w:w="2884" w:type="dxa"/>
            <w:tcBorders>
              <w:top w:val="nil"/>
            </w:tcBorders>
            <w:shd w:val="clear" w:color="auto" w:fill="auto"/>
            <w:noWrap/>
            <w:vAlign w:val="bottom"/>
            <w:hideMark/>
          </w:tcPr>
          <w:p w14:paraId="0C0630FB" w14:textId="77777777" w:rsidR="00DE28E8" w:rsidRPr="00274C7E" w:rsidRDefault="00DE28E8" w:rsidP="00962A17">
            <w:pPr>
              <w:spacing w:line="240" w:lineRule="auto"/>
              <w:rPr>
                <w:rFonts w:eastAsia="Times New Roman"/>
              </w:rPr>
            </w:pPr>
          </w:p>
        </w:tc>
        <w:tc>
          <w:tcPr>
            <w:tcW w:w="1802" w:type="dxa"/>
            <w:tcBorders>
              <w:top w:val="nil"/>
            </w:tcBorders>
            <w:shd w:val="clear" w:color="auto" w:fill="auto"/>
            <w:noWrap/>
            <w:vAlign w:val="bottom"/>
            <w:hideMark/>
          </w:tcPr>
          <w:p w14:paraId="6491CB72" w14:textId="77777777" w:rsidR="00DE28E8" w:rsidRPr="00274C7E" w:rsidRDefault="00DE28E8" w:rsidP="00962A17">
            <w:pPr>
              <w:spacing w:line="240" w:lineRule="auto"/>
              <w:jc w:val="center"/>
              <w:rPr>
                <w:rFonts w:eastAsia="Times New Roman"/>
                <w:b/>
                <w:bCs/>
              </w:rPr>
            </w:pPr>
            <w:r w:rsidRPr="00274C7E">
              <w:rPr>
                <w:rFonts w:eastAsia="Times New Roman"/>
                <w:b/>
                <w:bCs/>
              </w:rPr>
              <w:t>N=109</w:t>
            </w:r>
          </w:p>
        </w:tc>
        <w:tc>
          <w:tcPr>
            <w:tcW w:w="1860" w:type="dxa"/>
            <w:tcBorders>
              <w:top w:val="nil"/>
            </w:tcBorders>
            <w:shd w:val="clear" w:color="auto" w:fill="auto"/>
            <w:noWrap/>
            <w:vAlign w:val="bottom"/>
            <w:hideMark/>
          </w:tcPr>
          <w:p w14:paraId="4836D271" w14:textId="77777777" w:rsidR="00DE28E8" w:rsidRPr="00274C7E" w:rsidRDefault="00DE28E8" w:rsidP="00962A17">
            <w:pPr>
              <w:spacing w:line="240" w:lineRule="auto"/>
              <w:jc w:val="center"/>
              <w:rPr>
                <w:rFonts w:eastAsia="Times New Roman"/>
                <w:b/>
                <w:bCs/>
              </w:rPr>
            </w:pPr>
            <w:r w:rsidRPr="00274C7E">
              <w:rPr>
                <w:rFonts w:eastAsia="Times New Roman"/>
                <w:b/>
                <w:bCs/>
              </w:rPr>
              <w:t>N=241</w:t>
            </w:r>
          </w:p>
        </w:tc>
        <w:tc>
          <w:tcPr>
            <w:tcW w:w="1880" w:type="dxa"/>
            <w:tcBorders>
              <w:top w:val="nil"/>
            </w:tcBorders>
            <w:shd w:val="clear" w:color="auto" w:fill="auto"/>
            <w:noWrap/>
            <w:vAlign w:val="bottom"/>
            <w:hideMark/>
          </w:tcPr>
          <w:p w14:paraId="7A3426D1" w14:textId="77777777" w:rsidR="00DE28E8" w:rsidRPr="00274C7E" w:rsidRDefault="00DE28E8" w:rsidP="00962A17">
            <w:pPr>
              <w:spacing w:line="240" w:lineRule="auto"/>
              <w:jc w:val="center"/>
              <w:rPr>
                <w:rFonts w:eastAsia="Times New Roman"/>
                <w:b/>
                <w:bCs/>
              </w:rPr>
            </w:pPr>
            <w:r w:rsidRPr="00274C7E">
              <w:rPr>
                <w:rFonts w:eastAsia="Times New Roman"/>
                <w:b/>
                <w:bCs/>
              </w:rPr>
              <w:t>N=114</w:t>
            </w:r>
          </w:p>
        </w:tc>
        <w:tc>
          <w:tcPr>
            <w:tcW w:w="1011" w:type="dxa"/>
            <w:tcBorders>
              <w:top w:val="nil"/>
            </w:tcBorders>
            <w:shd w:val="clear" w:color="auto" w:fill="auto"/>
            <w:noWrap/>
            <w:vAlign w:val="bottom"/>
            <w:hideMark/>
          </w:tcPr>
          <w:p w14:paraId="3DC2241A" w14:textId="77777777" w:rsidR="00DE28E8" w:rsidRPr="00274C7E" w:rsidRDefault="00DE28E8" w:rsidP="00962A17">
            <w:pPr>
              <w:spacing w:line="240" w:lineRule="auto"/>
              <w:jc w:val="center"/>
              <w:rPr>
                <w:rFonts w:eastAsia="Times New Roman"/>
                <w:b/>
                <w:bCs/>
              </w:rPr>
            </w:pPr>
            <w:r w:rsidRPr="00274C7E">
              <w:rPr>
                <w:rFonts w:eastAsia="Times New Roman"/>
                <w:b/>
                <w:bCs/>
              </w:rPr>
              <w:t>p</w:t>
            </w:r>
          </w:p>
        </w:tc>
      </w:tr>
      <w:tr w:rsidR="00DC477A" w:rsidRPr="00274C7E" w14:paraId="6653C3A7" w14:textId="77777777" w:rsidTr="00380FC9">
        <w:trPr>
          <w:trHeight w:val="357"/>
        </w:trPr>
        <w:tc>
          <w:tcPr>
            <w:tcW w:w="4686" w:type="dxa"/>
            <w:gridSpan w:val="2"/>
            <w:shd w:val="clear" w:color="auto" w:fill="auto"/>
            <w:noWrap/>
            <w:vAlign w:val="bottom"/>
            <w:hideMark/>
          </w:tcPr>
          <w:p w14:paraId="172B0FFE" w14:textId="77777777" w:rsidR="00DE28E8" w:rsidRPr="00274C7E" w:rsidRDefault="00DE28E8" w:rsidP="00962A17">
            <w:pPr>
              <w:spacing w:line="240" w:lineRule="auto"/>
              <w:rPr>
                <w:rFonts w:eastAsia="Times New Roman"/>
                <w:b/>
                <w:bCs/>
              </w:rPr>
            </w:pPr>
            <w:r w:rsidRPr="00274C7E">
              <w:rPr>
                <w:rFonts w:eastAsia="Times New Roman"/>
                <w:b/>
                <w:bCs/>
              </w:rPr>
              <w:t>Demographics</w:t>
            </w:r>
          </w:p>
        </w:tc>
        <w:tc>
          <w:tcPr>
            <w:tcW w:w="1860" w:type="dxa"/>
            <w:shd w:val="clear" w:color="auto" w:fill="auto"/>
            <w:noWrap/>
            <w:vAlign w:val="bottom"/>
            <w:hideMark/>
          </w:tcPr>
          <w:p w14:paraId="6A113EFD" w14:textId="77777777" w:rsidR="00DE28E8" w:rsidRPr="00274C7E" w:rsidRDefault="00DE28E8" w:rsidP="00962A17">
            <w:pPr>
              <w:spacing w:line="240" w:lineRule="auto"/>
              <w:rPr>
                <w:rFonts w:eastAsia="Times New Roman"/>
              </w:rPr>
            </w:pPr>
          </w:p>
        </w:tc>
        <w:tc>
          <w:tcPr>
            <w:tcW w:w="1880" w:type="dxa"/>
            <w:shd w:val="clear" w:color="auto" w:fill="auto"/>
            <w:noWrap/>
            <w:vAlign w:val="bottom"/>
            <w:hideMark/>
          </w:tcPr>
          <w:p w14:paraId="32AA6732" w14:textId="77777777" w:rsidR="00DE28E8" w:rsidRPr="00274C7E" w:rsidRDefault="00DE28E8" w:rsidP="00962A17">
            <w:pPr>
              <w:spacing w:line="240" w:lineRule="auto"/>
              <w:rPr>
                <w:rFonts w:eastAsia="Times New Roman"/>
                <w:sz w:val="20"/>
                <w:szCs w:val="20"/>
              </w:rPr>
            </w:pPr>
          </w:p>
        </w:tc>
        <w:tc>
          <w:tcPr>
            <w:tcW w:w="1011" w:type="dxa"/>
            <w:shd w:val="clear" w:color="auto" w:fill="auto"/>
            <w:noWrap/>
            <w:vAlign w:val="bottom"/>
            <w:hideMark/>
          </w:tcPr>
          <w:p w14:paraId="4E45C999" w14:textId="77777777" w:rsidR="00DE28E8" w:rsidRPr="00274C7E" w:rsidRDefault="00DE28E8" w:rsidP="00962A17">
            <w:pPr>
              <w:spacing w:line="240" w:lineRule="auto"/>
              <w:rPr>
                <w:rFonts w:eastAsia="Times New Roman"/>
                <w:sz w:val="20"/>
                <w:szCs w:val="20"/>
              </w:rPr>
            </w:pPr>
          </w:p>
        </w:tc>
      </w:tr>
      <w:tr w:rsidR="00DC477A" w:rsidRPr="00274C7E" w14:paraId="43B9ECB9" w14:textId="77777777" w:rsidTr="00380FC9">
        <w:trPr>
          <w:trHeight w:val="357"/>
        </w:trPr>
        <w:tc>
          <w:tcPr>
            <w:tcW w:w="2884" w:type="dxa"/>
            <w:shd w:val="clear" w:color="auto" w:fill="auto"/>
            <w:noWrap/>
            <w:vAlign w:val="bottom"/>
            <w:hideMark/>
          </w:tcPr>
          <w:p w14:paraId="3685CC0A" w14:textId="77777777" w:rsidR="003928C4" w:rsidRPr="00274C7E" w:rsidRDefault="003928C4" w:rsidP="00573EAC">
            <w:pPr>
              <w:spacing w:line="240" w:lineRule="auto"/>
              <w:rPr>
                <w:rFonts w:eastAsia="Times New Roman"/>
              </w:rPr>
            </w:pPr>
            <w:r w:rsidRPr="00274C7E">
              <w:rPr>
                <w:rFonts w:eastAsia="Times New Roman"/>
              </w:rPr>
              <w:t>Sex (male)</w:t>
            </w:r>
          </w:p>
        </w:tc>
        <w:tc>
          <w:tcPr>
            <w:tcW w:w="1802" w:type="dxa"/>
            <w:shd w:val="clear" w:color="auto" w:fill="auto"/>
            <w:noWrap/>
            <w:vAlign w:val="bottom"/>
            <w:hideMark/>
          </w:tcPr>
          <w:p w14:paraId="45F16477" w14:textId="77777777" w:rsidR="003928C4" w:rsidRPr="00274C7E" w:rsidRDefault="003928C4" w:rsidP="00962A17">
            <w:pPr>
              <w:spacing w:line="240" w:lineRule="auto"/>
              <w:jc w:val="center"/>
              <w:rPr>
                <w:rFonts w:eastAsia="Times New Roman"/>
              </w:rPr>
            </w:pPr>
            <w:r w:rsidRPr="00274C7E">
              <w:rPr>
                <w:rFonts w:eastAsia="Times New Roman"/>
              </w:rPr>
              <w:t>65%</w:t>
            </w:r>
          </w:p>
        </w:tc>
        <w:tc>
          <w:tcPr>
            <w:tcW w:w="1860" w:type="dxa"/>
            <w:shd w:val="clear" w:color="auto" w:fill="auto"/>
            <w:noWrap/>
            <w:vAlign w:val="bottom"/>
            <w:hideMark/>
          </w:tcPr>
          <w:p w14:paraId="58A7F1FC" w14:textId="77777777" w:rsidR="003928C4" w:rsidRPr="00274C7E" w:rsidRDefault="003928C4" w:rsidP="00962A17">
            <w:pPr>
              <w:spacing w:line="240" w:lineRule="auto"/>
              <w:jc w:val="center"/>
              <w:rPr>
                <w:rFonts w:eastAsia="Times New Roman"/>
              </w:rPr>
            </w:pPr>
            <w:r w:rsidRPr="00274C7E">
              <w:rPr>
                <w:rFonts w:eastAsia="Times New Roman"/>
              </w:rPr>
              <w:t>71%</w:t>
            </w:r>
          </w:p>
        </w:tc>
        <w:tc>
          <w:tcPr>
            <w:tcW w:w="1880" w:type="dxa"/>
            <w:shd w:val="clear" w:color="auto" w:fill="auto"/>
            <w:noWrap/>
            <w:vAlign w:val="bottom"/>
            <w:hideMark/>
          </w:tcPr>
          <w:p w14:paraId="3DFB38B3" w14:textId="77777777" w:rsidR="003928C4" w:rsidRPr="00274C7E" w:rsidRDefault="003928C4" w:rsidP="00962A17">
            <w:pPr>
              <w:spacing w:line="240" w:lineRule="auto"/>
              <w:jc w:val="center"/>
              <w:rPr>
                <w:rFonts w:eastAsia="Times New Roman"/>
              </w:rPr>
            </w:pPr>
            <w:r w:rsidRPr="00274C7E">
              <w:rPr>
                <w:rFonts w:eastAsia="Times New Roman"/>
              </w:rPr>
              <w:t>74%</w:t>
            </w:r>
          </w:p>
        </w:tc>
        <w:tc>
          <w:tcPr>
            <w:tcW w:w="1011" w:type="dxa"/>
            <w:shd w:val="clear" w:color="auto" w:fill="auto"/>
            <w:noWrap/>
            <w:vAlign w:val="bottom"/>
            <w:hideMark/>
          </w:tcPr>
          <w:p w14:paraId="69BAF0EF" w14:textId="77777777" w:rsidR="003928C4" w:rsidRPr="00274C7E" w:rsidRDefault="003928C4" w:rsidP="00962A17">
            <w:pPr>
              <w:spacing w:line="240" w:lineRule="auto"/>
              <w:jc w:val="center"/>
              <w:rPr>
                <w:rFonts w:eastAsia="Times New Roman"/>
              </w:rPr>
            </w:pPr>
            <w:r w:rsidRPr="00274C7E">
              <w:rPr>
                <w:rFonts w:eastAsia="Times New Roman"/>
              </w:rPr>
              <w:t>0,459</w:t>
            </w:r>
          </w:p>
        </w:tc>
      </w:tr>
      <w:tr w:rsidR="00DC477A" w:rsidRPr="00274C7E" w14:paraId="3DA64F3E" w14:textId="77777777" w:rsidTr="00380FC9">
        <w:trPr>
          <w:trHeight w:val="357"/>
        </w:trPr>
        <w:tc>
          <w:tcPr>
            <w:tcW w:w="2884" w:type="dxa"/>
            <w:shd w:val="clear" w:color="auto" w:fill="auto"/>
            <w:noWrap/>
            <w:vAlign w:val="bottom"/>
            <w:hideMark/>
          </w:tcPr>
          <w:p w14:paraId="4EBB3E43" w14:textId="77777777" w:rsidR="003928C4" w:rsidRPr="00274C7E" w:rsidRDefault="003928C4" w:rsidP="00573EAC">
            <w:pPr>
              <w:spacing w:line="240" w:lineRule="auto"/>
              <w:rPr>
                <w:rFonts w:eastAsia="Times New Roman"/>
              </w:rPr>
            </w:pPr>
            <w:r w:rsidRPr="00274C7E">
              <w:rPr>
                <w:rFonts w:eastAsia="Times New Roman"/>
              </w:rPr>
              <w:t>Age (years)</w:t>
            </w:r>
          </w:p>
        </w:tc>
        <w:tc>
          <w:tcPr>
            <w:tcW w:w="1802" w:type="dxa"/>
            <w:shd w:val="clear" w:color="auto" w:fill="auto"/>
            <w:noWrap/>
            <w:vAlign w:val="bottom"/>
            <w:hideMark/>
          </w:tcPr>
          <w:p w14:paraId="00506E01" w14:textId="77777777" w:rsidR="003928C4" w:rsidRPr="00274C7E" w:rsidRDefault="003928C4" w:rsidP="00962A17">
            <w:pPr>
              <w:spacing w:line="240" w:lineRule="auto"/>
              <w:jc w:val="center"/>
              <w:rPr>
                <w:rFonts w:eastAsia="Times New Roman"/>
              </w:rPr>
            </w:pPr>
            <w:r w:rsidRPr="00274C7E">
              <w:rPr>
                <w:rFonts w:eastAsia="Times New Roman"/>
              </w:rPr>
              <w:t>68,64±11,23</w:t>
            </w:r>
          </w:p>
        </w:tc>
        <w:tc>
          <w:tcPr>
            <w:tcW w:w="1860" w:type="dxa"/>
            <w:shd w:val="clear" w:color="auto" w:fill="auto"/>
            <w:noWrap/>
            <w:vAlign w:val="bottom"/>
            <w:hideMark/>
          </w:tcPr>
          <w:p w14:paraId="2898D1CA" w14:textId="77777777" w:rsidR="003928C4" w:rsidRPr="00274C7E" w:rsidRDefault="003928C4" w:rsidP="00962A17">
            <w:pPr>
              <w:spacing w:line="240" w:lineRule="auto"/>
              <w:jc w:val="center"/>
              <w:rPr>
                <w:rFonts w:eastAsia="Times New Roman"/>
              </w:rPr>
            </w:pPr>
            <w:r w:rsidRPr="00274C7E">
              <w:rPr>
                <w:rFonts w:eastAsia="Times New Roman"/>
              </w:rPr>
              <w:t>67,88±11,32</w:t>
            </w:r>
          </w:p>
        </w:tc>
        <w:tc>
          <w:tcPr>
            <w:tcW w:w="1880" w:type="dxa"/>
            <w:shd w:val="clear" w:color="auto" w:fill="auto"/>
            <w:noWrap/>
            <w:vAlign w:val="bottom"/>
            <w:hideMark/>
          </w:tcPr>
          <w:p w14:paraId="09B4F96C" w14:textId="77777777" w:rsidR="003928C4" w:rsidRPr="00274C7E" w:rsidRDefault="003928C4" w:rsidP="00962A17">
            <w:pPr>
              <w:spacing w:line="240" w:lineRule="auto"/>
              <w:jc w:val="center"/>
              <w:rPr>
                <w:rFonts w:eastAsia="Times New Roman"/>
              </w:rPr>
            </w:pPr>
            <w:r w:rsidRPr="00274C7E">
              <w:rPr>
                <w:rFonts w:eastAsia="Times New Roman"/>
              </w:rPr>
              <w:t>69,71±13,96</w:t>
            </w:r>
          </w:p>
        </w:tc>
        <w:tc>
          <w:tcPr>
            <w:tcW w:w="1011" w:type="dxa"/>
            <w:shd w:val="clear" w:color="auto" w:fill="auto"/>
            <w:noWrap/>
            <w:vAlign w:val="bottom"/>
            <w:hideMark/>
          </w:tcPr>
          <w:p w14:paraId="7ED14739" w14:textId="77777777" w:rsidR="003928C4" w:rsidRPr="00274C7E" w:rsidRDefault="003928C4" w:rsidP="00962A17">
            <w:pPr>
              <w:spacing w:line="240" w:lineRule="auto"/>
              <w:jc w:val="center"/>
              <w:rPr>
                <w:rFonts w:eastAsia="Times New Roman"/>
              </w:rPr>
            </w:pPr>
            <w:r w:rsidRPr="00274C7E">
              <w:rPr>
                <w:rFonts w:eastAsia="Times New Roman"/>
              </w:rPr>
              <w:t>0,613</w:t>
            </w:r>
          </w:p>
        </w:tc>
      </w:tr>
      <w:tr w:rsidR="00DC477A" w:rsidRPr="00274C7E" w14:paraId="6B817410" w14:textId="77777777" w:rsidTr="00380FC9">
        <w:trPr>
          <w:trHeight w:val="357"/>
        </w:trPr>
        <w:tc>
          <w:tcPr>
            <w:tcW w:w="2884" w:type="dxa"/>
            <w:shd w:val="clear" w:color="auto" w:fill="auto"/>
            <w:noWrap/>
            <w:vAlign w:val="bottom"/>
            <w:hideMark/>
          </w:tcPr>
          <w:p w14:paraId="303AC8FA" w14:textId="77777777" w:rsidR="003928C4" w:rsidRPr="00274C7E" w:rsidRDefault="003928C4" w:rsidP="00573EAC">
            <w:pPr>
              <w:spacing w:line="240" w:lineRule="auto"/>
              <w:rPr>
                <w:rFonts w:eastAsia="Times New Roman"/>
              </w:rPr>
            </w:pPr>
            <w:r w:rsidRPr="00274C7E">
              <w:rPr>
                <w:rFonts w:eastAsia="Times New Roman"/>
              </w:rPr>
              <w:t>Age &gt;65</w:t>
            </w:r>
            <w:r w:rsidR="00582A1A">
              <w:rPr>
                <w:rFonts w:eastAsia="Times New Roman"/>
              </w:rPr>
              <w:t xml:space="preserve"> </w:t>
            </w:r>
            <w:r w:rsidRPr="00274C7E">
              <w:rPr>
                <w:rFonts w:eastAsia="Times New Roman"/>
              </w:rPr>
              <w:t>y</w:t>
            </w:r>
            <w:r w:rsidR="00582A1A">
              <w:rPr>
                <w:rFonts w:eastAsia="Times New Roman"/>
              </w:rPr>
              <w:t>r</w:t>
            </w:r>
            <w:r w:rsidRPr="00274C7E">
              <w:rPr>
                <w:rFonts w:eastAsia="Times New Roman"/>
              </w:rPr>
              <w:t xml:space="preserve"> (%)</w:t>
            </w:r>
          </w:p>
        </w:tc>
        <w:tc>
          <w:tcPr>
            <w:tcW w:w="1802" w:type="dxa"/>
            <w:shd w:val="clear" w:color="auto" w:fill="auto"/>
            <w:noWrap/>
            <w:vAlign w:val="bottom"/>
            <w:hideMark/>
          </w:tcPr>
          <w:p w14:paraId="5A3CF549" w14:textId="77777777" w:rsidR="003928C4" w:rsidRPr="00274C7E" w:rsidRDefault="003928C4" w:rsidP="00962A17">
            <w:pPr>
              <w:spacing w:line="240" w:lineRule="auto"/>
              <w:jc w:val="center"/>
              <w:rPr>
                <w:rFonts w:eastAsia="Times New Roman"/>
              </w:rPr>
            </w:pPr>
            <w:r w:rsidRPr="00274C7E">
              <w:rPr>
                <w:rFonts w:eastAsia="Times New Roman"/>
              </w:rPr>
              <w:t>64%</w:t>
            </w:r>
          </w:p>
        </w:tc>
        <w:tc>
          <w:tcPr>
            <w:tcW w:w="1860" w:type="dxa"/>
            <w:shd w:val="clear" w:color="auto" w:fill="auto"/>
            <w:noWrap/>
            <w:vAlign w:val="bottom"/>
            <w:hideMark/>
          </w:tcPr>
          <w:p w14:paraId="6F9AE2E2" w14:textId="77777777" w:rsidR="003928C4" w:rsidRPr="00274C7E" w:rsidRDefault="003928C4" w:rsidP="00962A17">
            <w:pPr>
              <w:spacing w:line="240" w:lineRule="auto"/>
              <w:jc w:val="center"/>
              <w:rPr>
                <w:rFonts w:eastAsia="Times New Roman"/>
              </w:rPr>
            </w:pPr>
            <w:r w:rsidRPr="00274C7E">
              <w:rPr>
                <w:rFonts w:eastAsia="Times New Roman"/>
              </w:rPr>
              <w:t>66%</w:t>
            </w:r>
          </w:p>
        </w:tc>
        <w:tc>
          <w:tcPr>
            <w:tcW w:w="1880" w:type="dxa"/>
            <w:shd w:val="clear" w:color="auto" w:fill="auto"/>
            <w:noWrap/>
            <w:vAlign w:val="bottom"/>
            <w:hideMark/>
          </w:tcPr>
          <w:p w14:paraId="23FEF17D" w14:textId="77777777" w:rsidR="003928C4" w:rsidRPr="00274C7E" w:rsidRDefault="003928C4" w:rsidP="00962A17">
            <w:pPr>
              <w:spacing w:line="240" w:lineRule="auto"/>
              <w:jc w:val="center"/>
              <w:rPr>
                <w:rFonts w:eastAsia="Times New Roman"/>
              </w:rPr>
            </w:pPr>
            <w:r w:rsidRPr="00274C7E">
              <w:rPr>
                <w:rFonts w:eastAsia="Times New Roman"/>
              </w:rPr>
              <w:t>70%</w:t>
            </w:r>
          </w:p>
        </w:tc>
        <w:tc>
          <w:tcPr>
            <w:tcW w:w="1011" w:type="dxa"/>
            <w:shd w:val="clear" w:color="auto" w:fill="auto"/>
            <w:noWrap/>
            <w:vAlign w:val="bottom"/>
            <w:hideMark/>
          </w:tcPr>
          <w:p w14:paraId="068305C8" w14:textId="77777777" w:rsidR="003928C4" w:rsidRPr="00274C7E" w:rsidRDefault="003928C4" w:rsidP="00962A17">
            <w:pPr>
              <w:spacing w:line="240" w:lineRule="auto"/>
              <w:jc w:val="center"/>
              <w:rPr>
                <w:rFonts w:eastAsia="Times New Roman"/>
              </w:rPr>
            </w:pPr>
            <w:r w:rsidRPr="00274C7E">
              <w:rPr>
                <w:rFonts w:eastAsia="Times New Roman"/>
              </w:rPr>
              <w:t>0,684</w:t>
            </w:r>
          </w:p>
        </w:tc>
      </w:tr>
      <w:tr w:rsidR="00DC477A" w:rsidRPr="00274C7E" w14:paraId="76347600" w14:textId="77777777" w:rsidTr="00380FC9">
        <w:trPr>
          <w:trHeight w:val="357"/>
        </w:trPr>
        <w:tc>
          <w:tcPr>
            <w:tcW w:w="4686" w:type="dxa"/>
            <w:gridSpan w:val="2"/>
            <w:shd w:val="clear" w:color="auto" w:fill="auto"/>
            <w:noWrap/>
            <w:vAlign w:val="bottom"/>
            <w:hideMark/>
          </w:tcPr>
          <w:p w14:paraId="604E82AC" w14:textId="77777777" w:rsidR="00DE28E8" w:rsidRPr="00274C7E" w:rsidRDefault="00DE28E8" w:rsidP="00962A17">
            <w:pPr>
              <w:spacing w:line="240" w:lineRule="auto"/>
              <w:rPr>
                <w:rFonts w:eastAsia="Times New Roman"/>
                <w:b/>
                <w:bCs/>
              </w:rPr>
            </w:pPr>
            <w:r w:rsidRPr="00274C7E">
              <w:rPr>
                <w:rFonts w:eastAsia="Times New Roman"/>
                <w:b/>
                <w:bCs/>
              </w:rPr>
              <w:t>CPAP data</w:t>
            </w:r>
          </w:p>
        </w:tc>
        <w:tc>
          <w:tcPr>
            <w:tcW w:w="1860" w:type="dxa"/>
            <w:shd w:val="clear" w:color="auto" w:fill="auto"/>
            <w:noWrap/>
            <w:vAlign w:val="bottom"/>
            <w:hideMark/>
          </w:tcPr>
          <w:p w14:paraId="3EF7D9E0" w14:textId="77777777" w:rsidR="00DE28E8" w:rsidRPr="00274C7E" w:rsidRDefault="00DE28E8" w:rsidP="00962A17">
            <w:pPr>
              <w:spacing w:line="240" w:lineRule="auto"/>
              <w:rPr>
                <w:rFonts w:eastAsia="Times New Roman"/>
              </w:rPr>
            </w:pPr>
          </w:p>
        </w:tc>
        <w:tc>
          <w:tcPr>
            <w:tcW w:w="1880" w:type="dxa"/>
            <w:shd w:val="clear" w:color="auto" w:fill="auto"/>
            <w:noWrap/>
            <w:vAlign w:val="bottom"/>
            <w:hideMark/>
          </w:tcPr>
          <w:p w14:paraId="456E349A" w14:textId="77777777" w:rsidR="00DE28E8" w:rsidRPr="00274C7E" w:rsidRDefault="00DE28E8" w:rsidP="00962A17">
            <w:pPr>
              <w:spacing w:line="240" w:lineRule="auto"/>
              <w:rPr>
                <w:rFonts w:eastAsia="Times New Roman"/>
                <w:sz w:val="20"/>
                <w:szCs w:val="20"/>
              </w:rPr>
            </w:pPr>
          </w:p>
        </w:tc>
        <w:tc>
          <w:tcPr>
            <w:tcW w:w="1011" w:type="dxa"/>
            <w:shd w:val="clear" w:color="auto" w:fill="auto"/>
            <w:noWrap/>
            <w:vAlign w:val="bottom"/>
            <w:hideMark/>
          </w:tcPr>
          <w:p w14:paraId="2FE4C3B3" w14:textId="77777777" w:rsidR="00DE28E8" w:rsidRPr="00274C7E" w:rsidRDefault="00DE28E8" w:rsidP="00962A17">
            <w:pPr>
              <w:spacing w:line="240" w:lineRule="auto"/>
              <w:rPr>
                <w:rFonts w:eastAsia="Times New Roman"/>
                <w:sz w:val="20"/>
                <w:szCs w:val="20"/>
              </w:rPr>
            </w:pPr>
          </w:p>
        </w:tc>
      </w:tr>
      <w:tr w:rsidR="00DC477A" w:rsidRPr="00274C7E" w14:paraId="611043B8" w14:textId="77777777" w:rsidTr="00380FC9">
        <w:trPr>
          <w:trHeight w:val="357"/>
        </w:trPr>
        <w:tc>
          <w:tcPr>
            <w:tcW w:w="2884" w:type="dxa"/>
            <w:shd w:val="clear" w:color="auto" w:fill="auto"/>
            <w:noWrap/>
            <w:vAlign w:val="bottom"/>
            <w:hideMark/>
          </w:tcPr>
          <w:p w14:paraId="559FE53F" w14:textId="77777777" w:rsidR="003928C4" w:rsidRPr="00274C7E" w:rsidRDefault="003928C4" w:rsidP="00573EAC">
            <w:pPr>
              <w:spacing w:line="240" w:lineRule="auto"/>
              <w:rPr>
                <w:rFonts w:eastAsia="Times New Roman"/>
              </w:rPr>
            </w:pPr>
            <w:r w:rsidRPr="00274C7E">
              <w:rPr>
                <w:rFonts w:eastAsia="Times New Roman"/>
              </w:rPr>
              <w:t>rAHI (events·h</w:t>
            </w:r>
            <w:r w:rsidRPr="00274C7E">
              <w:rPr>
                <w:rFonts w:eastAsia="Times New Roman"/>
                <w:vertAlign w:val="superscript"/>
              </w:rPr>
              <w:t>-1</w:t>
            </w:r>
            <w:r w:rsidRPr="00274C7E">
              <w:rPr>
                <w:rFonts w:eastAsia="Times New Roman"/>
              </w:rPr>
              <w:t>)</w:t>
            </w:r>
          </w:p>
        </w:tc>
        <w:tc>
          <w:tcPr>
            <w:tcW w:w="1802" w:type="dxa"/>
            <w:shd w:val="clear" w:color="auto" w:fill="auto"/>
            <w:noWrap/>
            <w:vAlign w:val="bottom"/>
            <w:hideMark/>
          </w:tcPr>
          <w:p w14:paraId="722A767A" w14:textId="77777777" w:rsidR="003928C4" w:rsidRPr="00274C7E" w:rsidRDefault="003928C4" w:rsidP="00962A17">
            <w:pPr>
              <w:spacing w:line="240" w:lineRule="auto"/>
              <w:jc w:val="center"/>
              <w:rPr>
                <w:rFonts w:eastAsia="Times New Roman"/>
              </w:rPr>
            </w:pPr>
            <w:r w:rsidRPr="00274C7E">
              <w:rPr>
                <w:rFonts w:eastAsia="Times New Roman"/>
              </w:rPr>
              <w:t>4,55±6,02</w:t>
            </w:r>
          </w:p>
        </w:tc>
        <w:tc>
          <w:tcPr>
            <w:tcW w:w="1860" w:type="dxa"/>
            <w:shd w:val="clear" w:color="auto" w:fill="auto"/>
            <w:noWrap/>
            <w:vAlign w:val="bottom"/>
            <w:hideMark/>
          </w:tcPr>
          <w:p w14:paraId="6210294B" w14:textId="77777777" w:rsidR="003928C4" w:rsidRPr="00274C7E" w:rsidRDefault="003928C4" w:rsidP="00962A17">
            <w:pPr>
              <w:spacing w:line="240" w:lineRule="auto"/>
              <w:jc w:val="center"/>
              <w:rPr>
                <w:rFonts w:eastAsia="Times New Roman"/>
              </w:rPr>
            </w:pPr>
            <w:r w:rsidRPr="00274C7E">
              <w:rPr>
                <w:rFonts w:eastAsia="Times New Roman"/>
              </w:rPr>
              <w:t>3,75±4,82</w:t>
            </w:r>
          </w:p>
        </w:tc>
        <w:tc>
          <w:tcPr>
            <w:tcW w:w="1880" w:type="dxa"/>
            <w:shd w:val="clear" w:color="auto" w:fill="auto"/>
            <w:noWrap/>
            <w:vAlign w:val="bottom"/>
            <w:hideMark/>
          </w:tcPr>
          <w:p w14:paraId="210D0F92" w14:textId="77777777" w:rsidR="003928C4" w:rsidRPr="00274C7E" w:rsidRDefault="003928C4" w:rsidP="00962A17">
            <w:pPr>
              <w:spacing w:line="240" w:lineRule="auto"/>
              <w:jc w:val="center"/>
              <w:rPr>
                <w:rFonts w:eastAsia="Times New Roman"/>
              </w:rPr>
            </w:pPr>
            <w:r w:rsidRPr="00274C7E">
              <w:rPr>
                <w:rFonts w:eastAsia="Times New Roman"/>
              </w:rPr>
              <w:t>3,38±5,03</w:t>
            </w:r>
          </w:p>
        </w:tc>
        <w:tc>
          <w:tcPr>
            <w:tcW w:w="1011" w:type="dxa"/>
            <w:shd w:val="clear" w:color="auto" w:fill="auto"/>
            <w:noWrap/>
            <w:vAlign w:val="bottom"/>
            <w:hideMark/>
          </w:tcPr>
          <w:p w14:paraId="0D1B080B" w14:textId="77777777" w:rsidR="003928C4" w:rsidRPr="00274C7E" w:rsidRDefault="003928C4" w:rsidP="00962A17">
            <w:pPr>
              <w:spacing w:line="240" w:lineRule="auto"/>
              <w:jc w:val="center"/>
              <w:rPr>
                <w:rFonts w:eastAsia="Times New Roman"/>
              </w:rPr>
            </w:pPr>
            <w:r w:rsidRPr="00274C7E">
              <w:rPr>
                <w:rFonts w:eastAsia="Times New Roman"/>
              </w:rPr>
              <w:t>0,078</w:t>
            </w:r>
          </w:p>
        </w:tc>
      </w:tr>
      <w:tr w:rsidR="00DC477A" w:rsidRPr="00274C7E" w14:paraId="37EA21A4" w14:textId="77777777" w:rsidTr="00380FC9">
        <w:trPr>
          <w:trHeight w:val="357"/>
        </w:trPr>
        <w:tc>
          <w:tcPr>
            <w:tcW w:w="2884" w:type="dxa"/>
            <w:shd w:val="clear" w:color="auto" w:fill="auto"/>
            <w:noWrap/>
            <w:vAlign w:val="bottom"/>
            <w:hideMark/>
          </w:tcPr>
          <w:p w14:paraId="4802CCC0" w14:textId="77777777" w:rsidR="003928C4" w:rsidRPr="00274C7E" w:rsidRDefault="003928C4" w:rsidP="00573EAC">
            <w:pPr>
              <w:spacing w:line="240" w:lineRule="auto"/>
              <w:rPr>
                <w:rFonts w:eastAsia="Times New Roman"/>
              </w:rPr>
            </w:pPr>
            <w:r w:rsidRPr="00274C7E">
              <w:rPr>
                <w:rFonts w:eastAsia="Times New Roman"/>
              </w:rPr>
              <w:t>rAHI &gt;10 events·h</w:t>
            </w:r>
            <w:r w:rsidRPr="00274C7E">
              <w:rPr>
                <w:rFonts w:eastAsia="Times New Roman"/>
                <w:vertAlign w:val="superscript"/>
              </w:rPr>
              <w:t>-1</w:t>
            </w:r>
            <w:r w:rsidRPr="00274C7E">
              <w:rPr>
                <w:rFonts w:eastAsia="Times New Roman"/>
              </w:rPr>
              <w:t xml:space="preserve"> (%)</w:t>
            </w:r>
          </w:p>
        </w:tc>
        <w:tc>
          <w:tcPr>
            <w:tcW w:w="1802" w:type="dxa"/>
            <w:shd w:val="clear" w:color="auto" w:fill="auto"/>
            <w:noWrap/>
            <w:vAlign w:val="bottom"/>
            <w:hideMark/>
          </w:tcPr>
          <w:p w14:paraId="2E75B299" w14:textId="77777777" w:rsidR="003928C4" w:rsidRPr="00274C7E" w:rsidRDefault="003928C4" w:rsidP="00962A17">
            <w:pPr>
              <w:spacing w:line="240" w:lineRule="auto"/>
              <w:jc w:val="center"/>
              <w:rPr>
                <w:rFonts w:eastAsia="Times New Roman"/>
              </w:rPr>
            </w:pPr>
            <w:r w:rsidRPr="00274C7E">
              <w:rPr>
                <w:rFonts w:eastAsia="Times New Roman"/>
              </w:rPr>
              <w:t>11%</w:t>
            </w:r>
          </w:p>
        </w:tc>
        <w:tc>
          <w:tcPr>
            <w:tcW w:w="1860" w:type="dxa"/>
            <w:shd w:val="clear" w:color="auto" w:fill="auto"/>
            <w:noWrap/>
            <w:vAlign w:val="bottom"/>
            <w:hideMark/>
          </w:tcPr>
          <w:p w14:paraId="7451710B" w14:textId="77777777" w:rsidR="003928C4" w:rsidRPr="00274C7E" w:rsidRDefault="003928C4" w:rsidP="00962A17">
            <w:pPr>
              <w:spacing w:line="240" w:lineRule="auto"/>
              <w:jc w:val="center"/>
              <w:rPr>
                <w:rFonts w:eastAsia="Times New Roman"/>
              </w:rPr>
            </w:pPr>
            <w:r w:rsidRPr="00274C7E">
              <w:rPr>
                <w:rFonts w:eastAsia="Times New Roman"/>
              </w:rPr>
              <w:t>9%</w:t>
            </w:r>
          </w:p>
        </w:tc>
        <w:tc>
          <w:tcPr>
            <w:tcW w:w="1880" w:type="dxa"/>
            <w:shd w:val="clear" w:color="auto" w:fill="auto"/>
            <w:noWrap/>
            <w:vAlign w:val="bottom"/>
            <w:hideMark/>
          </w:tcPr>
          <w:p w14:paraId="736AAE8D" w14:textId="77777777" w:rsidR="003928C4" w:rsidRPr="00274C7E" w:rsidRDefault="003928C4" w:rsidP="00962A17">
            <w:pPr>
              <w:spacing w:line="240" w:lineRule="auto"/>
              <w:jc w:val="center"/>
              <w:rPr>
                <w:rFonts w:eastAsia="Times New Roman"/>
              </w:rPr>
            </w:pPr>
            <w:r w:rsidRPr="00274C7E">
              <w:rPr>
                <w:rFonts w:eastAsia="Times New Roman"/>
              </w:rPr>
              <w:t>8%</w:t>
            </w:r>
          </w:p>
        </w:tc>
        <w:tc>
          <w:tcPr>
            <w:tcW w:w="1011" w:type="dxa"/>
            <w:shd w:val="clear" w:color="auto" w:fill="auto"/>
            <w:noWrap/>
            <w:vAlign w:val="bottom"/>
            <w:hideMark/>
          </w:tcPr>
          <w:p w14:paraId="5EB7454A" w14:textId="77777777" w:rsidR="003928C4" w:rsidRPr="00274C7E" w:rsidRDefault="003928C4" w:rsidP="00962A17">
            <w:pPr>
              <w:spacing w:line="240" w:lineRule="auto"/>
              <w:jc w:val="center"/>
              <w:rPr>
                <w:rFonts w:eastAsia="Times New Roman"/>
              </w:rPr>
            </w:pPr>
            <w:r w:rsidRPr="00274C7E">
              <w:rPr>
                <w:rFonts w:eastAsia="Times New Roman"/>
              </w:rPr>
              <w:t>0,756</w:t>
            </w:r>
          </w:p>
        </w:tc>
      </w:tr>
      <w:tr w:rsidR="00DC477A" w:rsidRPr="00274C7E" w14:paraId="64B8451C" w14:textId="77777777" w:rsidTr="00380FC9">
        <w:trPr>
          <w:trHeight w:val="357"/>
        </w:trPr>
        <w:tc>
          <w:tcPr>
            <w:tcW w:w="2884" w:type="dxa"/>
            <w:shd w:val="clear" w:color="auto" w:fill="auto"/>
            <w:noWrap/>
            <w:vAlign w:val="bottom"/>
            <w:hideMark/>
          </w:tcPr>
          <w:p w14:paraId="2C1970CA" w14:textId="77777777" w:rsidR="003928C4" w:rsidRPr="00274C7E" w:rsidRDefault="003928C4" w:rsidP="00573EAC">
            <w:pPr>
              <w:spacing w:line="240" w:lineRule="auto"/>
              <w:rPr>
                <w:rFonts w:eastAsia="Times New Roman"/>
              </w:rPr>
            </w:pPr>
            <w:r w:rsidRPr="00274C7E">
              <w:rPr>
                <w:rFonts w:eastAsia="Times New Roman"/>
              </w:rPr>
              <w:t>High leakage (%)</w:t>
            </w:r>
          </w:p>
        </w:tc>
        <w:tc>
          <w:tcPr>
            <w:tcW w:w="1802" w:type="dxa"/>
            <w:shd w:val="clear" w:color="auto" w:fill="auto"/>
            <w:noWrap/>
            <w:vAlign w:val="bottom"/>
            <w:hideMark/>
          </w:tcPr>
          <w:p w14:paraId="6708B18C" w14:textId="77777777" w:rsidR="003928C4" w:rsidRPr="00274C7E" w:rsidRDefault="003928C4" w:rsidP="00962A17">
            <w:pPr>
              <w:spacing w:line="240" w:lineRule="auto"/>
              <w:jc w:val="center"/>
              <w:rPr>
                <w:rFonts w:eastAsia="Times New Roman"/>
              </w:rPr>
            </w:pPr>
            <w:r w:rsidRPr="00274C7E">
              <w:rPr>
                <w:rFonts w:eastAsia="Times New Roman"/>
              </w:rPr>
              <w:t>21%</w:t>
            </w:r>
            <w:r w:rsidR="00274C7E" w:rsidRPr="00274C7E">
              <w:rPr>
                <w:rFonts w:eastAsia="Times New Roman"/>
              </w:rPr>
              <w:t>*</w:t>
            </w:r>
          </w:p>
        </w:tc>
        <w:tc>
          <w:tcPr>
            <w:tcW w:w="1860" w:type="dxa"/>
            <w:shd w:val="clear" w:color="auto" w:fill="auto"/>
            <w:noWrap/>
            <w:vAlign w:val="bottom"/>
            <w:hideMark/>
          </w:tcPr>
          <w:p w14:paraId="53904297" w14:textId="77777777" w:rsidR="003928C4" w:rsidRPr="00274C7E" w:rsidRDefault="003928C4" w:rsidP="00962A17">
            <w:pPr>
              <w:spacing w:line="240" w:lineRule="auto"/>
              <w:jc w:val="center"/>
              <w:rPr>
                <w:rFonts w:eastAsia="Times New Roman"/>
              </w:rPr>
            </w:pPr>
            <w:r w:rsidRPr="00274C7E">
              <w:rPr>
                <w:rFonts w:eastAsia="Times New Roman"/>
              </w:rPr>
              <w:t>21%</w:t>
            </w:r>
            <w:r w:rsidR="00274C7E" w:rsidRPr="00274C7E">
              <w:rPr>
                <w:rFonts w:eastAsia="Times New Roman"/>
              </w:rPr>
              <w:t>*</w:t>
            </w:r>
          </w:p>
        </w:tc>
        <w:tc>
          <w:tcPr>
            <w:tcW w:w="1880" w:type="dxa"/>
            <w:shd w:val="clear" w:color="auto" w:fill="auto"/>
            <w:noWrap/>
            <w:vAlign w:val="bottom"/>
            <w:hideMark/>
          </w:tcPr>
          <w:p w14:paraId="605788EC" w14:textId="77777777" w:rsidR="003928C4" w:rsidRPr="00274C7E" w:rsidRDefault="003928C4" w:rsidP="00962A17">
            <w:pPr>
              <w:spacing w:line="240" w:lineRule="auto"/>
              <w:jc w:val="center"/>
              <w:rPr>
                <w:rFonts w:eastAsia="Times New Roman"/>
              </w:rPr>
            </w:pPr>
            <w:r w:rsidRPr="00274C7E">
              <w:rPr>
                <w:rFonts w:eastAsia="Times New Roman"/>
              </w:rPr>
              <w:t>35%</w:t>
            </w:r>
            <w:r w:rsidR="00274C7E" w:rsidRPr="00274C7E">
              <w:rPr>
                <w:rFonts w:eastAsia="Times New Roman"/>
              </w:rPr>
              <w:t>*</w:t>
            </w:r>
          </w:p>
        </w:tc>
        <w:tc>
          <w:tcPr>
            <w:tcW w:w="1011" w:type="dxa"/>
            <w:shd w:val="clear" w:color="auto" w:fill="auto"/>
            <w:noWrap/>
            <w:vAlign w:val="bottom"/>
            <w:hideMark/>
          </w:tcPr>
          <w:p w14:paraId="192CBF6C" w14:textId="77777777" w:rsidR="003928C4" w:rsidRPr="00274C7E" w:rsidRDefault="003928C4" w:rsidP="00962A17">
            <w:pPr>
              <w:spacing w:line="240" w:lineRule="auto"/>
              <w:jc w:val="center"/>
              <w:rPr>
                <w:rFonts w:eastAsia="Times New Roman"/>
                <w:b/>
                <w:bCs/>
              </w:rPr>
            </w:pPr>
            <w:r w:rsidRPr="00274C7E">
              <w:rPr>
                <w:rFonts w:eastAsia="Times New Roman"/>
                <w:b/>
                <w:bCs/>
              </w:rPr>
              <w:t>0,043</w:t>
            </w:r>
          </w:p>
        </w:tc>
      </w:tr>
    </w:tbl>
    <w:p w14:paraId="0C4029D4" w14:textId="77777777" w:rsidR="00274C7E" w:rsidRDefault="00274C7E" w:rsidP="00274C7E">
      <w:pPr>
        <w:rPr>
          <w:rFonts w:eastAsia="Calibri"/>
        </w:rPr>
      </w:pPr>
      <w:r w:rsidRPr="00C65174">
        <w:rPr>
          <w:rFonts w:eastAsia="Calibri"/>
        </w:rPr>
        <w:t>* Bonferroni post-hoc: Group 3 &gt; Group 2 = Group 1</w:t>
      </w:r>
    </w:p>
    <w:p w14:paraId="185FDDE3" w14:textId="4B1EB69F" w:rsidR="00912F70" w:rsidRDefault="00912F70" w:rsidP="00274C7E">
      <w:pPr>
        <w:rPr>
          <w:rFonts w:eastAsia="Calibri"/>
        </w:rPr>
      </w:pPr>
      <w:r w:rsidRPr="00912F70">
        <w:rPr>
          <w:rFonts w:eastAsia="Calibri"/>
        </w:rPr>
        <w:t>A p-value less than 0.05 was marked in bold</w:t>
      </w:r>
    </w:p>
    <w:p w14:paraId="605C28E5" w14:textId="77777777" w:rsidR="00912F70" w:rsidRDefault="00912F70" w:rsidP="00274C7E">
      <w:pPr>
        <w:rPr>
          <w:rFonts w:eastAsia="Calibri"/>
        </w:rPr>
      </w:pPr>
    </w:p>
    <w:p w14:paraId="149157A6" w14:textId="77777777" w:rsidR="00DE28E8" w:rsidRPr="00274C7E" w:rsidRDefault="00DE28E8" w:rsidP="001F4A3B">
      <w:pPr>
        <w:rPr>
          <w:highlight w:val="cyan"/>
        </w:rPr>
      </w:pPr>
    </w:p>
    <w:p w14:paraId="26DC4689" w14:textId="77777777" w:rsidR="00DE28E8" w:rsidRPr="00274C7E" w:rsidRDefault="00DE28E8" w:rsidP="00DE28E8">
      <w:pPr>
        <w:rPr>
          <w:b/>
          <w:bCs/>
          <w:lang w:val="en-US"/>
        </w:rPr>
      </w:pPr>
      <w:r w:rsidRPr="00274C7E">
        <w:rPr>
          <w:b/>
          <w:bCs/>
          <w:lang w:val="en-US"/>
        </w:rPr>
        <w:t>Table S</w:t>
      </w:r>
      <w:r w:rsidR="00DC477A" w:rsidRPr="00274C7E">
        <w:rPr>
          <w:b/>
          <w:bCs/>
          <w:lang w:val="en-US"/>
        </w:rPr>
        <w:t>4</w:t>
      </w:r>
      <w:r w:rsidRPr="00274C7E">
        <w:rPr>
          <w:b/>
          <w:bCs/>
          <w:lang w:val="en-US"/>
        </w:rPr>
        <w:t xml:space="preserve"> – Comparison between </w:t>
      </w:r>
      <w:r w:rsidRPr="00C65174">
        <w:rPr>
          <w:b/>
          <w:bCs/>
          <w:lang w:val="en-US"/>
        </w:rPr>
        <w:t>population with residu</w:t>
      </w:r>
      <w:r w:rsidR="00274C7E" w:rsidRPr="00C65174">
        <w:rPr>
          <w:b/>
          <w:bCs/>
          <w:lang w:val="en-US"/>
        </w:rPr>
        <w:t>a</w:t>
      </w:r>
      <w:r w:rsidRPr="00C65174">
        <w:rPr>
          <w:b/>
          <w:bCs/>
          <w:lang w:val="en-US"/>
        </w:rPr>
        <w:t>l AHI thres</w:t>
      </w:r>
      <w:r w:rsidR="00274C7E" w:rsidRPr="00C65174">
        <w:rPr>
          <w:b/>
          <w:bCs/>
          <w:lang w:val="en-US"/>
        </w:rPr>
        <w:t>h</w:t>
      </w:r>
      <w:r w:rsidRPr="00C65174">
        <w:rPr>
          <w:b/>
          <w:bCs/>
          <w:lang w:val="en-US"/>
        </w:rPr>
        <w:t>olds of 10</w:t>
      </w:r>
      <w:r w:rsidRPr="00274C7E">
        <w:rPr>
          <w:b/>
          <w:bCs/>
          <w:lang w:val="en-US"/>
        </w:rPr>
        <w:t xml:space="preserve"> events</w:t>
      </w:r>
      <w:r w:rsidR="00274C7E" w:rsidRPr="00274C7E">
        <w:rPr>
          <w:b/>
          <w:bCs/>
          <w:lang w:val="en-US"/>
        </w:rPr>
        <w:t>·</w:t>
      </w:r>
      <w:r w:rsidRPr="00274C7E">
        <w:rPr>
          <w:b/>
          <w:bCs/>
          <w:lang w:val="en-US"/>
        </w:rPr>
        <w:t>h</w:t>
      </w:r>
      <w:r w:rsidR="00274C7E" w:rsidRPr="00274C7E">
        <w:rPr>
          <w:b/>
          <w:bCs/>
          <w:vertAlign w:val="superscript"/>
          <w:lang w:val="en-US"/>
        </w:rPr>
        <w:t>-1</w:t>
      </w:r>
    </w:p>
    <w:tbl>
      <w:tblPr>
        <w:tblW w:w="8358" w:type="dxa"/>
        <w:tblCellMar>
          <w:left w:w="70" w:type="dxa"/>
          <w:right w:w="70" w:type="dxa"/>
        </w:tblCellMar>
        <w:tblLook w:val="04A0" w:firstRow="1" w:lastRow="0" w:firstColumn="1" w:lastColumn="0" w:noHBand="0" w:noVBand="1"/>
      </w:tblPr>
      <w:tblGrid>
        <w:gridCol w:w="1966"/>
        <w:gridCol w:w="2451"/>
        <w:gridCol w:w="2451"/>
        <w:gridCol w:w="1490"/>
      </w:tblGrid>
      <w:tr w:rsidR="00DC477A" w:rsidRPr="00274C7E" w14:paraId="20ABD149" w14:textId="77777777" w:rsidTr="00912F70">
        <w:trPr>
          <w:trHeight w:val="284"/>
        </w:trPr>
        <w:tc>
          <w:tcPr>
            <w:tcW w:w="1966" w:type="dxa"/>
            <w:tcBorders>
              <w:top w:val="single" w:sz="4" w:space="0" w:color="auto"/>
              <w:left w:val="single" w:sz="4" w:space="0" w:color="auto"/>
              <w:bottom w:val="nil"/>
              <w:right w:val="nil"/>
            </w:tcBorders>
            <w:shd w:val="clear" w:color="auto" w:fill="auto"/>
            <w:noWrap/>
            <w:vAlign w:val="bottom"/>
            <w:hideMark/>
          </w:tcPr>
          <w:p w14:paraId="6B8AB754" w14:textId="77777777" w:rsidR="00DE28E8" w:rsidRPr="00274C7E" w:rsidRDefault="00DE28E8" w:rsidP="00962A17">
            <w:pPr>
              <w:spacing w:line="240" w:lineRule="auto"/>
              <w:rPr>
                <w:rFonts w:eastAsia="Times New Roman"/>
                <w:lang w:val="en-US"/>
              </w:rPr>
            </w:pPr>
            <w:r w:rsidRPr="00274C7E">
              <w:rPr>
                <w:rFonts w:eastAsia="Times New Roman"/>
                <w:lang w:val="en-US"/>
              </w:rPr>
              <w:t> </w:t>
            </w:r>
          </w:p>
        </w:tc>
        <w:tc>
          <w:tcPr>
            <w:tcW w:w="2451" w:type="dxa"/>
            <w:tcBorders>
              <w:top w:val="single" w:sz="4" w:space="0" w:color="auto"/>
              <w:left w:val="nil"/>
              <w:bottom w:val="nil"/>
              <w:right w:val="nil"/>
            </w:tcBorders>
            <w:shd w:val="clear" w:color="auto" w:fill="auto"/>
            <w:noWrap/>
            <w:vAlign w:val="bottom"/>
            <w:hideMark/>
          </w:tcPr>
          <w:p w14:paraId="43A80F3F" w14:textId="77777777" w:rsidR="00DE28E8" w:rsidRPr="00274C7E" w:rsidRDefault="00DE28E8" w:rsidP="00962A17">
            <w:pPr>
              <w:spacing w:line="240" w:lineRule="auto"/>
              <w:jc w:val="center"/>
              <w:rPr>
                <w:rFonts w:eastAsia="Times New Roman"/>
                <w:b/>
                <w:bCs/>
              </w:rPr>
            </w:pPr>
            <w:r w:rsidRPr="00274C7E">
              <w:rPr>
                <w:rFonts w:eastAsia="Times New Roman"/>
                <w:b/>
                <w:bCs/>
              </w:rPr>
              <w:t>AHI &lt;10</w:t>
            </w:r>
          </w:p>
        </w:tc>
        <w:tc>
          <w:tcPr>
            <w:tcW w:w="2451" w:type="dxa"/>
            <w:tcBorders>
              <w:top w:val="single" w:sz="4" w:space="0" w:color="auto"/>
              <w:left w:val="nil"/>
              <w:bottom w:val="nil"/>
              <w:right w:val="nil"/>
            </w:tcBorders>
            <w:shd w:val="clear" w:color="auto" w:fill="auto"/>
            <w:noWrap/>
            <w:vAlign w:val="bottom"/>
            <w:hideMark/>
          </w:tcPr>
          <w:p w14:paraId="215DB5EF" w14:textId="77777777" w:rsidR="00DE28E8" w:rsidRPr="00274C7E" w:rsidRDefault="00DE28E8" w:rsidP="00962A17">
            <w:pPr>
              <w:spacing w:line="240" w:lineRule="auto"/>
              <w:jc w:val="center"/>
              <w:rPr>
                <w:rFonts w:eastAsia="Times New Roman"/>
                <w:b/>
                <w:bCs/>
              </w:rPr>
            </w:pPr>
            <w:r w:rsidRPr="00274C7E">
              <w:rPr>
                <w:rFonts w:eastAsia="Times New Roman"/>
                <w:b/>
                <w:bCs/>
              </w:rPr>
              <w:t>AHI ≥10</w:t>
            </w:r>
          </w:p>
        </w:tc>
        <w:tc>
          <w:tcPr>
            <w:tcW w:w="1490" w:type="dxa"/>
            <w:tcBorders>
              <w:top w:val="single" w:sz="4" w:space="0" w:color="auto"/>
              <w:left w:val="nil"/>
              <w:bottom w:val="nil"/>
              <w:right w:val="single" w:sz="4" w:space="0" w:color="auto"/>
            </w:tcBorders>
            <w:shd w:val="clear" w:color="auto" w:fill="auto"/>
            <w:noWrap/>
            <w:vAlign w:val="bottom"/>
            <w:hideMark/>
          </w:tcPr>
          <w:p w14:paraId="231967B2" w14:textId="77777777" w:rsidR="00DE28E8" w:rsidRPr="00274C7E" w:rsidRDefault="00DE28E8" w:rsidP="00962A17">
            <w:pPr>
              <w:spacing w:line="240" w:lineRule="auto"/>
              <w:jc w:val="center"/>
              <w:rPr>
                <w:rFonts w:eastAsia="Times New Roman"/>
                <w:b/>
                <w:bCs/>
              </w:rPr>
            </w:pPr>
            <w:r w:rsidRPr="00274C7E">
              <w:rPr>
                <w:rFonts w:eastAsia="Times New Roman"/>
                <w:b/>
                <w:bCs/>
              </w:rPr>
              <w:t> </w:t>
            </w:r>
          </w:p>
        </w:tc>
      </w:tr>
      <w:tr w:rsidR="00DC477A" w:rsidRPr="00274C7E" w14:paraId="1B154D8E" w14:textId="77777777" w:rsidTr="00912F70">
        <w:trPr>
          <w:trHeight w:val="284"/>
        </w:trPr>
        <w:tc>
          <w:tcPr>
            <w:tcW w:w="1966" w:type="dxa"/>
            <w:tcBorders>
              <w:top w:val="nil"/>
              <w:left w:val="single" w:sz="4" w:space="0" w:color="auto"/>
              <w:bottom w:val="nil"/>
              <w:right w:val="nil"/>
            </w:tcBorders>
            <w:shd w:val="clear" w:color="auto" w:fill="auto"/>
            <w:noWrap/>
            <w:vAlign w:val="bottom"/>
            <w:hideMark/>
          </w:tcPr>
          <w:p w14:paraId="7A88AB24" w14:textId="77777777" w:rsidR="00DE28E8" w:rsidRPr="00274C7E" w:rsidRDefault="00DE28E8" w:rsidP="00962A17">
            <w:pPr>
              <w:spacing w:line="240" w:lineRule="auto"/>
              <w:rPr>
                <w:rFonts w:eastAsia="Times New Roman"/>
              </w:rPr>
            </w:pPr>
            <w:r w:rsidRPr="00274C7E">
              <w:rPr>
                <w:rFonts w:eastAsia="Times New Roman"/>
              </w:rPr>
              <w:t> </w:t>
            </w:r>
          </w:p>
        </w:tc>
        <w:tc>
          <w:tcPr>
            <w:tcW w:w="2451" w:type="dxa"/>
            <w:tcBorders>
              <w:top w:val="nil"/>
              <w:left w:val="nil"/>
              <w:bottom w:val="nil"/>
              <w:right w:val="nil"/>
            </w:tcBorders>
            <w:shd w:val="clear" w:color="auto" w:fill="auto"/>
            <w:noWrap/>
            <w:vAlign w:val="bottom"/>
            <w:hideMark/>
          </w:tcPr>
          <w:p w14:paraId="681A8B2C" w14:textId="77777777" w:rsidR="00DE28E8" w:rsidRPr="00274C7E" w:rsidRDefault="00DE28E8" w:rsidP="00962A17">
            <w:pPr>
              <w:spacing w:line="240" w:lineRule="auto"/>
              <w:jc w:val="center"/>
              <w:rPr>
                <w:rFonts w:eastAsia="Times New Roman"/>
                <w:b/>
                <w:bCs/>
              </w:rPr>
            </w:pPr>
            <w:r w:rsidRPr="00274C7E">
              <w:rPr>
                <w:rFonts w:eastAsia="Times New Roman"/>
                <w:b/>
                <w:bCs/>
              </w:rPr>
              <w:t>N=441</w:t>
            </w:r>
          </w:p>
        </w:tc>
        <w:tc>
          <w:tcPr>
            <w:tcW w:w="2451" w:type="dxa"/>
            <w:tcBorders>
              <w:top w:val="nil"/>
              <w:left w:val="nil"/>
              <w:bottom w:val="nil"/>
              <w:right w:val="nil"/>
            </w:tcBorders>
            <w:shd w:val="clear" w:color="auto" w:fill="auto"/>
            <w:noWrap/>
            <w:vAlign w:val="bottom"/>
            <w:hideMark/>
          </w:tcPr>
          <w:p w14:paraId="5D5A0401" w14:textId="77777777" w:rsidR="00DE28E8" w:rsidRPr="00274C7E" w:rsidRDefault="00DE28E8" w:rsidP="00962A17">
            <w:pPr>
              <w:spacing w:line="240" w:lineRule="auto"/>
              <w:jc w:val="center"/>
              <w:rPr>
                <w:rFonts w:eastAsia="Times New Roman"/>
                <w:b/>
                <w:bCs/>
              </w:rPr>
            </w:pPr>
            <w:r w:rsidRPr="00274C7E">
              <w:rPr>
                <w:rFonts w:eastAsia="Times New Roman"/>
                <w:b/>
                <w:bCs/>
              </w:rPr>
              <w:t>N=45</w:t>
            </w:r>
          </w:p>
        </w:tc>
        <w:tc>
          <w:tcPr>
            <w:tcW w:w="1490" w:type="dxa"/>
            <w:tcBorders>
              <w:top w:val="nil"/>
              <w:left w:val="nil"/>
              <w:bottom w:val="nil"/>
              <w:right w:val="single" w:sz="4" w:space="0" w:color="auto"/>
            </w:tcBorders>
            <w:shd w:val="clear" w:color="auto" w:fill="auto"/>
            <w:noWrap/>
            <w:vAlign w:val="bottom"/>
            <w:hideMark/>
          </w:tcPr>
          <w:p w14:paraId="61587F37" w14:textId="77777777" w:rsidR="00DE28E8" w:rsidRPr="00274C7E" w:rsidRDefault="00DE28E8" w:rsidP="00962A17">
            <w:pPr>
              <w:spacing w:line="240" w:lineRule="auto"/>
              <w:jc w:val="center"/>
              <w:rPr>
                <w:rFonts w:eastAsia="Times New Roman"/>
                <w:b/>
                <w:bCs/>
              </w:rPr>
            </w:pPr>
            <w:r w:rsidRPr="00274C7E">
              <w:rPr>
                <w:rFonts w:eastAsia="Times New Roman"/>
                <w:b/>
                <w:bCs/>
              </w:rPr>
              <w:t>p</w:t>
            </w:r>
          </w:p>
        </w:tc>
      </w:tr>
      <w:tr w:rsidR="00DC477A" w:rsidRPr="00274C7E" w14:paraId="07D4B7D9" w14:textId="77777777" w:rsidTr="00912F70">
        <w:trPr>
          <w:trHeight w:val="284"/>
        </w:trPr>
        <w:tc>
          <w:tcPr>
            <w:tcW w:w="1966" w:type="dxa"/>
            <w:tcBorders>
              <w:top w:val="single" w:sz="4" w:space="0" w:color="auto"/>
              <w:left w:val="single" w:sz="4" w:space="0" w:color="auto"/>
              <w:bottom w:val="single" w:sz="4" w:space="0" w:color="auto"/>
              <w:right w:val="nil"/>
            </w:tcBorders>
            <w:shd w:val="clear" w:color="auto" w:fill="auto"/>
            <w:noWrap/>
            <w:vAlign w:val="bottom"/>
          </w:tcPr>
          <w:p w14:paraId="1B4CFBA2" w14:textId="77777777" w:rsidR="00DE28E8" w:rsidRPr="00274C7E" w:rsidRDefault="00DE28E8" w:rsidP="00962A17">
            <w:pPr>
              <w:spacing w:line="240" w:lineRule="auto"/>
              <w:rPr>
                <w:rFonts w:eastAsia="Times New Roman"/>
              </w:rPr>
            </w:pPr>
            <w:r w:rsidRPr="00274C7E">
              <w:rPr>
                <w:rFonts w:eastAsia="Times New Roman"/>
                <w:b/>
                <w:bCs/>
              </w:rPr>
              <w:t>Demographics</w:t>
            </w:r>
          </w:p>
        </w:tc>
        <w:tc>
          <w:tcPr>
            <w:tcW w:w="2451" w:type="dxa"/>
            <w:tcBorders>
              <w:top w:val="single" w:sz="4" w:space="0" w:color="auto"/>
              <w:left w:val="nil"/>
              <w:bottom w:val="single" w:sz="4" w:space="0" w:color="auto"/>
              <w:right w:val="nil"/>
            </w:tcBorders>
            <w:shd w:val="clear" w:color="auto" w:fill="auto"/>
            <w:noWrap/>
            <w:vAlign w:val="bottom"/>
          </w:tcPr>
          <w:p w14:paraId="735E2E6B" w14:textId="77777777" w:rsidR="00DE28E8" w:rsidRPr="00274C7E" w:rsidRDefault="00DE28E8" w:rsidP="00962A17">
            <w:pPr>
              <w:spacing w:line="240" w:lineRule="auto"/>
              <w:jc w:val="center"/>
              <w:rPr>
                <w:rFonts w:eastAsia="Times New Roman"/>
              </w:rPr>
            </w:pPr>
          </w:p>
        </w:tc>
        <w:tc>
          <w:tcPr>
            <w:tcW w:w="2451" w:type="dxa"/>
            <w:tcBorders>
              <w:top w:val="single" w:sz="4" w:space="0" w:color="auto"/>
              <w:left w:val="nil"/>
              <w:bottom w:val="single" w:sz="4" w:space="0" w:color="auto"/>
              <w:right w:val="nil"/>
            </w:tcBorders>
            <w:shd w:val="clear" w:color="auto" w:fill="auto"/>
            <w:noWrap/>
            <w:vAlign w:val="bottom"/>
          </w:tcPr>
          <w:p w14:paraId="7F27C464" w14:textId="77777777" w:rsidR="00DE28E8" w:rsidRPr="00274C7E" w:rsidRDefault="00DE28E8" w:rsidP="00962A17">
            <w:pPr>
              <w:spacing w:line="240" w:lineRule="auto"/>
              <w:jc w:val="center"/>
              <w:rPr>
                <w:rFonts w:eastAsia="Times New Roman"/>
              </w:rPr>
            </w:pPr>
          </w:p>
        </w:tc>
        <w:tc>
          <w:tcPr>
            <w:tcW w:w="1490" w:type="dxa"/>
            <w:tcBorders>
              <w:top w:val="single" w:sz="4" w:space="0" w:color="auto"/>
              <w:left w:val="nil"/>
              <w:bottom w:val="single" w:sz="4" w:space="0" w:color="auto"/>
              <w:right w:val="single" w:sz="4" w:space="0" w:color="auto"/>
            </w:tcBorders>
            <w:shd w:val="clear" w:color="auto" w:fill="auto"/>
            <w:noWrap/>
            <w:vAlign w:val="bottom"/>
          </w:tcPr>
          <w:p w14:paraId="33A6248B" w14:textId="77777777" w:rsidR="00DE28E8" w:rsidRPr="00274C7E" w:rsidRDefault="00DE28E8" w:rsidP="00962A17">
            <w:pPr>
              <w:spacing w:line="240" w:lineRule="auto"/>
              <w:jc w:val="center"/>
              <w:rPr>
                <w:rFonts w:eastAsia="Times New Roman"/>
              </w:rPr>
            </w:pPr>
          </w:p>
        </w:tc>
      </w:tr>
      <w:tr w:rsidR="00DC477A" w:rsidRPr="00274C7E" w14:paraId="30926FB9" w14:textId="77777777" w:rsidTr="00912F70">
        <w:trPr>
          <w:trHeight w:val="284"/>
        </w:trPr>
        <w:tc>
          <w:tcPr>
            <w:tcW w:w="1966" w:type="dxa"/>
            <w:tcBorders>
              <w:top w:val="single" w:sz="4" w:space="0" w:color="auto"/>
              <w:left w:val="single" w:sz="4" w:space="0" w:color="auto"/>
              <w:bottom w:val="single" w:sz="4" w:space="0" w:color="auto"/>
              <w:right w:val="nil"/>
            </w:tcBorders>
            <w:shd w:val="clear" w:color="auto" w:fill="auto"/>
            <w:noWrap/>
            <w:vAlign w:val="bottom"/>
            <w:hideMark/>
          </w:tcPr>
          <w:p w14:paraId="069DC106" w14:textId="77777777" w:rsidR="003928C4" w:rsidRPr="00274C7E" w:rsidRDefault="003928C4" w:rsidP="00573EAC">
            <w:pPr>
              <w:spacing w:line="240" w:lineRule="auto"/>
              <w:rPr>
                <w:rFonts w:eastAsia="Times New Roman"/>
              </w:rPr>
            </w:pPr>
            <w:r w:rsidRPr="00274C7E">
              <w:rPr>
                <w:rFonts w:eastAsia="Times New Roman"/>
              </w:rPr>
              <w:t>Sex (male)</w:t>
            </w:r>
          </w:p>
        </w:tc>
        <w:tc>
          <w:tcPr>
            <w:tcW w:w="2451" w:type="dxa"/>
            <w:tcBorders>
              <w:top w:val="single" w:sz="4" w:space="0" w:color="auto"/>
              <w:left w:val="nil"/>
              <w:bottom w:val="single" w:sz="4" w:space="0" w:color="auto"/>
              <w:right w:val="nil"/>
            </w:tcBorders>
            <w:shd w:val="clear" w:color="auto" w:fill="auto"/>
            <w:noWrap/>
            <w:vAlign w:val="bottom"/>
            <w:hideMark/>
          </w:tcPr>
          <w:p w14:paraId="6D02B7B4" w14:textId="77777777" w:rsidR="003928C4" w:rsidRPr="00274C7E" w:rsidRDefault="003928C4" w:rsidP="00962A17">
            <w:pPr>
              <w:spacing w:line="240" w:lineRule="auto"/>
              <w:jc w:val="center"/>
              <w:rPr>
                <w:rFonts w:eastAsia="Times New Roman"/>
              </w:rPr>
            </w:pPr>
            <w:r w:rsidRPr="00274C7E">
              <w:rPr>
                <w:rFonts w:eastAsia="Times New Roman"/>
              </w:rPr>
              <w:t>70% </w:t>
            </w:r>
          </w:p>
        </w:tc>
        <w:tc>
          <w:tcPr>
            <w:tcW w:w="2451" w:type="dxa"/>
            <w:tcBorders>
              <w:top w:val="single" w:sz="4" w:space="0" w:color="auto"/>
              <w:left w:val="nil"/>
              <w:bottom w:val="single" w:sz="4" w:space="0" w:color="auto"/>
              <w:right w:val="nil"/>
            </w:tcBorders>
            <w:shd w:val="clear" w:color="auto" w:fill="auto"/>
            <w:noWrap/>
            <w:vAlign w:val="bottom"/>
            <w:hideMark/>
          </w:tcPr>
          <w:p w14:paraId="1C4E5AE5" w14:textId="77777777" w:rsidR="003928C4" w:rsidRPr="00274C7E" w:rsidRDefault="003928C4" w:rsidP="00962A17">
            <w:pPr>
              <w:spacing w:line="240" w:lineRule="auto"/>
              <w:jc w:val="center"/>
              <w:rPr>
                <w:rFonts w:eastAsia="Times New Roman"/>
              </w:rPr>
            </w:pPr>
            <w:r w:rsidRPr="00274C7E">
              <w:rPr>
                <w:rFonts w:eastAsia="Times New Roman"/>
              </w:rPr>
              <w:t>71% </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0501C941" w14:textId="77777777" w:rsidR="003928C4" w:rsidRPr="00274C7E" w:rsidRDefault="003928C4" w:rsidP="00962A17">
            <w:pPr>
              <w:spacing w:line="240" w:lineRule="auto"/>
              <w:jc w:val="center"/>
              <w:rPr>
                <w:rFonts w:eastAsia="Times New Roman"/>
              </w:rPr>
            </w:pPr>
            <w:r w:rsidRPr="00274C7E">
              <w:rPr>
                <w:rFonts w:eastAsia="Times New Roman"/>
              </w:rPr>
              <w:t>0,737</w:t>
            </w:r>
          </w:p>
        </w:tc>
      </w:tr>
      <w:tr w:rsidR="00DC477A" w:rsidRPr="00274C7E" w14:paraId="7459F53F" w14:textId="77777777" w:rsidTr="00912F70">
        <w:trPr>
          <w:trHeight w:val="284"/>
        </w:trPr>
        <w:tc>
          <w:tcPr>
            <w:tcW w:w="1966" w:type="dxa"/>
            <w:tcBorders>
              <w:top w:val="nil"/>
              <w:left w:val="single" w:sz="4" w:space="0" w:color="auto"/>
              <w:bottom w:val="single" w:sz="4" w:space="0" w:color="auto"/>
              <w:right w:val="nil"/>
            </w:tcBorders>
            <w:shd w:val="clear" w:color="auto" w:fill="auto"/>
            <w:noWrap/>
            <w:vAlign w:val="bottom"/>
            <w:hideMark/>
          </w:tcPr>
          <w:p w14:paraId="7CD4CD04" w14:textId="77777777" w:rsidR="003928C4" w:rsidRPr="00274C7E" w:rsidRDefault="003928C4" w:rsidP="00573EAC">
            <w:pPr>
              <w:spacing w:line="240" w:lineRule="auto"/>
              <w:rPr>
                <w:rFonts w:eastAsia="Times New Roman"/>
              </w:rPr>
            </w:pPr>
            <w:r w:rsidRPr="00274C7E">
              <w:rPr>
                <w:rFonts w:eastAsia="Times New Roman"/>
              </w:rPr>
              <w:t>Age (years)</w:t>
            </w:r>
          </w:p>
        </w:tc>
        <w:tc>
          <w:tcPr>
            <w:tcW w:w="2451" w:type="dxa"/>
            <w:tcBorders>
              <w:top w:val="nil"/>
              <w:left w:val="nil"/>
              <w:bottom w:val="single" w:sz="4" w:space="0" w:color="auto"/>
              <w:right w:val="nil"/>
            </w:tcBorders>
            <w:shd w:val="clear" w:color="auto" w:fill="auto"/>
            <w:noWrap/>
            <w:vAlign w:val="bottom"/>
            <w:hideMark/>
          </w:tcPr>
          <w:p w14:paraId="0ACA173B" w14:textId="77777777" w:rsidR="003928C4" w:rsidRPr="00274C7E" w:rsidRDefault="003928C4" w:rsidP="00962A17">
            <w:pPr>
              <w:spacing w:line="240" w:lineRule="auto"/>
              <w:jc w:val="center"/>
              <w:rPr>
                <w:rFonts w:eastAsia="Times New Roman"/>
              </w:rPr>
            </w:pPr>
            <w:r w:rsidRPr="00274C7E">
              <w:rPr>
                <w:rFonts w:eastAsia="Times New Roman"/>
              </w:rPr>
              <w:t>67,87±11,97</w:t>
            </w:r>
          </w:p>
        </w:tc>
        <w:tc>
          <w:tcPr>
            <w:tcW w:w="2451" w:type="dxa"/>
            <w:tcBorders>
              <w:top w:val="nil"/>
              <w:left w:val="nil"/>
              <w:bottom w:val="single" w:sz="4" w:space="0" w:color="auto"/>
              <w:right w:val="nil"/>
            </w:tcBorders>
            <w:shd w:val="clear" w:color="auto" w:fill="auto"/>
            <w:noWrap/>
            <w:vAlign w:val="bottom"/>
            <w:hideMark/>
          </w:tcPr>
          <w:p w14:paraId="05E9E0D1" w14:textId="77777777" w:rsidR="003928C4" w:rsidRPr="00274C7E" w:rsidRDefault="003928C4" w:rsidP="00962A17">
            <w:pPr>
              <w:spacing w:line="240" w:lineRule="auto"/>
              <w:jc w:val="center"/>
              <w:rPr>
                <w:rFonts w:eastAsia="Times New Roman"/>
              </w:rPr>
            </w:pPr>
            <w:r w:rsidRPr="00274C7E">
              <w:rPr>
                <w:rFonts w:eastAsia="Times New Roman"/>
              </w:rPr>
              <w:t>74,36±11,33</w:t>
            </w:r>
          </w:p>
        </w:tc>
        <w:tc>
          <w:tcPr>
            <w:tcW w:w="1490" w:type="dxa"/>
            <w:tcBorders>
              <w:top w:val="nil"/>
              <w:left w:val="nil"/>
              <w:bottom w:val="single" w:sz="4" w:space="0" w:color="auto"/>
              <w:right w:val="single" w:sz="4" w:space="0" w:color="auto"/>
            </w:tcBorders>
            <w:shd w:val="clear" w:color="auto" w:fill="auto"/>
            <w:noWrap/>
            <w:vAlign w:val="bottom"/>
            <w:hideMark/>
          </w:tcPr>
          <w:p w14:paraId="7862761B" w14:textId="77777777" w:rsidR="003928C4" w:rsidRPr="00274C7E" w:rsidRDefault="003928C4" w:rsidP="00962A17">
            <w:pPr>
              <w:spacing w:line="240" w:lineRule="auto"/>
              <w:jc w:val="center"/>
              <w:rPr>
                <w:rFonts w:eastAsia="Times New Roman"/>
              </w:rPr>
            </w:pPr>
            <w:r w:rsidRPr="00274C7E">
              <w:rPr>
                <w:rFonts w:eastAsia="Times New Roman"/>
              </w:rPr>
              <w:t>0,301</w:t>
            </w:r>
          </w:p>
        </w:tc>
      </w:tr>
      <w:tr w:rsidR="00DC477A" w:rsidRPr="00274C7E" w14:paraId="63562951" w14:textId="77777777" w:rsidTr="00912F70">
        <w:trPr>
          <w:trHeight w:val="284"/>
        </w:trPr>
        <w:tc>
          <w:tcPr>
            <w:tcW w:w="1966" w:type="dxa"/>
            <w:tcBorders>
              <w:top w:val="nil"/>
              <w:left w:val="single" w:sz="4" w:space="0" w:color="auto"/>
              <w:bottom w:val="single" w:sz="4" w:space="0" w:color="auto"/>
              <w:right w:val="nil"/>
            </w:tcBorders>
            <w:shd w:val="clear" w:color="auto" w:fill="auto"/>
            <w:noWrap/>
            <w:vAlign w:val="bottom"/>
            <w:hideMark/>
          </w:tcPr>
          <w:p w14:paraId="3A227370" w14:textId="77777777" w:rsidR="003928C4" w:rsidRPr="00274C7E" w:rsidRDefault="003928C4" w:rsidP="00573EAC">
            <w:pPr>
              <w:spacing w:line="240" w:lineRule="auto"/>
              <w:rPr>
                <w:rFonts w:eastAsia="Times New Roman"/>
              </w:rPr>
            </w:pPr>
            <w:r w:rsidRPr="00274C7E">
              <w:rPr>
                <w:rFonts w:eastAsia="Times New Roman"/>
              </w:rPr>
              <w:t>Age &gt;65</w:t>
            </w:r>
            <w:r w:rsidR="00582A1A">
              <w:rPr>
                <w:rFonts w:eastAsia="Times New Roman"/>
              </w:rPr>
              <w:t xml:space="preserve"> </w:t>
            </w:r>
            <w:r w:rsidRPr="00274C7E">
              <w:rPr>
                <w:rFonts w:eastAsia="Times New Roman"/>
              </w:rPr>
              <w:t>y</w:t>
            </w:r>
            <w:r w:rsidR="00582A1A">
              <w:rPr>
                <w:rFonts w:eastAsia="Times New Roman"/>
              </w:rPr>
              <w:t>r</w:t>
            </w:r>
            <w:r w:rsidRPr="00274C7E">
              <w:rPr>
                <w:rFonts w:eastAsia="Times New Roman"/>
              </w:rPr>
              <w:t xml:space="preserve"> (%)</w:t>
            </w:r>
          </w:p>
        </w:tc>
        <w:tc>
          <w:tcPr>
            <w:tcW w:w="2451" w:type="dxa"/>
            <w:tcBorders>
              <w:top w:val="nil"/>
              <w:left w:val="nil"/>
              <w:bottom w:val="single" w:sz="4" w:space="0" w:color="auto"/>
              <w:right w:val="nil"/>
            </w:tcBorders>
            <w:shd w:val="clear" w:color="auto" w:fill="auto"/>
            <w:noWrap/>
            <w:vAlign w:val="bottom"/>
            <w:hideMark/>
          </w:tcPr>
          <w:p w14:paraId="56B36BC6" w14:textId="77777777" w:rsidR="003928C4" w:rsidRPr="00274C7E" w:rsidRDefault="003928C4" w:rsidP="00962A17">
            <w:pPr>
              <w:spacing w:line="240" w:lineRule="auto"/>
              <w:jc w:val="center"/>
              <w:rPr>
                <w:rFonts w:eastAsia="Times New Roman"/>
              </w:rPr>
            </w:pPr>
            <w:r w:rsidRPr="00274C7E">
              <w:rPr>
                <w:rFonts w:eastAsia="Times New Roman"/>
              </w:rPr>
              <w:t>64% </w:t>
            </w:r>
          </w:p>
        </w:tc>
        <w:tc>
          <w:tcPr>
            <w:tcW w:w="2451" w:type="dxa"/>
            <w:tcBorders>
              <w:top w:val="nil"/>
              <w:left w:val="nil"/>
              <w:bottom w:val="single" w:sz="4" w:space="0" w:color="auto"/>
              <w:right w:val="nil"/>
            </w:tcBorders>
            <w:shd w:val="clear" w:color="auto" w:fill="auto"/>
            <w:noWrap/>
            <w:vAlign w:val="bottom"/>
            <w:hideMark/>
          </w:tcPr>
          <w:p w14:paraId="3C3A6DD6" w14:textId="77777777" w:rsidR="003928C4" w:rsidRPr="00274C7E" w:rsidRDefault="003928C4" w:rsidP="00962A17">
            <w:pPr>
              <w:spacing w:line="240" w:lineRule="auto"/>
              <w:jc w:val="center"/>
              <w:rPr>
                <w:rFonts w:eastAsia="Times New Roman"/>
              </w:rPr>
            </w:pPr>
            <w:r w:rsidRPr="00274C7E">
              <w:rPr>
                <w:rFonts w:eastAsia="Times New Roman"/>
              </w:rPr>
              <w:t>87% </w:t>
            </w:r>
          </w:p>
        </w:tc>
        <w:tc>
          <w:tcPr>
            <w:tcW w:w="1490" w:type="dxa"/>
            <w:tcBorders>
              <w:top w:val="nil"/>
              <w:left w:val="nil"/>
              <w:bottom w:val="single" w:sz="4" w:space="0" w:color="auto"/>
              <w:right w:val="single" w:sz="4" w:space="0" w:color="auto"/>
            </w:tcBorders>
            <w:shd w:val="clear" w:color="auto" w:fill="auto"/>
            <w:noWrap/>
            <w:vAlign w:val="bottom"/>
            <w:hideMark/>
          </w:tcPr>
          <w:p w14:paraId="28947B97" w14:textId="77777777" w:rsidR="003928C4" w:rsidRPr="00274C7E" w:rsidRDefault="003928C4" w:rsidP="00962A17">
            <w:pPr>
              <w:spacing w:line="240" w:lineRule="auto"/>
              <w:jc w:val="center"/>
              <w:rPr>
                <w:rFonts w:eastAsia="Times New Roman"/>
                <w:b/>
                <w:bCs/>
              </w:rPr>
            </w:pPr>
            <w:r w:rsidRPr="00274C7E">
              <w:rPr>
                <w:rFonts w:eastAsia="Times New Roman"/>
                <w:b/>
                <w:bCs/>
              </w:rPr>
              <w:t>&lt;0,0001</w:t>
            </w:r>
          </w:p>
        </w:tc>
      </w:tr>
      <w:tr w:rsidR="00DC477A" w:rsidRPr="00274C7E" w14:paraId="5FB1A22D" w14:textId="77777777" w:rsidTr="00912F70">
        <w:trPr>
          <w:trHeight w:val="284"/>
        </w:trPr>
        <w:tc>
          <w:tcPr>
            <w:tcW w:w="835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B7C03FB" w14:textId="77777777" w:rsidR="00DE28E8" w:rsidRPr="00274C7E" w:rsidRDefault="00DE28E8" w:rsidP="00962A17">
            <w:pPr>
              <w:spacing w:line="240" w:lineRule="auto"/>
              <w:rPr>
                <w:rFonts w:eastAsia="Times New Roman"/>
                <w:b/>
                <w:bCs/>
              </w:rPr>
            </w:pPr>
            <w:r w:rsidRPr="00274C7E">
              <w:rPr>
                <w:rFonts w:eastAsia="Times New Roman"/>
                <w:b/>
                <w:bCs/>
              </w:rPr>
              <w:t>CPAP data</w:t>
            </w:r>
          </w:p>
        </w:tc>
      </w:tr>
      <w:tr w:rsidR="00DC477A" w:rsidRPr="00274C7E" w14:paraId="7A913D64" w14:textId="77777777" w:rsidTr="00912F70">
        <w:trPr>
          <w:trHeight w:val="284"/>
        </w:trPr>
        <w:tc>
          <w:tcPr>
            <w:tcW w:w="1966" w:type="dxa"/>
            <w:tcBorders>
              <w:top w:val="single" w:sz="4" w:space="0" w:color="auto"/>
              <w:left w:val="single" w:sz="4" w:space="0" w:color="auto"/>
              <w:bottom w:val="single" w:sz="4" w:space="0" w:color="auto"/>
              <w:right w:val="nil"/>
            </w:tcBorders>
            <w:shd w:val="clear" w:color="auto" w:fill="auto"/>
            <w:noWrap/>
            <w:vAlign w:val="bottom"/>
            <w:hideMark/>
          </w:tcPr>
          <w:p w14:paraId="3CA78B10" w14:textId="77777777" w:rsidR="003928C4" w:rsidRPr="00274C7E" w:rsidRDefault="003928C4" w:rsidP="00573EAC">
            <w:pPr>
              <w:spacing w:line="240" w:lineRule="auto"/>
              <w:rPr>
                <w:rFonts w:eastAsia="Times New Roman"/>
              </w:rPr>
            </w:pPr>
            <w:r w:rsidRPr="00274C7E">
              <w:rPr>
                <w:rFonts w:eastAsia="Times New Roman"/>
              </w:rPr>
              <w:t>Usage hours (h)</w:t>
            </w:r>
          </w:p>
        </w:tc>
        <w:tc>
          <w:tcPr>
            <w:tcW w:w="2451" w:type="dxa"/>
            <w:tcBorders>
              <w:top w:val="single" w:sz="4" w:space="0" w:color="auto"/>
              <w:left w:val="nil"/>
              <w:bottom w:val="single" w:sz="4" w:space="0" w:color="auto"/>
              <w:right w:val="nil"/>
            </w:tcBorders>
            <w:shd w:val="clear" w:color="auto" w:fill="auto"/>
            <w:noWrap/>
            <w:vAlign w:val="bottom"/>
            <w:hideMark/>
          </w:tcPr>
          <w:p w14:paraId="028EC22D" w14:textId="77777777" w:rsidR="003928C4" w:rsidRPr="00274C7E" w:rsidRDefault="003928C4" w:rsidP="00962A17">
            <w:pPr>
              <w:spacing w:line="240" w:lineRule="auto"/>
              <w:jc w:val="center"/>
              <w:rPr>
                <w:rFonts w:eastAsia="Times New Roman"/>
              </w:rPr>
            </w:pPr>
            <w:r w:rsidRPr="00274C7E">
              <w:rPr>
                <w:rFonts w:eastAsia="Times New Roman"/>
              </w:rPr>
              <w:t>6,38±1,69</w:t>
            </w:r>
          </w:p>
        </w:tc>
        <w:tc>
          <w:tcPr>
            <w:tcW w:w="2451" w:type="dxa"/>
            <w:tcBorders>
              <w:top w:val="single" w:sz="4" w:space="0" w:color="auto"/>
              <w:left w:val="nil"/>
              <w:bottom w:val="single" w:sz="4" w:space="0" w:color="auto"/>
              <w:right w:val="nil"/>
            </w:tcBorders>
            <w:shd w:val="clear" w:color="auto" w:fill="auto"/>
            <w:noWrap/>
            <w:vAlign w:val="bottom"/>
            <w:hideMark/>
          </w:tcPr>
          <w:p w14:paraId="39BBF843" w14:textId="77777777" w:rsidR="003928C4" w:rsidRPr="00274C7E" w:rsidRDefault="003928C4" w:rsidP="00962A17">
            <w:pPr>
              <w:spacing w:line="240" w:lineRule="auto"/>
              <w:jc w:val="center"/>
              <w:rPr>
                <w:rFonts w:eastAsia="Times New Roman"/>
              </w:rPr>
            </w:pPr>
            <w:r w:rsidRPr="00274C7E">
              <w:rPr>
                <w:rFonts w:eastAsia="Times New Roman"/>
              </w:rPr>
              <w:t>6,03±1,97</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7B2FF9DB" w14:textId="77777777" w:rsidR="003928C4" w:rsidRPr="00274C7E" w:rsidRDefault="003928C4" w:rsidP="00962A17">
            <w:pPr>
              <w:spacing w:line="240" w:lineRule="auto"/>
              <w:jc w:val="center"/>
              <w:rPr>
                <w:rFonts w:eastAsia="Times New Roman"/>
              </w:rPr>
            </w:pPr>
            <w:r w:rsidRPr="00274C7E">
              <w:rPr>
                <w:rFonts w:eastAsia="Times New Roman"/>
              </w:rPr>
              <w:t>0,445</w:t>
            </w:r>
          </w:p>
        </w:tc>
      </w:tr>
      <w:tr w:rsidR="00DC477A" w:rsidRPr="00274C7E" w14:paraId="57FAFF3E" w14:textId="77777777" w:rsidTr="00912F70">
        <w:trPr>
          <w:trHeight w:val="284"/>
        </w:trPr>
        <w:tc>
          <w:tcPr>
            <w:tcW w:w="1966" w:type="dxa"/>
            <w:tcBorders>
              <w:top w:val="nil"/>
              <w:left w:val="single" w:sz="4" w:space="0" w:color="auto"/>
              <w:bottom w:val="single" w:sz="4" w:space="0" w:color="auto"/>
              <w:right w:val="nil"/>
            </w:tcBorders>
            <w:shd w:val="clear" w:color="auto" w:fill="auto"/>
            <w:noWrap/>
            <w:vAlign w:val="bottom"/>
            <w:hideMark/>
          </w:tcPr>
          <w:p w14:paraId="30ED28D4" w14:textId="77777777" w:rsidR="003928C4" w:rsidRPr="00274C7E" w:rsidRDefault="003928C4" w:rsidP="00573EAC">
            <w:pPr>
              <w:spacing w:line="240" w:lineRule="auto"/>
              <w:rPr>
                <w:rFonts w:eastAsia="Times New Roman"/>
              </w:rPr>
            </w:pPr>
            <w:r w:rsidRPr="00274C7E">
              <w:rPr>
                <w:rFonts w:eastAsia="Times New Roman"/>
              </w:rPr>
              <w:t>Adherence (%)</w:t>
            </w:r>
          </w:p>
        </w:tc>
        <w:tc>
          <w:tcPr>
            <w:tcW w:w="2451" w:type="dxa"/>
            <w:tcBorders>
              <w:top w:val="nil"/>
              <w:left w:val="nil"/>
              <w:bottom w:val="single" w:sz="4" w:space="0" w:color="auto"/>
              <w:right w:val="nil"/>
            </w:tcBorders>
            <w:shd w:val="clear" w:color="auto" w:fill="auto"/>
            <w:noWrap/>
            <w:vAlign w:val="bottom"/>
            <w:hideMark/>
          </w:tcPr>
          <w:p w14:paraId="15441E77" w14:textId="77777777" w:rsidR="003928C4" w:rsidRPr="00274C7E" w:rsidRDefault="003928C4" w:rsidP="00962A17">
            <w:pPr>
              <w:spacing w:line="240" w:lineRule="auto"/>
              <w:jc w:val="center"/>
              <w:rPr>
                <w:rFonts w:eastAsia="Times New Roman"/>
              </w:rPr>
            </w:pPr>
            <w:r w:rsidRPr="00274C7E">
              <w:rPr>
                <w:rFonts w:eastAsia="Times New Roman"/>
              </w:rPr>
              <w:t>88,91±16,77</w:t>
            </w:r>
          </w:p>
        </w:tc>
        <w:tc>
          <w:tcPr>
            <w:tcW w:w="2451" w:type="dxa"/>
            <w:tcBorders>
              <w:top w:val="nil"/>
              <w:left w:val="nil"/>
              <w:bottom w:val="single" w:sz="4" w:space="0" w:color="auto"/>
              <w:right w:val="nil"/>
            </w:tcBorders>
            <w:shd w:val="clear" w:color="auto" w:fill="auto"/>
            <w:noWrap/>
            <w:vAlign w:val="bottom"/>
            <w:hideMark/>
          </w:tcPr>
          <w:p w14:paraId="71517FB6" w14:textId="77777777" w:rsidR="003928C4" w:rsidRPr="00274C7E" w:rsidRDefault="003928C4" w:rsidP="00962A17">
            <w:pPr>
              <w:spacing w:line="240" w:lineRule="auto"/>
              <w:jc w:val="center"/>
              <w:rPr>
                <w:rFonts w:eastAsia="Times New Roman"/>
              </w:rPr>
            </w:pPr>
            <w:r w:rsidRPr="00274C7E">
              <w:rPr>
                <w:rFonts w:eastAsia="Times New Roman"/>
              </w:rPr>
              <w:t>82,56±24,95</w:t>
            </w:r>
          </w:p>
        </w:tc>
        <w:tc>
          <w:tcPr>
            <w:tcW w:w="1490" w:type="dxa"/>
            <w:tcBorders>
              <w:top w:val="nil"/>
              <w:left w:val="nil"/>
              <w:bottom w:val="single" w:sz="4" w:space="0" w:color="auto"/>
              <w:right w:val="single" w:sz="4" w:space="0" w:color="auto"/>
            </w:tcBorders>
            <w:shd w:val="clear" w:color="auto" w:fill="auto"/>
            <w:noWrap/>
            <w:vAlign w:val="bottom"/>
            <w:hideMark/>
          </w:tcPr>
          <w:p w14:paraId="5E9D6A11" w14:textId="77777777" w:rsidR="003928C4" w:rsidRPr="00274C7E" w:rsidRDefault="003928C4" w:rsidP="00962A17">
            <w:pPr>
              <w:spacing w:line="240" w:lineRule="auto"/>
              <w:jc w:val="center"/>
              <w:rPr>
                <w:rFonts w:eastAsia="Times New Roman"/>
                <w:b/>
                <w:bCs/>
              </w:rPr>
            </w:pPr>
            <w:r w:rsidRPr="00274C7E">
              <w:rPr>
                <w:rFonts w:eastAsia="Times New Roman"/>
                <w:b/>
                <w:bCs/>
              </w:rPr>
              <w:t>&lt;0,0001</w:t>
            </w:r>
          </w:p>
        </w:tc>
      </w:tr>
      <w:tr w:rsidR="003928C4" w:rsidRPr="00274C7E" w14:paraId="7594B5C7" w14:textId="77777777" w:rsidTr="00912F70">
        <w:trPr>
          <w:trHeight w:val="284"/>
        </w:trPr>
        <w:tc>
          <w:tcPr>
            <w:tcW w:w="1966" w:type="dxa"/>
            <w:tcBorders>
              <w:top w:val="nil"/>
              <w:left w:val="single" w:sz="4" w:space="0" w:color="auto"/>
              <w:bottom w:val="single" w:sz="4" w:space="0" w:color="auto"/>
              <w:right w:val="nil"/>
            </w:tcBorders>
            <w:shd w:val="clear" w:color="auto" w:fill="auto"/>
            <w:noWrap/>
            <w:vAlign w:val="bottom"/>
            <w:hideMark/>
          </w:tcPr>
          <w:p w14:paraId="531ECB08" w14:textId="77777777" w:rsidR="003928C4" w:rsidRPr="00274C7E" w:rsidRDefault="003928C4" w:rsidP="00573EAC">
            <w:pPr>
              <w:spacing w:line="240" w:lineRule="auto"/>
              <w:rPr>
                <w:rFonts w:eastAsia="Times New Roman"/>
              </w:rPr>
            </w:pPr>
            <w:r w:rsidRPr="00274C7E">
              <w:rPr>
                <w:rFonts w:eastAsia="Times New Roman"/>
              </w:rPr>
              <w:t>High leakage (%)</w:t>
            </w:r>
          </w:p>
        </w:tc>
        <w:tc>
          <w:tcPr>
            <w:tcW w:w="2451" w:type="dxa"/>
            <w:tcBorders>
              <w:top w:val="nil"/>
              <w:left w:val="nil"/>
              <w:bottom w:val="single" w:sz="4" w:space="0" w:color="auto"/>
              <w:right w:val="nil"/>
            </w:tcBorders>
            <w:shd w:val="clear" w:color="auto" w:fill="auto"/>
            <w:noWrap/>
            <w:vAlign w:val="bottom"/>
            <w:hideMark/>
          </w:tcPr>
          <w:p w14:paraId="5F5FE61E" w14:textId="77777777" w:rsidR="003928C4" w:rsidRPr="00274C7E" w:rsidRDefault="003928C4" w:rsidP="00962A17">
            <w:pPr>
              <w:spacing w:line="240" w:lineRule="auto"/>
              <w:jc w:val="center"/>
              <w:rPr>
                <w:rFonts w:eastAsia="Times New Roman"/>
              </w:rPr>
            </w:pPr>
            <w:r w:rsidRPr="00274C7E">
              <w:rPr>
                <w:rFonts w:eastAsia="Times New Roman"/>
              </w:rPr>
              <w:t>23% </w:t>
            </w:r>
          </w:p>
        </w:tc>
        <w:tc>
          <w:tcPr>
            <w:tcW w:w="2451" w:type="dxa"/>
            <w:tcBorders>
              <w:top w:val="nil"/>
              <w:left w:val="nil"/>
              <w:bottom w:val="single" w:sz="4" w:space="0" w:color="auto"/>
              <w:right w:val="nil"/>
            </w:tcBorders>
            <w:shd w:val="clear" w:color="auto" w:fill="auto"/>
            <w:noWrap/>
            <w:vAlign w:val="bottom"/>
            <w:hideMark/>
          </w:tcPr>
          <w:p w14:paraId="7D0C0288" w14:textId="77777777" w:rsidR="003928C4" w:rsidRPr="00274C7E" w:rsidRDefault="003928C4" w:rsidP="00962A17">
            <w:pPr>
              <w:spacing w:line="240" w:lineRule="auto"/>
              <w:jc w:val="center"/>
              <w:rPr>
                <w:rFonts w:eastAsia="Times New Roman"/>
              </w:rPr>
            </w:pPr>
            <w:r w:rsidRPr="00274C7E">
              <w:rPr>
                <w:rFonts w:eastAsia="Times New Roman"/>
              </w:rPr>
              <w:t>38% </w:t>
            </w:r>
          </w:p>
        </w:tc>
        <w:tc>
          <w:tcPr>
            <w:tcW w:w="1490" w:type="dxa"/>
            <w:tcBorders>
              <w:top w:val="nil"/>
              <w:left w:val="nil"/>
              <w:bottom w:val="single" w:sz="4" w:space="0" w:color="auto"/>
              <w:right w:val="single" w:sz="4" w:space="0" w:color="auto"/>
            </w:tcBorders>
            <w:shd w:val="clear" w:color="auto" w:fill="auto"/>
            <w:noWrap/>
            <w:vAlign w:val="bottom"/>
            <w:hideMark/>
          </w:tcPr>
          <w:p w14:paraId="50CA225A" w14:textId="77777777" w:rsidR="003928C4" w:rsidRPr="00274C7E" w:rsidRDefault="003928C4" w:rsidP="00962A17">
            <w:pPr>
              <w:spacing w:line="240" w:lineRule="auto"/>
              <w:jc w:val="center"/>
              <w:rPr>
                <w:rFonts w:eastAsia="Times New Roman"/>
                <w:b/>
                <w:bCs/>
              </w:rPr>
            </w:pPr>
            <w:r w:rsidRPr="00274C7E">
              <w:rPr>
                <w:rFonts w:eastAsia="Times New Roman"/>
                <w:b/>
                <w:bCs/>
              </w:rPr>
              <w:t>0,003</w:t>
            </w:r>
          </w:p>
        </w:tc>
      </w:tr>
    </w:tbl>
    <w:p w14:paraId="650E8063" w14:textId="3FFC3FB1" w:rsidR="00DE28E8" w:rsidRPr="00912F70" w:rsidRDefault="00912F70" w:rsidP="00DE28E8">
      <w:r w:rsidRPr="00912F70">
        <w:t>A p-value less than 0.05 was marked in bold</w:t>
      </w:r>
    </w:p>
    <w:p w14:paraId="708BEC7C" w14:textId="77777777" w:rsidR="00912F70" w:rsidRDefault="00912F70" w:rsidP="00DE28E8">
      <w:pPr>
        <w:rPr>
          <w:b/>
          <w:bCs/>
        </w:rPr>
      </w:pPr>
    </w:p>
    <w:p w14:paraId="506B477F" w14:textId="77777777" w:rsidR="00912F70" w:rsidRPr="00274C7E" w:rsidRDefault="00912F70" w:rsidP="00DE28E8">
      <w:pPr>
        <w:rPr>
          <w:b/>
          <w:bCs/>
        </w:rPr>
      </w:pPr>
    </w:p>
    <w:p w14:paraId="786041C9" w14:textId="77777777" w:rsidR="00DE28E8" w:rsidRPr="00274C7E" w:rsidRDefault="00DE28E8" w:rsidP="00DE28E8">
      <w:pPr>
        <w:rPr>
          <w:b/>
          <w:bCs/>
          <w:lang w:val="en-US"/>
        </w:rPr>
      </w:pPr>
      <w:r w:rsidRPr="00274C7E">
        <w:rPr>
          <w:b/>
          <w:bCs/>
          <w:lang w:val="en-US"/>
        </w:rPr>
        <w:t>Table S</w:t>
      </w:r>
      <w:r w:rsidR="00DC477A" w:rsidRPr="00274C7E">
        <w:rPr>
          <w:b/>
          <w:bCs/>
          <w:lang w:val="en-US"/>
        </w:rPr>
        <w:t>5</w:t>
      </w:r>
      <w:r w:rsidRPr="00274C7E">
        <w:rPr>
          <w:b/>
          <w:bCs/>
          <w:lang w:val="en-US"/>
        </w:rPr>
        <w:t xml:space="preserve"> – Comparison of patients with different age </w:t>
      </w:r>
    </w:p>
    <w:tbl>
      <w:tblPr>
        <w:tblW w:w="8927" w:type="dxa"/>
        <w:tblCellMar>
          <w:left w:w="70" w:type="dxa"/>
          <w:right w:w="70" w:type="dxa"/>
        </w:tblCellMar>
        <w:tblLook w:val="04A0" w:firstRow="1" w:lastRow="0" w:firstColumn="1" w:lastColumn="0" w:noHBand="0" w:noVBand="1"/>
      </w:tblPr>
      <w:tblGrid>
        <w:gridCol w:w="2585"/>
        <w:gridCol w:w="1684"/>
        <w:gridCol w:w="1683"/>
        <w:gridCol w:w="1683"/>
        <w:gridCol w:w="1292"/>
      </w:tblGrid>
      <w:tr w:rsidR="00DC477A" w:rsidRPr="00274C7E" w14:paraId="236E6564" w14:textId="77777777" w:rsidTr="003928C4">
        <w:trPr>
          <w:trHeight w:val="260"/>
        </w:trPr>
        <w:tc>
          <w:tcPr>
            <w:tcW w:w="2585" w:type="dxa"/>
            <w:tcBorders>
              <w:top w:val="single" w:sz="4" w:space="0" w:color="auto"/>
              <w:left w:val="single" w:sz="4" w:space="0" w:color="auto"/>
              <w:bottom w:val="nil"/>
              <w:right w:val="nil"/>
            </w:tcBorders>
            <w:shd w:val="clear" w:color="auto" w:fill="auto"/>
            <w:noWrap/>
            <w:vAlign w:val="center"/>
            <w:hideMark/>
          </w:tcPr>
          <w:p w14:paraId="1FC8A479" w14:textId="77777777" w:rsidR="00DE28E8" w:rsidRPr="00274C7E" w:rsidRDefault="00DE28E8" w:rsidP="00962A17">
            <w:pPr>
              <w:spacing w:line="240" w:lineRule="auto"/>
              <w:rPr>
                <w:rFonts w:eastAsia="Times New Roman"/>
                <w:lang w:val="en-US"/>
              </w:rPr>
            </w:pPr>
            <w:r w:rsidRPr="00274C7E">
              <w:rPr>
                <w:rFonts w:eastAsia="Times New Roman"/>
                <w:lang w:val="en-US"/>
              </w:rPr>
              <w:t> </w:t>
            </w:r>
          </w:p>
        </w:tc>
        <w:tc>
          <w:tcPr>
            <w:tcW w:w="1684" w:type="dxa"/>
            <w:tcBorders>
              <w:top w:val="single" w:sz="4" w:space="0" w:color="auto"/>
              <w:left w:val="nil"/>
              <w:bottom w:val="nil"/>
              <w:right w:val="nil"/>
            </w:tcBorders>
            <w:shd w:val="clear" w:color="auto" w:fill="auto"/>
            <w:noWrap/>
            <w:vAlign w:val="center"/>
            <w:hideMark/>
          </w:tcPr>
          <w:p w14:paraId="6F5A7186" w14:textId="77777777" w:rsidR="00DE28E8" w:rsidRPr="00274C7E" w:rsidRDefault="00DE28E8" w:rsidP="00962A17">
            <w:pPr>
              <w:spacing w:line="240" w:lineRule="auto"/>
              <w:jc w:val="center"/>
              <w:rPr>
                <w:rFonts w:eastAsia="Times New Roman"/>
                <w:b/>
                <w:bCs/>
              </w:rPr>
            </w:pPr>
            <w:r w:rsidRPr="00274C7E">
              <w:rPr>
                <w:rFonts w:eastAsia="Times New Roman"/>
                <w:b/>
                <w:bCs/>
              </w:rPr>
              <w:t xml:space="preserve">Group A </w:t>
            </w:r>
          </w:p>
          <w:p w14:paraId="7BC20B07" w14:textId="77777777" w:rsidR="00DE28E8" w:rsidRPr="00274C7E" w:rsidRDefault="00DE28E8" w:rsidP="00962A17">
            <w:pPr>
              <w:spacing w:line="240" w:lineRule="auto"/>
              <w:jc w:val="center"/>
              <w:rPr>
                <w:rFonts w:eastAsia="Times New Roman"/>
                <w:b/>
                <w:bCs/>
              </w:rPr>
            </w:pPr>
            <w:r w:rsidRPr="00274C7E">
              <w:rPr>
                <w:rFonts w:eastAsia="Times New Roman"/>
                <w:b/>
                <w:bCs/>
              </w:rPr>
              <w:t>(&lt;50</w:t>
            </w:r>
            <w:r w:rsidR="00582A1A">
              <w:rPr>
                <w:rFonts w:eastAsia="Times New Roman"/>
                <w:b/>
                <w:bCs/>
              </w:rPr>
              <w:t xml:space="preserve"> </w:t>
            </w:r>
            <w:r w:rsidRPr="00274C7E">
              <w:rPr>
                <w:rFonts w:eastAsia="Times New Roman"/>
                <w:b/>
                <w:bCs/>
              </w:rPr>
              <w:t>y</w:t>
            </w:r>
            <w:r w:rsidR="00582A1A">
              <w:rPr>
                <w:rFonts w:eastAsia="Times New Roman"/>
                <w:b/>
                <w:bCs/>
              </w:rPr>
              <w:t>r</w:t>
            </w:r>
            <w:r w:rsidRPr="00274C7E">
              <w:rPr>
                <w:rFonts w:eastAsia="Times New Roman"/>
                <w:b/>
                <w:bCs/>
              </w:rPr>
              <w:t xml:space="preserve">) </w:t>
            </w:r>
          </w:p>
        </w:tc>
        <w:tc>
          <w:tcPr>
            <w:tcW w:w="1683" w:type="dxa"/>
            <w:tcBorders>
              <w:top w:val="single" w:sz="4" w:space="0" w:color="auto"/>
              <w:left w:val="nil"/>
              <w:bottom w:val="nil"/>
              <w:right w:val="nil"/>
            </w:tcBorders>
            <w:shd w:val="clear" w:color="auto" w:fill="auto"/>
            <w:noWrap/>
            <w:vAlign w:val="center"/>
            <w:hideMark/>
          </w:tcPr>
          <w:p w14:paraId="5E2DF45E" w14:textId="77777777" w:rsidR="00DE28E8" w:rsidRPr="00274C7E" w:rsidRDefault="00DE28E8" w:rsidP="00962A17">
            <w:pPr>
              <w:spacing w:line="240" w:lineRule="auto"/>
              <w:jc w:val="center"/>
              <w:rPr>
                <w:rFonts w:eastAsia="Times New Roman"/>
                <w:b/>
                <w:bCs/>
              </w:rPr>
            </w:pPr>
            <w:r w:rsidRPr="00274C7E">
              <w:rPr>
                <w:rFonts w:eastAsia="Times New Roman"/>
                <w:b/>
                <w:bCs/>
              </w:rPr>
              <w:t xml:space="preserve">Group B </w:t>
            </w:r>
          </w:p>
          <w:p w14:paraId="2404987C" w14:textId="77777777" w:rsidR="00DE28E8" w:rsidRPr="00274C7E" w:rsidRDefault="00DE28E8" w:rsidP="00962A17">
            <w:pPr>
              <w:spacing w:line="240" w:lineRule="auto"/>
              <w:jc w:val="center"/>
              <w:rPr>
                <w:rFonts w:eastAsia="Times New Roman"/>
                <w:b/>
                <w:bCs/>
              </w:rPr>
            </w:pPr>
            <w:r w:rsidRPr="00274C7E">
              <w:rPr>
                <w:rFonts w:eastAsia="Times New Roman"/>
                <w:b/>
                <w:bCs/>
              </w:rPr>
              <w:t>(50-70</w:t>
            </w:r>
            <w:r w:rsidR="00582A1A">
              <w:rPr>
                <w:rFonts w:eastAsia="Times New Roman"/>
                <w:b/>
                <w:bCs/>
              </w:rPr>
              <w:t xml:space="preserve"> </w:t>
            </w:r>
            <w:r w:rsidRPr="00274C7E">
              <w:rPr>
                <w:rFonts w:eastAsia="Times New Roman"/>
                <w:b/>
                <w:bCs/>
              </w:rPr>
              <w:t>y</w:t>
            </w:r>
            <w:r w:rsidR="00582A1A">
              <w:rPr>
                <w:rFonts w:eastAsia="Times New Roman"/>
                <w:b/>
                <w:bCs/>
              </w:rPr>
              <w:t>r</w:t>
            </w:r>
            <w:r w:rsidRPr="00274C7E">
              <w:rPr>
                <w:rFonts w:eastAsia="Times New Roman"/>
                <w:b/>
                <w:bCs/>
              </w:rPr>
              <w:t xml:space="preserve">) </w:t>
            </w:r>
          </w:p>
        </w:tc>
        <w:tc>
          <w:tcPr>
            <w:tcW w:w="1683" w:type="dxa"/>
            <w:tcBorders>
              <w:top w:val="single" w:sz="4" w:space="0" w:color="auto"/>
              <w:left w:val="nil"/>
              <w:bottom w:val="nil"/>
              <w:right w:val="nil"/>
            </w:tcBorders>
            <w:shd w:val="clear" w:color="auto" w:fill="auto"/>
            <w:noWrap/>
            <w:vAlign w:val="center"/>
            <w:hideMark/>
          </w:tcPr>
          <w:p w14:paraId="5F5A9AD2" w14:textId="77777777" w:rsidR="00DE28E8" w:rsidRPr="00274C7E" w:rsidRDefault="00DE28E8" w:rsidP="00962A17">
            <w:pPr>
              <w:spacing w:line="240" w:lineRule="auto"/>
              <w:jc w:val="center"/>
              <w:rPr>
                <w:rFonts w:eastAsia="Times New Roman"/>
                <w:b/>
                <w:bCs/>
              </w:rPr>
            </w:pPr>
            <w:r w:rsidRPr="00274C7E">
              <w:rPr>
                <w:rFonts w:eastAsia="Times New Roman"/>
                <w:b/>
                <w:bCs/>
              </w:rPr>
              <w:t xml:space="preserve">Group C </w:t>
            </w:r>
          </w:p>
          <w:p w14:paraId="31F258F6" w14:textId="77777777" w:rsidR="00DE28E8" w:rsidRPr="00274C7E" w:rsidRDefault="00DE28E8" w:rsidP="00962A17">
            <w:pPr>
              <w:spacing w:line="240" w:lineRule="auto"/>
              <w:jc w:val="center"/>
              <w:rPr>
                <w:rFonts w:eastAsia="Times New Roman"/>
                <w:b/>
                <w:bCs/>
              </w:rPr>
            </w:pPr>
            <w:r w:rsidRPr="00274C7E">
              <w:rPr>
                <w:rFonts w:eastAsia="Times New Roman"/>
                <w:b/>
                <w:bCs/>
              </w:rPr>
              <w:t>(&gt;70</w:t>
            </w:r>
            <w:r w:rsidR="00582A1A">
              <w:rPr>
                <w:rFonts w:eastAsia="Times New Roman"/>
                <w:b/>
                <w:bCs/>
              </w:rPr>
              <w:t xml:space="preserve"> </w:t>
            </w:r>
            <w:r w:rsidRPr="00274C7E">
              <w:rPr>
                <w:rFonts w:eastAsia="Times New Roman"/>
                <w:b/>
                <w:bCs/>
              </w:rPr>
              <w:t>y</w:t>
            </w:r>
            <w:r w:rsidR="00582A1A">
              <w:rPr>
                <w:rFonts w:eastAsia="Times New Roman"/>
                <w:b/>
                <w:bCs/>
              </w:rPr>
              <w:t>r</w:t>
            </w:r>
            <w:r w:rsidRPr="00274C7E">
              <w:rPr>
                <w:rFonts w:eastAsia="Times New Roman"/>
                <w:b/>
                <w:bCs/>
              </w:rPr>
              <w:t xml:space="preserve">) </w:t>
            </w:r>
          </w:p>
        </w:tc>
        <w:tc>
          <w:tcPr>
            <w:tcW w:w="1292" w:type="dxa"/>
            <w:tcBorders>
              <w:top w:val="single" w:sz="4" w:space="0" w:color="auto"/>
              <w:left w:val="nil"/>
              <w:bottom w:val="nil"/>
              <w:right w:val="single" w:sz="4" w:space="0" w:color="auto"/>
            </w:tcBorders>
            <w:shd w:val="clear" w:color="auto" w:fill="auto"/>
            <w:noWrap/>
            <w:vAlign w:val="center"/>
            <w:hideMark/>
          </w:tcPr>
          <w:p w14:paraId="394B93B5" w14:textId="77777777" w:rsidR="00DE28E8" w:rsidRPr="00274C7E" w:rsidRDefault="00DE28E8" w:rsidP="00962A17">
            <w:pPr>
              <w:spacing w:line="240" w:lineRule="auto"/>
              <w:jc w:val="center"/>
              <w:rPr>
                <w:rFonts w:eastAsia="Times New Roman"/>
                <w:b/>
                <w:bCs/>
              </w:rPr>
            </w:pPr>
            <w:r w:rsidRPr="00274C7E">
              <w:rPr>
                <w:rFonts w:eastAsia="Times New Roman"/>
                <w:b/>
                <w:bCs/>
              </w:rPr>
              <w:t> </w:t>
            </w:r>
          </w:p>
        </w:tc>
      </w:tr>
      <w:tr w:rsidR="00DC477A" w:rsidRPr="00274C7E" w14:paraId="643E00F9" w14:textId="77777777" w:rsidTr="003928C4">
        <w:trPr>
          <w:trHeight w:val="270"/>
        </w:trPr>
        <w:tc>
          <w:tcPr>
            <w:tcW w:w="2585" w:type="dxa"/>
            <w:tcBorders>
              <w:top w:val="nil"/>
              <w:left w:val="single" w:sz="4" w:space="0" w:color="auto"/>
              <w:bottom w:val="nil"/>
              <w:right w:val="nil"/>
            </w:tcBorders>
            <w:shd w:val="clear" w:color="auto" w:fill="auto"/>
            <w:noWrap/>
            <w:vAlign w:val="center"/>
            <w:hideMark/>
          </w:tcPr>
          <w:p w14:paraId="5D34709D" w14:textId="77777777" w:rsidR="00DE28E8" w:rsidRPr="00274C7E" w:rsidRDefault="00DE28E8" w:rsidP="00962A17">
            <w:pPr>
              <w:spacing w:line="240" w:lineRule="auto"/>
              <w:rPr>
                <w:rFonts w:eastAsia="Times New Roman"/>
              </w:rPr>
            </w:pPr>
            <w:r w:rsidRPr="00274C7E">
              <w:rPr>
                <w:rFonts w:eastAsia="Times New Roman"/>
              </w:rPr>
              <w:t> </w:t>
            </w:r>
          </w:p>
        </w:tc>
        <w:tc>
          <w:tcPr>
            <w:tcW w:w="1684" w:type="dxa"/>
            <w:tcBorders>
              <w:top w:val="nil"/>
              <w:left w:val="nil"/>
              <w:bottom w:val="nil"/>
              <w:right w:val="nil"/>
            </w:tcBorders>
            <w:shd w:val="clear" w:color="auto" w:fill="auto"/>
            <w:noWrap/>
            <w:vAlign w:val="center"/>
            <w:hideMark/>
          </w:tcPr>
          <w:p w14:paraId="3FD11538" w14:textId="77777777" w:rsidR="00DE28E8" w:rsidRPr="00274C7E" w:rsidRDefault="00DE28E8" w:rsidP="00962A17">
            <w:pPr>
              <w:spacing w:line="240" w:lineRule="auto"/>
              <w:jc w:val="center"/>
              <w:rPr>
                <w:rFonts w:eastAsia="Times New Roman"/>
                <w:b/>
                <w:bCs/>
              </w:rPr>
            </w:pPr>
            <w:r w:rsidRPr="00274C7E">
              <w:rPr>
                <w:rFonts w:eastAsia="Times New Roman"/>
                <w:b/>
                <w:bCs/>
              </w:rPr>
              <w:t>N=33</w:t>
            </w:r>
          </w:p>
        </w:tc>
        <w:tc>
          <w:tcPr>
            <w:tcW w:w="1683" w:type="dxa"/>
            <w:tcBorders>
              <w:top w:val="nil"/>
              <w:left w:val="nil"/>
              <w:bottom w:val="nil"/>
              <w:right w:val="nil"/>
            </w:tcBorders>
            <w:shd w:val="clear" w:color="auto" w:fill="auto"/>
            <w:noWrap/>
            <w:vAlign w:val="center"/>
            <w:hideMark/>
          </w:tcPr>
          <w:p w14:paraId="5327EB8C" w14:textId="77777777" w:rsidR="00DE28E8" w:rsidRPr="00274C7E" w:rsidRDefault="00DE28E8" w:rsidP="00962A17">
            <w:pPr>
              <w:spacing w:line="240" w:lineRule="auto"/>
              <w:jc w:val="center"/>
              <w:rPr>
                <w:rFonts w:eastAsia="Times New Roman"/>
                <w:b/>
                <w:bCs/>
              </w:rPr>
            </w:pPr>
            <w:r w:rsidRPr="00274C7E">
              <w:rPr>
                <w:rFonts w:eastAsia="Times New Roman"/>
                <w:b/>
                <w:bCs/>
              </w:rPr>
              <w:t>N=205</w:t>
            </w:r>
          </w:p>
        </w:tc>
        <w:tc>
          <w:tcPr>
            <w:tcW w:w="1683" w:type="dxa"/>
            <w:tcBorders>
              <w:top w:val="nil"/>
              <w:left w:val="nil"/>
              <w:bottom w:val="nil"/>
              <w:right w:val="nil"/>
            </w:tcBorders>
            <w:shd w:val="clear" w:color="auto" w:fill="auto"/>
            <w:noWrap/>
            <w:vAlign w:val="center"/>
            <w:hideMark/>
          </w:tcPr>
          <w:p w14:paraId="3D842A68" w14:textId="77777777" w:rsidR="00DE28E8" w:rsidRPr="00274C7E" w:rsidRDefault="00DE28E8" w:rsidP="00962A17">
            <w:pPr>
              <w:spacing w:line="240" w:lineRule="auto"/>
              <w:jc w:val="center"/>
              <w:rPr>
                <w:rFonts w:eastAsia="Times New Roman"/>
                <w:b/>
                <w:bCs/>
              </w:rPr>
            </w:pPr>
            <w:r w:rsidRPr="00274C7E">
              <w:rPr>
                <w:rFonts w:eastAsia="Times New Roman"/>
                <w:b/>
                <w:bCs/>
              </w:rPr>
              <w:t>N=248</w:t>
            </w:r>
          </w:p>
        </w:tc>
        <w:tc>
          <w:tcPr>
            <w:tcW w:w="1292" w:type="dxa"/>
            <w:tcBorders>
              <w:top w:val="nil"/>
              <w:left w:val="nil"/>
              <w:bottom w:val="nil"/>
              <w:right w:val="single" w:sz="4" w:space="0" w:color="auto"/>
            </w:tcBorders>
            <w:shd w:val="clear" w:color="auto" w:fill="auto"/>
            <w:noWrap/>
            <w:vAlign w:val="center"/>
            <w:hideMark/>
          </w:tcPr>
          <w:p w14:paraId="125BBBBD" w14:textId="77777777" w:rsidR="00DE28E8" w:rsidRPr="00274C7E" w:rsidRDefault="00DE28E8" w:rsidP="00962A17">
            <w:pPr>
              <w:spacing w:line="240" w:lineRule="auto"/>
              <w:jc w:val="center"/>
              <w:rPr>
                <w:rFonts w:eastAsia="Times New Roman"/>
                <w:b/>
                <w:bCs/>
                <w:i/>
                <w:iCs/>
              </w:rPr>
            </w:pPr>
            <w:r w:rsidRPr="00274C7E">
              <w:rPr>
                <w:rFonts w:eastAsia="Times New Roman"/>
                <w:b/>
                <w:bCs/>
                <w:i/>
                <w:iCs/>
              </w:rPr>
              <w:t>p</w:t>
            </w:r>
          </w:p>
        </w:tc>
      </w:tr>
      <w:tr w:rsidR="00DC477A" w:rsidRPr="00274C7E" w14:paraId="6C073714" w14:textId="77777777" w:rsidTr="00962A17">
        <w:trPr>
          <w:trHeight w:val="270"/>
        </w:trPr>
        <w:tc>
          <w:tcPr>
            <w:tcW w:w="8927" w:type="dxa"/>
            <w:gridSpan w:val="5"/>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39B83CF4" w14:textId="77777777" w:rsidR="00DE28E8" w:rsidRPr="00274C7E" w:rsidRDefault="00DE28E8" w:rsidP="00962A17">
            <w:pPr>
              <w:spacing w:line="240" w:lineRule="auto"/>
              <w:rPr>
                <w:rFonts w:eastAsia="Times New Roman"/>
                <w:b/>
                <w:bCs/>
              </w:rPr>
            </w:pPr>
            <w:r w:rsidRPr="00274C7E">
              <w:rPr>
                <w:rFonts w:eastAsia="Times New Roman"/>
                <w:b/>
                <w:bCs/>
              </w:rPr>
              <w:t>Demographics</w:t>
            </w:r>
          </w:p>
        </w:tc>
      </w:tr>
      <w:tr w:rsidR="00DC477A" w:rsidRPr="00274C7E" w14:paraId="3E2CB453" w14:textId="77777777" w:rsidTr="003928C4">
        <w:trPr>
          <w:trHeight w:val="270"/>
        </w:trPr>
        <w:tc>
          <w:tcPr>
            <w:tcW w:w="2585" w:type="dxa"/>
            <w:tcBorders>
              <w:top w:val="nil"/>
              <w:left w:val="single" w:sz="4" w:space="0" w:color="auto"/>
              <w:bottom w:val="single" w:sz="8" w:space="0" w:color="auto"/>
              <w:right w:val="nil"/>
            </w:tcBorders>
            <w:shd w:val="clear" w:color="auto" w:fill="auto"/>
            <w:noWrap/>
            <w:vAlign w:val="center"/>
            <w:hideMark/>
          </w:tcPr>
          <w:p w14:paraId="6BD8DD52" w14:textId="77777777" w:rsidR="00DE28E8" w:rsidRPr="00274C7E" w:rsidRDefault="003928C4" w:rsidP="00962A17">
            <w:pPr>
              <w:spacing w:line="240" w:lineRule="auto"/>
              <w:rPr>
                <w:rFonts w:eastAsia="Times New Roman"/>
              </w:rPr>
            </w:pPr>
            <w:r w:rsidRPr="00274C7E">
              <w:rPr>
                <w:rFonts w:eastAsia="Times New Roman"/>
              </w:rPr>
              <w:t>Sex (male)</w:t>
            </w:r>
          </w:p>
        </w:tc>
        <w:tc>
          <w:tcPr>
            <w:tcW w:w="1684" w:type="dxa"/>
            <w:tcBorders>
              <w:top w:val="nil"/>
              <w:left w:val="nil"/>
              <w:bottom w:val="single" w:sz="8" w:space="0" w:color="auto"/>
              <w:right w:val="nil"/>
            </w:tcBorders>
            <w:shd w:val="clear" w:color="auto" w:fill="auto"/>
            <w:noWrap/>
            <w:vAlign w:val="center"/>
            <w:hideMark/>
          </w:tcPr>
          <w:p w14:paraId="79AF71B8" w14:textId="77777777" w:rsidR="00DE28E8" w:rsidRPr="00274C7E" w:rsidRDefault="00DE28E8" w:rsidP="00962A17">
            <w:pPr>
              <w:spacing w:line="240" w:lineRule="auto"/>
              <w:jc w:val="center"/>
              <w:rPr>
                <w:rFonts w:eastAsia="Times New Roman"/>
              </w:rPr>
            </w:pPr>
            <w:r w:rsidRPr="00274C7E">
              <w:rPr>
                <w:rFonts w:eastAsia="Times New Roman"/>
              </w:rPr>
              <w:t>79% </w:t>
            </w:r>
          </w:p>
        </w:tc>
        <w:tc>
          <w:tcPr>
            <w:tcW w:w="1683" w:type="dxa"/>
            <w:tcBorders>
              <w:top w:val="nil"/>
              <w:left w:val="nil"/>
              <w:bottom w:val="single" w:sz="8" w:space="0" w:color="auto"/>
              <w:right w:val="nil"/>
            </w:tcBorders>
            <w:shd w:val="clear" w:color="auto" w:fill="auto"/>
            <w:noWrap/>
            <w:vAlign w:val="center"/>
            <w:hideMark/>
          </w:tcPr>
          <w:p w14:paraId="5AAAA571" w14:textId="77777777" w:rsidR="00DE28E8" w:rsidRPr="00274C7E" w:rsidRDefault="00DE28E8" w:rsidP="00962A17">
            <w:pPr>
              <w:spacing w:line="240" w:lineRule="auto"/>
              <w:jc w:val="center"/>
              <w:rPr>
                <w:rFonts w:eastAsia="Times New Roman"/>
              </w:rPr>
            </w:pPr>
            <w:r w:rsidRPr="00274C7E">
              <w:rPr>
                <w:rFonts w:eastAsia="Times New Roman"/>
              </w:rPr>
              <w:t>71% </w:t>
            </w:r>
          </w:p>
        </w:tc>
        <w:tc>
          <w:tcPr>
            <w:tcW w:w="1683" w:type="dxa"/>
            <w:tcBorders>
              <w:top w:val="nil"/>
              <w:left w:val="nil"/>
              <w:bottom w:val="single" w:sz="8" w:space="0" w:color="auto"/>
              <w:right w:val="nil"/>
            </w:tcBorders>
            <w:shd w:val="clear" w:color="auto" w:fill="auto"/>
            <w:noWrap/>
            <w:vAlign w:val="center"/>
            <w:hideMark/>
          </w:tcPr>
          <w:p w14:paraId="5F99B4CB" w14:textId="77777777" w:rsidR="00DE28E8" w:rsidRPr="00274C7E" w:rsidRDefault="00DE28E8" w:rsidP="00962A17">
            <w:pPr>
              <w:spacing w:line="240" w:lineRule="auto"/>
              <w:jc w:val="center"/>
              <w:rPr>
                <w:rFonts w:eastAsia="Times New Roman"/>
              </w:rPr>
            </w:pPr>
            <w:r w:rsidRPr="00274C7E">
              <w:rPr>
                <w:rFonts w:eastAsia="Times New Roman"/>
              </w:rPr>
              <w:t>68% </w:t>
            </w:r>
          </w:p>
        </w:tc>
        <w:tc>
          <w:tcPr>
            <w:tcW w:w="1292" w:type="dxa"/>
            <w:tcBorders>
              <w:top w:val="nil"/>
              <w:left w:val="nil"/>
              <w:bottom w:val="single" w:sz="8" w:space="0" w:color="auto"/>
              <w:right w:val="single" w:sz="4" w:space="0" w:color="auto"/>
            </w:tcBorders>
            <w:shd w:val="clear" w:color="auto" w:fill="auto"/>
            <w:noWrap/>
            <w:vAlign w:val="center"/>
            <w:hideMark/>
          </w:tcPr>
          <w:p w14:paraId="26B9BA4C" w14:textId="77777777" w:rsidR="00DE28E8" w:rsidRPr="00274C7E" w:rsidRDefault="00DE28E8" w:rsidP="00962A17">
            <w:pPr>
              <w:spacing w:line="240" w:lineRule="auto"/>
              <w:jc w:val="center"/>
              <w:rPr>
                <w:rFonts w:eastAsia="Times New Roman"/>
              </w:rPr>
            </w:pPr>
            <w:r w:rsidRPr="00274C7E">
              <w:rPr>
                <w:rFonts w:eastAsia="Times New Roman"/>
              </w:rPr>
              <w:t>0,415</w:t>
            </w:r>
          </w:p>
        </w:tc>
      </w:tr>
      <w:tr w:rsidR="00DC477A" w:rsidRPr="00274C7E" w14:paraId="27BFDA57" w14:textId="77777777" w:rsidTr="003928C4">
        <w:trPr>
          <w:trHeight w:val="270"/>
        </w:trPr>
        <w:tc>
          <w:tcPr>
            <w:tcW w:w="4269" w:type="dxa"/>
            <w:gridSpan w:val="2"/>
            <w:tcBorders>
              <w:top w:val="nil"/>
              <w:left w:val="single" w:sz="4" w:space="0" w:color="auto"/>
              <w:bottom w:val="single" w:sz="8" w:space="0" w:color="auto"/>
              <w:right w:val="nil"/>
            </w:tcBorders>
            <w:shd w:val="clear" w:color="auto" w:fill="auto"/>
            <w:noWrap/>
            <w:vAlign w:val="center"/>
            <w:hideMark/>
          </w:tcPr>
          <w:p w14:paraId="540EAF44" w14:textId="77777777" w:rsidR="00DE28E8" w:rsidRPr="00274C7E" w:rsidRDefault="00DE28E8" w:rsidP="00962A17">
            <w:pPr>
              <w:spacing w:line="240" w:lineRule="auto"/>
              <w:rPr>
                <w:rFonts w:eastAsia="Times New Roman"/>
                <w:b/>
                <w:bCs/>
              </w:rPr>
            </w:pPr>
            <w:r w:rsidRPr="00274C7E">
              <w:rPr>
                <w:rFonts w:eastAsia="Times New Roman"/>
                <w:b/>
                <w:bCs/>
              </w:rPr>
              <w:t>CPAP data</w:t>
            </w:r>
          </w:p>
        </w:tc>
        <w:tc>
          <w:tcPr>
            <w:tcW w:w="1683" w:type="dxa"/>
            <w:tcBorders>
              <w:top w:val="nil"/>
              <w:left w:val="nil"/>
              <w:bottom w:val="single" w:sz="8" w:space="0" w:color="auto"/>
              <w:right w:val="nil"/>
            </w:tcBorders>
            <w:shd w:val="clear" w:color="auto" w:fill="auto"/>
            <w:noWrap/>
            <w:vAlign w:val="center"/>
            <w:hideMark/>
          </w:tcPr>
          <w:p w14:paraId="526698BF" w14:textId="77777777" w:rsidR="00DE28E8" w:rsidRPr="00274C7E" w:rsidRDefault="00DE28E8" w:rsidP="00962A17">
            <w:pPr>
              <w:spacing w:line="240" w:lineRule="auto"/>
              <w:jc w:val="center"/>
              <w:rPr>
                <w:rFonts w:eastAsia="Times New Roman"/>
              </w:rPr>
            </w:pPr>
            <w:r w:rsidRPr="00274C7E">
              <w:rPr>
                <w:rFonts w:eastAsia="Times New Roman"/>
              </w:rPr>
              <w:t> </w:t>
            </w:r>
          </w:p>
        </w:tc>
        <w:tc>
          <w:tcPr>
            <w:tcW w:w="1683" w:type="dxa"/>
            <w:tcBorders>
              <w:top w:val="nil"/>
              <w:left w:val="nil"/>
              <w:bottom w:val="single" w:sz="8" w:space="0" w:color="auto"/>
              <w:right w:val="nil"/>
            </w:tcBorders>
            <w:shd w:val="clear" w:color="auto" w:fill="auto"/>
            <w:noWrap/>
            <w:vAlign w:val="center"/>
            <w:hideMark/>
          </w:tcPr>
          <w:p w14:paraId="44FEB772" w14:textId="77777777" w:rsidR="00DE28E8" w:rsidRPr="00274C7E" w:rsidRDefault="00DE28E8" w:rsidP="00962A17">
            <w:pPr>
              <w:spacing w:line="240" w:lineRule="auto"/>
              <w:jc w:val="center"/>
              <w:rPr>
                <w:rFonts w:eastAsia="Times New Roman"/>
              </w:rPr>
            </w:pPr>
            <w:r w:rsidRPr="00274C7E">
              <w:rPr>
                <w:rFonts w:eastAsia="Times New Roman"/>
              </w:rPr>
              <w:t> </w:t>
            </w:r>
          </w:p>
        </w:tc>
        <w:tc>
          <w:tcPr>
            <w:tcW w:w="1292" w:type="dxa"/>
            <w:tcBorders>
              <w:top w:val="nil"/>
              <w:left w:val="nil"/>
              <w:bottom w:val="single" w:sz="8" w:space="0" w:color="auto"/>
              <w:right w:val="single" w:sz="4" w:space="0" w:color="auto"/>
            </w:tcBorders>
            <w:shd w:val="clear" w:color="auto" w:fill="auto"/>
            <w:noWrap/>
            <w:vAlign w:val="center"/>
            <w:hideMark/>
          </w:tcPr>
          <w:p w14:paraId="7AD06501" w14:textId="77777777" w:rsidR="00DE28E8" w:rsidRPr="00274C7E" w:rsidRDefault="00DE28E8" w:rsidP="00962A17">
            <w:pPr>
              <w:spacing w:line="240" w:lineRule="auto"/>
              <w:jc w:val="center"/>
              <w:rPr>
                <w:rFonts w:eastAsia="Times New Roman"/>
              </w:rPr>
            </w:pPr>
            <w:r w:rsidRPr="00274C7E">
              <w:rPr>
                <w:rFonts w:eastAsia="Times New Roman"/>
              </w:rPr>
              <w:t> </w:t>
            </w:r>
          </w:p>
        </w:tc>
      </w:tr>
      <w:tr w:rsidR="00DC477A" w:rsidRPr="00274C7E" w14:paraId="4109AB1F" w14:textId="77777777" w:rsidTr="003928C4">
        <w:trPr>
          <w:trHeight w:val="303"/>
        </w:trPr>
        <w:tc>
          <w:tcPr>
            <w:tcW w:w="2585" w:type="dxa"/>
            <w:tcBorders>
              <w:top w:val="nil"/>
              <w:left w:val="single" w:sz="4" w:space="0" w:color="auto"/>
              <w:bottom w:val="single" w:sz="8" w:space="0" w:color="auto"/>
              <w:right w:val="nil"/>
            </w:tcBorders>
            <w:shd w:val="clear" w:color="auto" w:fill="auto"/>
            <w:noWrap/>
            <w:vAlign w:val="bottom"/>
            <w:hideMark/>
          </w:tcPr>
          <w:p w14:paraId="06280291" w14:textId="77777777" w:rsidR="003928C4" w:rsidRPr="00274C7E" w:rsidRDefault="003928C4" w:rsidP="00573EAC">
            <w:pPr>
              <w:spacing w:line="240" w:lineRule="auto"/>
              <w:rPr>
                <w:rFonts w:eastAsia="Times New Roman"/>
              </w:rPr>
            </w:pPr>
            <w:r w:rsidRPr="00274C7E">
              <w:rPr>
                <w:rFonts w:eastAsia="Times New Roman"/>
              </w:rPr>
              <w:t>rAHI (events·h</w:t>
            </w:r>
            <w:r w:rsidRPr="00274C7E">
              <w:rPr>
                <w:rFonts w:eastAsia="Times New Roman"/>
                <w:vertAlign w:val="superscript"/>
              </w:rPr>
              <w:t>-1</w:t>
            </w:r>
            <w:r w:rsidRPr="00274C7E">
              <w:rPr>
                <w:rFonts w:eastAsia="Times New Roman"/>
              </w:rPr>
              <w:t>)</w:t>
            </w:r>
          </w:p>
        </w:tc>
        <w:tc>
          <w:tcPr>
            <w:tcW w:w="1684" w:type="dxa"/>
            <w:tcBorders>
              <w:top w:val="nil"/>
              <w:left w:val="nil"/>
              <w:bottom w:val="single" w:sz="8" w:space="0" w:color="auto"/>
              <w:right w:val="nil"/>
            </w:tcBorders>
            <w:shd w:val="clear" w:color="auto" w:fill="auto"/>
            <w:noWrap/>
            <w:vAlign w:val="center"/>
            <w:hideMark/>
          </w:tcPr>
          <w:p w14:paraId="47F728AD" w14:textId="77777777" w:rsidR="003928C4" w:rsidRPr="00274C7E" w:rsidRDefault="003928C4" w:rsidP="00962A17">
            <w:pPr>
              <w:spacing w:line="240" w:lineRule="auto"/>
              <w:jc w:val="center"/>
              <w:rPr>
                <w:rFonts w:eastAsia="Times New Roman"/>
              </w:rPr>
            </w:pPr>
            <w:r w:rsidRPr="00274C7E">
              <w:rPr>
                <w:rFonts w:eastAsia="Times New Roman"/>
              </w:rPr>
              <w:t>2,72±2,88</w:t>
            </w:r>
            <w:r w:rsidR="00274C7E" w:rsidRPr="00274C7E">
              <w:rPr>
                <w:rFonts w:eastAsia="Times New Roman"/>
              </w:rPr>
              <w:t>*</w:t>
            </w:r>
          </w:p>
        </w:tc>
        <w:tc>
          <w:tcPr>
            <w:tcW w:w="1683" w:type="dxa"/>
            <w:tcBorders>
              <w:top w:val="nil"/>
              <w:left w:val="nil"/>
              <w:bottom w:val="single" w:sz="8" w:space="0" w:color="auto"/>
              <w:right w:val="nil"/>
            </w:tcBorders>
            <w:shd w:val="clear" w:color="auto" w:fill="auto"/>
            <w:noWrap/>
            <w:vAlign w:val="center"/>
            <w:hideMark/>
          </w:tcPr>
          <w:p w14:paraId="6FE050EF" w14:textId="77777777" w:rsidR="003928C4" w:rsidRPr="00274C7E" w:rsidRDefault="003928C4" w:rsidP="00962A17">
            <w:pPr>
              <w:spacing w:line="240" w:lineRule="auto"/>
              <w:jc w:val="center"/>
              <w:rPr>
                <w:rFonts w:eastAsia="Times New Roman"/>
              </w:rPr>
            </w:pPr>
            <w:r w:rsidRPr="00274C7E">
              <w:rPr>
                <w:rFonts w:eastAsia="Times New Roman"/>
              </w:rPr>
              <w:t>3,35±4,10</w:t>
            </w:r>
            <w:r w:rsidR="00274C7E" w:rsidRPr="00274C7E">
              <w:rPr>
                <w:rFonts w:eastAsia="Times New Roman"/>
              </w:rPr>
              <w:t>*</w:t>
            </w:r>
          </w:p>
        </w:tc>
        <w:tc>
          <w:tcPr>
            <w:tcW w:w="1683" w:type="dxa"/>
            <w:tcBorders>
              <w:top w:val="nil"/>
              <w:left w:val="nil"/>
              <w:bottom w:val="single" w:sz="8" w:space="0" w:color="auto"/>
              <w:right w:val="nil"/>
            </w:tcBorders>
            <w:shd w:val="clear" w:color="auto" w:fill="auto"/>
            <w:noWrap/>
            <w:vAlign w:val="center"/>
            <w:hideMark/>
          </w:tcPr>
          <w:p w14:paraId="0B8DC3BC" w14:textId="77777777" w:rsidR="003928C4" w:rsidRPr="00274C7E" w:rsidRDefault="003928C4" w:rsidP="00962A17">
            <w:pPr>
              <w:spacing w:line="240" w:lineRule="auto"/>
              <w:jc w:val="center"/>
              <w:rPr>
                <w:rFonts w:eastAsia="Times New Roman"/>
              </w:rPr>
            </w:pPr>
            <w:r w:rsidRPr="00274C7E">
              <w:rPr>
                <w:rFonts w:eastAsia="Times New Roman"/>
              </w:rPr>
              <w:t>4,61±6,18</w:t>
            </w:r>
            <w:r w:rsidR="00274C7E" w:rsidRPr="00274C7E">
              <w:rPr>
                <w:rFonts w:eastAsia="Times New Roman"/>
              </w:rPr>
              <w:t>*</w:t>
            </w:r>
          </w:p>
        </w:tc>
        <w:tc>
          <w:tcPr>
            <w:tcW w:w="1292" w:type="dxa"/>
            <w:tcBorders>
              <w:top w:val="nil"/>
              <w:left w:val="nil"/>
              <w:bottom w:val="single" w:sz="8" w:space="0" w:color="auto"/>
              <w:right w:val="single" w:sz="4" w:space="0" w:color="auto"/>
            </w:tcBorders>
            <w:shd w:val="clear" w:color="auto" w:fill="auto"/>
            <w:noWrap/>
            <w:vAlign w:val="center"/>
            <w:hideMark/>
          </w:tcPr>
          <w:p w14:paraId="589AADC8" w14:textId="77777777" w:rsidR="003928C4" w:rsidRPr="00274C7E" w:rsidRDefault="003928C4" w:rsidP="00962A17">
            <w:pPr>
              <w:spacing w:line="240" w:lineRule="auto"/>
              <w:jc w:val="center"/>
              <w:rPr>
                <w:rFonts w:eastAsia="Times New Roman"/>
                <w:b/>
                <w:bCs/>
              </w:rPr>
            </w:pPr>
            <w:r w:rsidRPr="00274C7E">
              <w:rPr>
                <w:rFonts w:eastAsia="Times New Roman"/>
                <w:b/>
                <w:bCs/>
              </w:rPr>
              <w:t>0,014</w:t>
            </w:r>
          </w:p>
        </w:tc>
      </w:tr>
      <w:tr w:rsidR="00DC477A" w:rsidRPr="00274C7E" w14:paraId="46AF36E0" w14:textId="77777777" w:rsidTr="003928C4">
        <w:trPr>
          <w:trHeight w:val="303"/>
        </w:trPr>
        <w:tc>
          <w:tcPr>
            <w:tcW w:w="2585" w:type="dxa"/>
            <w:tcBorders>
              <w:top w:val="nil"/>
              <w:left w:val="single" w:sz="4" w:space="0" w:color="auto"/>
              <w:bottom w:val="single" w:sz="8" w:space="0" w:color="auto"/>
              <w:right w:val="nil"/>
            </w:tcBorders>
            <w:shd w:val="clear" w:color="auto" w:fill="auto"/>
            <w:noWrap/>
            <w:vAlign w:val="bottom"/>
            <w:hideMark/>
          </w:tcPr>
          <w:p w14:paraId="2AF69975" w14:textId="77777777" w:rsidR="003928C4" w:rsidRPr="00274C7E" w:rsidRDefault="003928C4" w:rsidP="00573EAC">
            <w:pPr>
              <w:spacing w:line="240" w:lineRule="auto"/>
              <w:rPr>
                <w:rFonts w:eastAsia="Times New Roman"/>
              </w:rPr>
            </w:pPr>
            <w:r w:rsidRPr="00274C7E">
              <w:rPr>
                <w:rFonts w:eastAsia="Times New Roman"/>
              </w:rPr>
              <w:t>rAHI &gt;10 events·h</w:t>
            </w:r>
            <w:r w:rsidRPr="00274C7E">
              <w:rPr>
                <w:rFonts w:eastAsia="Times New Roman"/>
                <w:vertAlign w:val="superscript"/>
              </w:rPr>
              <w:t>-1</w:t>
            </w:r>
            <w:r w:rsidRPr="00274C7E">
              <w:rPr>
                <w:rFonts w:eastAsia="Times New Roman"/>
              </w:rPr>
              <w:t xml:space="preserve"> (%)</w:t>
            </w:r>
          </w:p>
        </w:tc>
        <w:tc>
          <w:tcPr>
            <w:tcW w:w="1684" w:type="dxa"/>
            <w:tcBorders>
              <w:top w:val="nil"/>
              <w:left w:val="nil"/>
              <w:bottom w:val="single" w:sz="8" w:space="0" w:color="auto"/>
              <w:right w:val="nil"/>
            </w:tcBorders>
            <w:shd w:val="clear" w:color="auto" w:fill="auto"/>
            <w:noWrap/>
            <w:vAlign w:val="center"/>
            <w:hideMark/>
          </w:tcPr>
          <w:p w14:paraId="5169E522" w14:textId="77777777" w:rsidR="003928C4" w:rsidRPr="00274C7E" w:rsidRDefault="003928C4" w:rsidP="00962A17">
            <w:pPr>
              <w:spacing w:line="240" w:lineRule="auto"/>
              <w:jc w:val="center"/>
              <w:rPr>
                <w:rFonts w:eastAsia="Times New Roman"/>
              </w:rPr>
            </w:pPr>
            <w:r w:rsidRPr="00274C7E">
              <w:rPr>
                <w:rFonts w:eastAsia="Times New Roman"/>
              </w:rPr>
              <w:t>6%</w:t>
            </w:r>
            <w:r w:rsidR="00274C7E" w:rsidRPr="00274C7E">
              <w:rPr>
                <w:rFonts w:eastAsia="Times New Roman"/>
              </w:rPr>
              <w:t>*</w:t>
            </w:r>
            <w:r w:rsidRPr="00274C7E">
              <w:rPr>
                <w:rFonts w:eastAsia="Times New Roman"/>
              </w:rPr>
              <w:t> </w:t>
            </w:r>
          </w:p>
        </w:tc>
        <w:tc>
          <w:tcPr>
            <w:tcW w:w="1683" w:type="dxa"/>
            <w:tcBorders>
              <w:top w:val="nil"/>
              <w:left w:val="nil"/>
              <w:bottom w:val="single" w:sz="8" w:space="0" w:color="auto"/>
              <w:right w:val="nil"/>
            </w:tcBorders>
            <w:shd w:val="clear" w:color="auto" w:fill="auto"/>
            <w:noWrap/>
            <w:vAlign w:val="center"/>
            <w:hideMark/>
          </w:tcPr>
          <w:p w14:paraId="66883C11" w14:textId="77777777" w:rsidR="003928C4" w:rsidRPr="00274C7E" w:rsidRDefault="003928C4" w:rsidP="00962A17">
            <w:pPr>
              <w:spacing w:line="240" w:lineRule="auto"/>
              <w:jc w:val="center"/>
              <w:rPr>
                <w:rFonts w:eastAsia="Times New Roman"/>
              </w:rPr>
            </w:pPr>
            <w:r w:rsidRPr="00274C7E">
              <w:rPr>
                <w:rFonts w:eastAsia="Times New Roman"/>
              </w:rPr>
              <w:t>6%</w:t>
            </w:r>
            <w:r w:rsidR="00274C7E" w:rsidRPr="00274C7E">
              <w:rPr>
                <w:rFonts w:eastAsia="Times New Roman"/>
              </w:rPr>
              <w:t>*</w:t>
            </w:r>
          </w:p>
        </w:tc>
        <w:tc>
          <w:tcPr>
            <w:tcW w:w="1683" w:type="dxa"/>
            <w:tcBorders>
              <w:top w:val="nil"/>
              <w:left w:val="nil"/>
              <w:bottom w:val="single" w:sz="8" w:space="0" w:color="auto"/>
              <w:right w:val="nil"/>
            </w:tcBorders>
            <w:shd w:val="clear" w:color="auto" w:fill="auto"/>
            <w:noWrap/>
            <w:vAlign w:val="center"/>
            <w:hideMark/>
          </w:tcPr>
          <w:p w14:paraId="1375358A" w14:textId="77777777" w:rsidR="003928C4" w:rsidRPr="00274C7E" w:rsidRDefault="003928C4" w:rsidP="00962A17">
            <w:pPr>
              <w:spacing w:line="240" w:lineRule="auto"/>
              <w:jc w:val="center"/>
              <w:rPr>
                <w:rFonts w:eastAsia="Times New Roman"/>
              </w:rPr>
            </w:pPr>
            <w:r w:rsidRPr="00274C7E">
              <w:rPr>
                <w:rFonts w:eastAsia="Times New Roman"/>
              </w:rPr>
              <w:t>13%</w:t>
            </w:r>
            <w:r w:rsidR="00274C7E" w:rsidRPr="00274C7E">
              <w:rPr>
                <w:rFonts w:eastAsia="Times New Roman"/>
              </w:rPr>
              <w:t>*</w:t>
            </w:r>
          </w:p>
        </w:tc>
        <w:tc>
          <w:tcPr>
            <w:tcW w:w="1292" w:type="dxa"/>
            <w:tcBorders>
              <w:top w:val="nil"/>
              <w:left w:val="nil"/>
              <w:bottom w:val="single" w:sz="8" w:space="0" w:color="auto"/>
              <w:right w:val="single" w:sz="4" w:space="0" w:color="auto"/>
            </w:tcBorders>
            <w:shd w:val="clear" w:color="auto" w:fill="auto"/>
            <w:noWrap/>
            <w:vAlign w:val="center"/>
            <w:hideMark/>
          </w:tcPr>
          <w:p w14:paraId="1293AF0D" w14:textId="77777777" w:rsidR="003928C4" w:rsidRPr="00274C7E" w:rsidRDefault="003928C4" w:rsidP="00962A17">
            <w:pPr>
              <w:spacing w:line="240" w:lineRule="auto"/>
              <w:jc w:val="center"/>
              <w:rPr>
                <w:rFonts w:eastAsia="Times New Roman"/>
                <w:b/>
                <w:bCs/>
              </w:rPr>
            </w:pPr>
            <w:r w:rsidRPr="00274C7E">
              <w:rPr>
                <w:rFonts w:eastAsia="Times New Roman"/>
                <w:b/>
                <w:bCs/>
              </w:rPr>
              <w:t>0,039</w:t>
            </w:r>
          </w:p>
        </w:tc>
      </w:tr>
      <w:tr w:rsidR="00DC477A" w:rsidRPr="00274C7E" w14:paraId="6564C970" w14:textId="77777777" w:rsidTr="003928C4">
        <w:trPr>
          <w:trHeight w:val="270"/>
        </w:trPr>
        <w:tc>
          <w:tcPr>
            <w:tcW w:w="2585" w:type="dxa"/>
            <w:tcBorders>
              <w:top w:val="nil"/>
              <w:left w:val="single" w:sz="4" w:space="0" w:color="auto"/>
              <w:bottom w:val="single" w:sz="8" w:space="0" w:color="auto"/>
              <w:right w:val="nil"/>
            </w:tcBorders>
            <w:shd w:val="clear" w:color="auto" w:fill="auto"/>
            <w:noWrap/>
            <w:vAlign w:val="bottom"/>
            <w:hideMark/>
          </w:tcPr>
          <w:p w14:paraId="4AD90F35" w14:textId="77777777" w:rsidR="003928C4" w:rsidRPr="00274C7E" w:rsidRDefault="003928C4" w:rsidP="00573EAC">
            <w:pPr>
              <w:spacing w:line="240" w:lineRule="auto"/>
              <w:rPr>
                <w:rFonts w:eastAsia="Times New Roman"/>
              </w:rPr>
            </w:pPr>
            <w:r w:rsidRPr="00274C7E">
              <w:rPr>
                <w:rFonts w:eastAsia="Times New Roman"/>
              </w:rPr>
              <w:t>Usage hours (h)</w:t>
            </w:r>
          </w:p>
        </w:tc>
        <w:tc>
          <w:tcPr>
            <w:tcW w:w="1684" w:type="dxa"/>
            <w:tcBorders>
              <w:top w:val="nil"/>
              <w:left w:val="nil"/>
              <w:bottom w:val="single" w:sz="8" w:space="0" w:color="auto"/>
              <w:right w:val="nil"/>
            </w:tcBorders>
            <w:shd w:val="clear" w:color="auto" w:fill="auto"/>
            <w:noWrap/>
            <w:vAlign w:val="center"/>
            <w:hideMark/>
          </w:tcPr>
          <w:p w14:paraId="04294A4F" w14:textId="77777777" w:rsidR="003928C4" w:rsidRPr="00274C7E" w:rsidRDefault="003928C4" w:rsidP="00962A17">
            <w:pPr>
              <w:spacing w:line="240" w:lineRule="auto"/>
              <w:jc w:val="center"/>
              <w:rPr>
                <w:rFonts w:eastAsia="Times New Roman"/>
              </w:rPr>
            </w:pPr>
            <w:r w:rsidRPr="00274C7E">
              <w:rPr>
                <w:rFonts w:eastAsia="Times New Roman"/>
              </w:rPr>
              <w:t>6,33±1,81</w:t>
            </w:r>
          </w:p>
        </w:tc>
        <w:tc>
          <w:tcPr>
            <w:tcW w:w="1683" w:type="dxa"/>
            <w:tcBorders>
              <w:top w:val="nil"/>
              <w:left w:val="nil"/>
              <w:bottom w:val="single" w:sz="8" w:space="0" w:color="auto"/>
              <w:right w:val="nil"/>
            </w:tcBorders>
            <w:shd w:val="clear" w:color="auto" w:fill="auto"/>
            <w:noWrap/>
            <w:vAlign w:val="center"/>
            <w:hideMark/>
          </w:tcPr>
          <w:p w14:paraId="3F147B50" w14:textId="77777777" w:rsidR="003928C4" w:rsidRPr="00274C7E" w:rsidRDefault="003928C4" w:rsidP="00962A17">
            <w:pPr>
              <w:spacing w:line="240" w:lineRule="auto"/>
              <w:jc w:val="center"/>
              <w:rPr>
                <w:rFonts w:eastAsia="Times New Roman"/>
              </w:rPr>
            </w:pPr>
            <w:r w:rsidRPr="00274C7E">
              <w:rPr>
                <w:rFonts w:eastAsia="Times New Roman"/>
              </w:rPr>
              <w:t>6,3±1,54</w:t>
            </w:r>
          </w:p>
        </w:tc>
        <w:tc>
          <w:tcPr>
            <w:tcW w:w="1683" w:type="dxa"/>
            <w:tcBorders>
              <w:top w:val="nil"/>
              <w:left w:val="nil"/>
              <w:bottom w:val="single" w:sz="8" w:space="0" w:color="auto"/>
              <w:right w:val="nil"/>
            </w:tcBorders>
            <w:shd w:val="clear" w:color="auto" w:fill="auto"/>
            <w:noWrap/>
            <w:vAlign w:val="center"/>
            <w:hideMark/>
          </w:tcPr>
          <w:p w14:paraId="0FCB71E6" w14:textId="77777777" w:rsidR="003928C4" w:rsidRPr="00274C7E" w:rsidRDefault="003928C4" w:rsidP="00962A17">
            <w:pPr>
              <w:spacing w:line="240" w:lineRule="auto"/>
              <w:jc w:val="center"/>
              <w:rPr>
                <w:rFonts w:eastAsia="Times New Roman"/>
              </w:rPr>
            </w:pPr>
            <w:r w:rsidRPr="00274C7E">
              <w:rPr>
                <w:rFonts w:eastAsia="Times New Roman"/>
              </w:rPr>
              <w:t>6,40±1,85</w:t>
            </w:r>
          </w:p>
        </w:tc>
        <w:tc>
          <w:tcPr>
            <w:tcW w:w="1292" w:type="dxa"/>
            <w:tcBorders>
              <w:top w:val="nil"/>
              <w:left w:val="nil"/>
              <w:bottom w:val="single" w:sz="8" w:space="0" w:color="auto"/>
              <w:right w:val="single" w:sz="4" w:space="0" w:color="auto"/>
            </w:tcBorders>
            <w:shd w:val="clear" w:color="auto" w:fill="auto"/>
            <w:noWrap/>
            <w:vAlign w:val="center"/>
            <w:hideMark/>
          </w:tcPr>
          <w:p w14:paraId="0ADD4320" w14:textId="77777777" w:rsidR="003928C4" w:rsidRPr="00274C7E" w:rsidRDefault="003928C4" w:rsidP="00962A17">
            <w:pPr>
              <w:spacing w:line="240" w:lineRule="auto"/>
              <w:jc w:val="center"/>
              <w:rPr>
                <w:rFonts w:eastAsia="Times New Roman"/>
              </w:rPr>
            </w:pPr>
            <w:r w:rsidRPr="00274C7E">
              <w:rPr>
                <w:rFonts w:eastAsia="Times New Roman"/>
              </w:rPr>
              <w:t>0,795</w:t>
            </w:r>
          </w:p>
        </w:tc>
      </w:tr>
      <w:tr w:rsidR="00DC477A" w:rsidRPr="00274C7E" w14:paraId="337036AF" w14:textId="77777777" w:rsidTr="003928C4">
        <w:trPr>
          <w:trHeight w:val="270"/>
        </w:trPr>
        <w:tc>
          <w:tcPr>
            <w:tcW w:w="2585" w:type="dxa"/>
            <w:tcBorders>
              <w:top w:val="nil"/>
              <w:left w:val="single" w:sz="4" w:space="0" w:color="auto"/>
              <w:bottom w:val="single" w:sz="8" w:space="0" w:color="auto"/>
              <w:right w:val="nil"/>
            </w:tcBorders>
            <w:shd w:val="clear" w:color="auto" w:fill="auto"/>
            <w:noWrap/>
            <w:vAlign w:val="bottom"/>
            <w:hideMark/>
          </w:tcPr>
          <w:p w14:paraId="6690AAF9" w14:textId="77777777" w:rsidR="003928C4" w:rsidRPr="00274C7E" w:rsidRDefault="003928C4" w:rsidP="00573EAC">
            <w:pPr>
              <w:spacing w:line="240" w:lineRule="auto"/>
              <w:rPr>
                <w:rFonts w:eastAsia="Times New Roman"/>
              </w:rPr>
            </w:pPr>
            <w:r w:rsidRPr="00274C7E">
              <w:rPr>
                <w:rFonts w:eastAsia="Times New Roman"/>
              </w:rPr>
              <w:t>Adherence (%)</w:t>
            </w:r>
          </w:p>
        </w:tc>
        <w:tc>
          <w:tcPr>
            <w:tcW w:w="1684" w:type="dxa"/>
            <w:tcBorders>
              <w:top w:val="nil"/>
              <w:left w:val="nil"/>
              <w:bottom w:val="single" w:sz="8" w:space="0" w:color="auto"/>
              <w:right w:val="nil"/>
            </w:tcBorders>
            <w:shd w:val="clear" w:color="auto" w:fill="auto"/>
            <w:noWrap/>
            <w:vAlign w:val="center"/>
            <w:hideMark/>
          </w:tcPr>
          <w:p w14:paraId="56FBF1C4" w14:textId="77777777" w:rsidR="003928C4" w:rsidRPr="00274C7E" w:rsidRDefault="003928C4" w:rsidP="00962A17">
            <w:pPr>
              <w:spacing w:line="240" w:lineRule="auto"/>
              <w:jc w:val="center"/>
              <w:rPr>
                <w:rFonts w:eastAsia="Times New Roman"/>
              </w:rPr>
            </w:pPr>
            <w:r w:rsidRPr="00274C7E">
              <w:rPr>
                <w:rFonts w:eastAsia="Times New Roman"/>
              </w:rPr>
              <w:t>85,91±19,58</w:t>
            </w:r>
          </w:p>
        </w:tc>
        <w:tc>
          <w:tcPr>
            <w:tcW w:w="1683" w:type="dxa"/>
            <w:tcBorders>
              <w:top w:val="nil"/>
              <w:left w:val="nil"/>
              <w:bottom w:val="single" w:sz="8" w:space="0" w:color="auto"/>
              <w:right w:val="nil"/>
            </w:tcBorders>
            <w:shd w:val="clear" w:color="auto" w:fill="auto"/>
            <w:noWrap/>
            <w:vAlign w:val="center"/>
            <w:hideMark/>
          </w:tcPr>
          <w:p w14:paraId="1A76C7D8" w14:textId="77777777" w:rsidR="003928C4" w:rsidRPr="00274C7E" w:rsidRDefault="003928C4" w:rsidP="00962A17">
            <w:pPr>
              <w:spacing w:line="240" w:lineRule="auto"/>
              <w:jc w:val="center"/>
              <w:rPr>
                <w:rFonts w:eastAsia="Times New Roman"/>
              </w:rPr>
            </w:pPr>
            <w:r w:rsidRPr="00274C7E">
              <w:rPr>
                <w:rFonts w:eastAsia="Times New Roman"/>
              </w:rPr>
              <w:t>89,74±15,68</w:t>
            </w:r>
          </w:p>
        </w:tc>
        <w:tc>
          <w:tcPr>
            <w:tcW w:w="1683" w:type="dxa"/>
            <w:tcBorders>
              <w:top w:val="nil"/>
              <w:left w:val="nil"/>
              <w:bottom w:val="single" w:sz="8" w:space="0" w:color="auto"/>
              <w:right w:val="nil"/>
            </w:tcBorders>
            <w:shd w:val="clear" w:color="auto" w:fill="auto"/>
            <w:noWrap/>
            <w:vAlign w:val="center"/>
            <w:hideMark/>
          </w:tcPr>
          <w:p w14:paraId="59DD6290" w14:textId="77777777" w:rsidR="003928C4" w:rsidRPr="00274C7E" w:rsidRDefault="003928C4" w:rsidP="00962A17">
            <w:pPr>
              <w:spacing w:line="240" w:lineRule="auto"/>
              <w:jc w:val="center"/>
              <w:rPr>
                <w:rFonts w:eastAsia="Times New Roman"/>
              </w:rPr>
            </w:pPr>
            <w:r w:rsidRPr="00274C7E">
              <w:rPr>
                <w:rFonts w:eastAsia="Times New Roman"/>
              </w:rPr>
              <w:t>87,54±19,00</w:t>
            </w:r>
          </w:p>
        </w:tc>
        <w:tc>
          <w:tcPr>
            <w:tcW w:w="1292" w:type="dxa"/>
            <w:tcBorders>
              <w:top w:val="nil"/>
              <w:left w:val="nil"/>
              <w:bottom w:val="single" w:sz="8" w:space="0" w:color="auto"/>
              <w:right w:val="single" w:sz="4" w:space="0" w:color="auto"/>
            </w:tcBorders>
            <w:shd w:val="clear" w:color="auto" w:fill="auto"/>
            <w:noWrap/>
            <w:vAlign w:val="center"/>
            <w:hideMark/>
          </w:tcPr>
          <w:p w14:paraId="1D1B17E4" w14:textId="77777777" w:rsidR="003928C4" w:rsidRPr="00274C7E" w:rsidRDefault="003928C4" w:rsidP="00962A17">
            <w:pPr>
              <w:spacing w:line="240" w:lineRule="auto"/>
              <w:jc w:val="center"/>
              <w:rPr>
                <w:rFonts w:eastAsia="Times New Roman"/>
              </w:rPr>
            </w:pPr>
            <w:r w:rsidRPr="00274C7E">
              <w:rPr>
                <w:rFonts w:eastAsia="Times New Roman"/>
              </w:rPr>
              <w:t>0,303</w:t>
            </w:r>
          </w:p>
        </w:tc>
      </w:tr>
      <w:tr w:rsidR="003928C4" w:rsidRPr="00274C7E" w14:paraId="00A61BAF" w14:textId="77777777" w:rsidTr="003928C4">
        <w:trPr>
          <w:trHeight w:val="260"/>
        </w:trPr>
        <w:tc>
          <w:tcPr>
            <w:tcW w:w="2585" w:type="dxa"/>
            <w:tcBorders>
              <w:top w:val="nil"/>
              <w:left w:val="single" w:sz="4" w:space="0" w:color="auto"/>
              <w:bottom w:val="single" w:sz="4" w:space="0" w:color="auto"/>
              <w:right w:val="nil"/>
            </w:tcBorders>
            <w:shd w:val="clear" w:color="auto" w:fill="auto"/>
            <w:noWrap/>
            <w:vAlign w:val="bottom"/>
            <w:hideMark/>
          </w:tcPr>
          <w:p w14:paraId="72EE9B88" w14:textId="77777777" w:rsidR="003928C4" w:rsidRPr="00274C7E" w:rsidRDefault="003928C4" w:rsidP="00573EAC">
            <w:pPr>
              <w:spacing w:line="240" w:lineRule="auto"/>
              <w:rPr>
                <w:rFonts w:eastAsia="Times New Roman"/>
              </w:rPr>
            </w:pPr>
            <w:r w:rsidRPr="00274C7E">
              <w:rPr>
                <w:rFonts w:eastAsia="Times New Roman"/>
              </w:rPr>
              <w:t>High leakage (%)</w:t>
            </w:r>
          </w:p>
        </w:tc>
        <w:tc>
          <w:tcPr>
            <w:tcW w:w="1684" w:type="dxa"/>
            <w:tcBorders>
              <w:top w:val="nil"/>
              <w:left w:val="nil"/>
              <w:bottom w:val="single" w:sz="4" w:space="0" w:color="auto"/>
              <w:right w:val="nil"/>
            </w:tcBorders>
            <w:shd w:val="clear" w:color="auto" w:fill="auto"/>
            <w:noWrap/>
            <w:vAlign w:val="center"/>
            <w:hideMark/>
          </w:tcPr>
          <w:p w14:paraId="46D1A6F1" w14:textId="77777777" w:rsidR="003928C4" w:rsidRPr="00274C7E" w:rsidRDefault="003928C4" w:rsidP="00962A17">
            <w:pPr>
              <w:spacing w:line="240" w:lineRule="auto"/>
              <w:jc w:val="center"/>
              <w:rPr>
                <w:rFonts w:eastAsia="Times New Roman"/>
              </w:rPr>
            </w:pPr>
            <w:r w:rsidRPr="00274C7E">
              <w:rPr>
                <w:rFonts w:eastAsia="Times New Roman"/>
              </w:rPr>
              <w:t>20% </w:t>
            </w:r>
          </w:p>
        </w:tc>
        <w:tc>
          <w:tcPr>
            <w:tcW w:w="1683" w:type="dxa"/>
            <w:tcBorders>
              <w:top w:val="nil"/>
              <w:left w:val="nil"/>
              <w:bottom w:val="single" w:sz="4" w:space="0" w:color="auto"/>
              <w:right w:val="nil"/>
            </w:tcBorders>
            <w:shd w:val="clear" w:color="auto" w:fill="auto"/>
            <w:noWrap/>
            <w:vAlign w:val="center"/>
            <w:hideMark/>
          </w:tcPr>
          <w:p w14:paraId="73FE532C" w14:textId="77777777" w:rsidR="003928C4" w:rsidRPr="00274C7E" w:rsidRDefault="003928C4" w:rsidP="00962A17">
            <w:pPr>
              <w:spacing w:line="240" w:lineRule="auto"/>
              <w:jc w:val="center"/>
              <w:rPr>
                <w:rFonts w:eastAsia="Times New Roman"/>
              </w:rPr>
            </w:pPr>
            <w:r w:rsidRPr="00274C7E">
              <w:rPr>
                <w:rFonts w:eastAsia="Times New Roman"/>
              </w:rPr>
              <w:t>20% </w:t>
            </w:r>
          </w:p>
        </w:tc>
        <w:tc>
          <w:tcPr>
            <w:tcW w:w="1683" w:type="dxa"/>
            <w:tcBorders>
              <w:top w:val="nil"/>
              <w:left w:val="nil"/>
              <w:bottom w:val="single" w:sz="4" w:space="0" w:color="auto"/>
              <w:right w:val="nil"/>
            </w:tcBorders>
            <w:shd w:val="clear" w:color="auto" w:fill="auto"/>
            <w:noWrap/>
            <w:vAlign w:val="center"/>
            <w:hideMark/>
          </w:tcPr>
          <w:p w14:paraId="7EC9C733" w14:textId="77777777" w:rsidR="003928C4" w:rsidRPr="00274C7E" w:rsidRDefault="003928C4" w:rsidP="00962A17">
            <w:pPr>
              <w:spacing w:line="240" w:lineRule="auto"/>
              <w:jc w:val="center"/>
              <w:rPr>
                <w:rFonts w:eastAsia="Times New Roman"/>
              </w:rPr>
            </w:pPr>
            <w:r w:rsidRPr="00274C7E">
              <w:rPr>
                <w:rFonts w:eastAsia="Times New Roman"/>
              </w:rPr>
              <w:t>29% </w:t>
            </w:r>
          </w:p>
        </w:tc>
        <w:tc>
          <w:tcPr>
            <w:tcW w:w="1292" w:type="dxa"/>
            <w:tcBorders>
              <w:top w:val="nil"/>
              <w:left w:val="nil"/>
              <w:bottom w:val="single" w:sz="4" w:space="0" w:color="auto"/>
              <w:right w:val="single" w:sz="4" w:space="0" w:color="auto"/>
            </w:tcBorders>
            <w:shd w:val="clear" w:color="auto" w:fill="auto"/>
            <w:noWrap/>
            <w:vAlign w:val="center"/>
            <w:hideMark/>
          </w:tcPr>
          <w:p w14:paraId="1DEBF86C" w14:textId="77777777" w:rsidR="003928C4" w:rsidRPr="00274C7E" w:rsidRDefault="003928C4" w:rsidP="00962A17">
            <w:pPr>
              <w:spacing w:line="240" w:lineRule="auto"/>
              <w:jc w:val="center"/>
              <w:rPr>
                <w:rFonts w:eastAsia="Times New Roman"/>
              </w:rPr>
            </w:pPr>
            <w:r w:rsidRPr="00274C7E">
              <w:rPr>
                <w:rFonts w:eastAsia="Times New Roman"/>
              </w:rPr>
              <w:t>0,176</w:t>
            </w:r>
          </w:p>
        </w:tc>
      </w:tr>
    </w:tbl>
    <w:p w14:paraId="7F80B0E2" w14:textId="77777777" w:rsidR="00274C7E" w:rsidRPr="00C65174" w:rsidRDefault="00274C7E" w:rsidP="00274C7E">
      <w:pPr>
        <w:rPr>
          <w:rFonts w:eastAsia="Calibri"/>
        </w:rPr>
      </w:pPr>
      <w:r w:rsidRPr="00C65174">
        <w:rPr>
          <w:rFonts w:eastAsia="Calibri"/>
        </w:rPr>
        <w:t>* Bonferroni post-hoc: Group C &gt; Group B = Group A</w:t>
      </w:r>
    </w:p>
    <w:p w14:paraId="0E6325C4" w14:textId="7616F295" w:rsidR="00912F70" w:rsidRDefault="00912F70" w:rsidP="00DE28E8">
      <w:pPr>
        <w:rPr>
          <w:rFonts w:eastAsia="Calibri"/>
          <w:b/>
          <w:bCs/>
        </w:rPr>
      </w:pPr>
      <w:r w:rsidRPr="00912F70">
        <w:rPr>
          <w:rFonts w:eastAsia="Calibri"/>
        </w:rPr>
        <w:t>A p-value less than 0.05 was marked in bold</w:t>
      </w:r>
    </w:p>
    <w:p w14:paraId="50D1810E" w14:textId="77777777" w:rsidR="00912F70" w:rsidRDefault="00912F70" w:rsidP="00DE28E8">
      <w:pPr>
        <w:rPr>
          <w:rFonts w:eastAsia="Calibri"/>
          <w:b/>
          <w:bCs/>
        </w:rPr>
      </w:pPr>
    </w:p>
    <w:p w14:paraId="17A4ED99" w14:textId="388751E1" w:rsidR="00DE28E8" w:rsidRPr="00274C7E" w:rsidRDefault="00DE28E8" w:rsidP="00DE28E8">
      <w:pPr>
        <w:rPr>
          <w:rFonts w:eastAsia="Calibri"/>
          <w:b/>
          <w:bCs/>
        </w:rPr>
      </w:pPr>
      <w:r w:rsidRPr="00274C7E">
        <w:rPr>
          <w:rFonts w:eastAsia="Calibri"/>
          <w:b/>
          <w:bCs/>
        </w:rPr>
        <w:lastRenderedPageBreak/>
        <w:t>Table S</w:t>
      </w:r>
      <w:r w:rsidR="00DC477A" w:rsidRPr="00274C7E">
        <w:rPr>
          <w:rFonts w:eastAsia="Calibri"/>
          <w:b/>
          <w:bCs/>
        </w:rPr>
        <w:t>6</w:t>
      </w:r>
      <w:r w:rsidRPr="00274C7E">
        <w:rPr>
          <w:rFonts w:eastAsia="Calibri"/>
          <w:b/>
          <w:bCs/>
        </w:rPr>
        <w:t xml:space="preserve"> - Comparison studies analyzed</w:t>
      </w:r>
    </w:p>
    <w:p w14:paraId="2D3BD363" w14:textId="77777777" w:rsidR="00DE28E8" w:rsidRPr="00274C7E" w:rsidRDefault="00B4316B" w:rsidP="00DE28E8">
      <w:pPr>
        <w:rPr>
          <w:bCs/>
          <w:lang w:val="en-US"/>
        </w:rPr>
      </w:pPr>
      <w:r w:rsidRPr="00274C7E">
        <w:rPr>
          <w:bCs/>
          <w:lang w:val="en-US"/>
        </w:rPr>
        <w:t>Studies were included in the analysis that compared the standard of care, included more than 100 patients, conducted retrospectively in real-life settings, studies with patients treated with CPAP for at least 1 year, as well as those that accepted treatment after CPAP titration, regardless of OSA severity.</w:t>
      </w:r>
    </w:p>
    <w:p w14:paraId="6B293768" w14:textId="77777777" w:rsidR="00B4316B" w:rsidRPr="00274C7E" w:rsidRDefault="00B4316B" w:rsidP="00DE28E8">
      <w:pPr>
        <w:rPr>
          <w:rFonts w:eastAsia="Calibri"/>
          <w:sz w:val="24"/>
          <w:szCs w:val="24"/>
          <w:highlight w:val="yellow"/>
        </w:rPr>
      </w:pPr>
    </w:p>
    <w:tbl>
      <w:tblPr>
        <w:tblW w:w="9464" w:type="dxa"/>
        <w:tblInd w:w="75" w:type="dxa"/>
        <w:tblCellMar>
          <w:left w:w="70" w:type="dxa"/>
          <w:right w:w="70" w:type="dxa"/>
        </w:tblCellMar>
        <w:tblLook w:val="04A0" w:firstRow="1" w:lastRow="0" w:firstColumn="1" w:lastColumn="0" w:noHBand="0" w:noVBand="1"/>
      </w:tblPr>
      <w:tblGrid>
        <w:gridCol w:w="1541"/>
        <w:gridCol w:w="1174"/>
        <w:gridCol w:w="1132"/>
        <w:gridCol w:w="960"/>
        <w:gridCol w:w="960"/>
        <w:gridCol w:w="960"/>
        <w:gridCol w:w="960"/>
        <w:gridCol w:w="960"/>
        <w:gridCol w:w="1564"/>
      </w:tblGrid>
      <w:tr w:rsidR="00DC477A" w:rsidRPr="00274C7E" w14:paraId="0E143905" w14:textId="77777777" w:rsidTr="00962A17">
        <w:trPr>
          <w:trHeight w:val="288"/>
        </w:trPr>
        <w:tc>
          <w:tcPr>
            <w:tcW w:w="1541" w:type="dxa"/>
            <w:vMerge w:val="restart"/>
            <w:tcBorders>
              <w:top w:val="single" w:sz="4" w:space="0" w:color="auto"/>
              <w:left w:val="single" w:sz="4" w:space="0" w:color="auto"/>
              <w:bottom w:val="single" w:sz="4" w:space="0" w:color="auto"/>
            </w:tcBorders>
            <w:shd w:val="clear" w:color="auto" w:fill="auto"/>
            <w:noWrap/>
            <w:vAlign w:val="center"/>
            <w:hideMark/>
          </w:tcPr>
          <w:p w14:paraId="273F84B2" w14:textId="77777777" w:rsidR="00DE28E8" w:rsidRPr="00274C7E" w:rsidRDefault="00DE28E8" w:rsidP="00962A17">
            <w:pPr>
              <w:rPr>
                <w:b/>
                <w:bCs/>
                <w:sz w:val="20"/>
                <w:szCs w:val="20"/>
              </w:rPr>
            </w:pPr>
            <w:r w:rsidRPr="00274C7E">
              <w:rPr>
                <w:b/>
                <w:bCs/>
                <w:sz w:val="20"/>
                <w:szCs w:val="20"/>
              </w:rPr>
              <w:t>Study</w:t>
            </w:r>
          </w:p>
        </w:tc>
        <w:tc>
          <w:tcPr>
            <w:tcW w:w="1073" w:type="dxa"/>
            <w:vMerge w:val="restart"/>
            <w:tcBorders>
              <w:top w:val="single" w:sz="4" w:space="0" w:color="auto"/>
              <w:bottom w:val="single" w:sz="4" w:space="0" w:color="auto"/>
            </w:tcBorders>
            <w:shd w:val="clear" w:color="auto" w:fill="auto"/>
            <w:noWrap/>
            <w:vAlign w:val="center"/>
            <w:hideMark/>
          </w:tcPr>
          <w:p w14:paraId="4AD27A81" w14:textId="77777777" w:rsidR="00DE28E8" w:rsidRPr="00274C7E" w:rsidRDefault="00DE28E8" w:rsidP="00962A17">
            <w:pPr>
              <w:rPr>
                <w:b/>
                <w:bCs/>
                <w:sz w:val="20"/>
                <w:szCs w:val="20"/>
              </w:rPr>
            </w:pPr>
            <w:r w:rsidRPr="00274C7E">
              <w:rPr>
                <w:b/>
                <w:bCs/>
                <w:sz w:val="20"/>
                <w:szCs w:val="20"/>
              </w:rPr>
              <w:t>Country</w:t>
            </w:r>
          </w:p>
        </w:tc>
        <w:tc>
          <w:tcPr>
            <w:tcW w:w="977" w:type="dxa"/>
            <w:vMerge w:val="restart"/>
            <w:tcBorders>
              <w:top w:val="single" w:sz="4" w:space="0" w:color="auto"/>
              <w:bottom w:val="single" w:sz="4" w:space="0" w:color="auto"/>
              <w:right w:val="single" w:sz="4" w:space="0" w:color="auto"/>
            </w:tcBorders>
            <w:shd w:val="clear" w:color="auto" w:fill="auto"/>
            <w:noWrap/>
            <w:vAlign w:val="center"/>
            <w:hideMark/>
          </w:tcPr>
          <w:p w14:paraId="07B2788A" w14:textId="77777777" w:rsidR="00DE28E8" w:rsidRPr="00274C7E" w:rsidRDefault="00DE28E8" w:rsidP="00962A17">
            <w:pPr>
              <w:rPr>
                <w:b/>
                <w:bCs/>
                <w:sz w:val="20"/>
                <w:szCs w:val="20"/>
              </w:rPr>
            </w:pPr>
            <w:r w:rsidRPr="00274C7E">
              <w:rPr>
                <w:b/>
                <w:bCs/>
                <w:sz w:val="20"/>
                <w:szCs w:val="20"/>
              </w:rPr>
              <w:t>N°patients</w:t>
            </w:r>
          </w:p>
        </w:tc>
        <w:tc>
          <w:tcPr>
            <w:tcW w:w="4800" w:type="dxa"/>
            <w:gridSpan w:val="5"/>
            <w:tcBorders>
              <w:top w:val="single" w:sz="4" w:space="0" w:color="auto"/>
              <w:left w:val="single" w:sz="4" w:space="0" w:color="auto"/>
              <w:right w:val="single" w:sz="4" w:space="0" w:color="auto"/>
            </w:tcBorders>
            <w:shd w:val="clear" w:color="auto" w:fill="auto"/>
            <w:noWrap/>
            <w:vAlign w:val="center"/>
            <w:hideMark/>
          </w:tcPr>
          <w:p w14:paraId="64C6F928" w14:textId="77777777" w:rsidR="00DE28E8" w:rsidRPr="00274C7E" w:rsidRDefault="00DE28E8" w:rsidP="00962A17">
            <w:pPr>
              <w:jc w:val="center"/>
              <w:rPr>
                <w:b/>
                <w:bCs/>
                <w:sz w:val="20"/>
                <w:szCs w:val="20"/>
              </w:rPr>
            </w:pPr>
            <w:r w:rsidRPr="00274C7E">
              <w:rPr>
                <w:b/>
                <w:bCs/>
                <w:sz w:val="20"/>
                <w:szCs w:val="20"/>
              </w:rPr>
              <w:t>Year follow-up</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1681F" w14:textId="77777777" w:rsidR="00DE28E8" w:rsidRPr="00274C7E" w:rsidRDefault="00DE28E8" w:rsidP="00962A17">
            <w:pPr>
              <w:rPr>
                <w:b/>
                <w:bCs/>
                <w:sz w:val="20"/>
                <w:szCs w:val="20"/>
                <w:lang w:val="en-US"/>
              </w:rPr>
            </w:pPr>
            <w:r w:rsidRPr="00274C7E">
              <w:rPr>
                <w:b/>
                <w:bCs/>
                <w:sz w:val="20"/>
                <w:szCs w:val="20"/>
                <w:lang w:val="en-US"/>
              </w:rPr>
              <w:t>Definition of “non CPAP-adherence”</w:t>
            </w:r>
          </w:p>
        </w:tc>
      </w:tr>
      <w:tr w:rsidR="00DC477A" w:rsidRPr="00274C7E" w14:paraId="662CC558" w14:textId="77777777" w:rsidTr="00962A17">
        <w:trPr>
          <w:trHeight w:val="288"/>
        </w:trPr>
        <w:tc>
          <w:tcPr>
            <w:tcW w:w="1541" w:type="dxa"/>
            <w:vMerge/>
            <w:tcBorders>
              <w:left w:val="single" w:sz="4" w:space="0" w:color="auto"/>
              <w:bottom w:val="single" w:sz="4" w:space="0" w:color="auto"/>
            </w:tcBorders>
            <w:vAlign w:val="center"/>
            <w:hideMark/>
          </w:tcPr>
          <w:p w14:paraId="38DC1A6E" w14:textId="77777777" w:rsidR="00DE28E8" w:rsidRPr="00274C7E" w:rsidRDefault="00DE28E8" w:rsidP="00962A17">
            <w:pPr>
              <w:rPr>
                <w:b/>
                <w:bCs/>
                <w:sz w:val="20"/>
                <w:szCs w:val="20"/>
                <w:lang w:val="en-US"/>
              </w:rPr>
            </w:pPr>
          </w:p>
        </w:tc>
        <w:tc>
          <w:tcPr>
            <w:tcW w:w="1073" w:type="dxa"/>
            <w:vMerge/>
            <w:tcBorders>
              <w:bottom w:val="single" w:sz="4" w:space="0" w:color="auto"/>
            </w:tcBorders>
            <w:vAlign w:val="center"/>
            <w:hideMark/>
          </w:tcPr>
          <w:p w14:paraId="6EEECED7" w14:textId="77777777" w:rsidR="00DE28E8" w:rsidRPr="00274C7E" w:rsidRDefault="00DE28E8" w:rsidP="00962A17">
            <w:pPr>
              <w:rPr>
                <w:b/>
                <w:bCs/>
                <w:sz w:val="20"/>
                <w:szCs w:val="20"/>
                <w:lang w:val="en-US"/>
              </w:rPr>
            </w:pPr>
          </w:p>
        </w:tc>
        <w:tc>
          <w:tcPr>
            <w:tcW w:w="977" w:type="dxa"/>
            <w:vMerge/>
            <w:tcBorders>
              <w:bottom w:val="single" w:sz="4" w:space="0" w:color="auto"/>
              <w:right w:val="single" w:sz="4" w:space="0" w:color="auto"/>
            </w:tcBorders>
            <w:vAlign w:val="center"/>
            <w:hideMark/>
          </w:tcPr>
          <w:p w14:paraId="5A8208FD" w14:textId="77777777" w:rsidR="00DE28E8" w:rsidRPr="00274C7E" w:rsidRDefault="00DE28E8" w:rsidP="00962A17">
            <w:pPr>
              <w:rPr>
                <w:b/>
                <w:bCs/>
                <w:sz w:val="20"/>
                <w:szCs w:val="20"/>
                <w:lang w:val="en-US"/>
              </w:rPr>
            </w:pPr>
          </w:p>
        </w:tc>
        <w:tc>
          <w:tcPr>
            <w:tcW w:w="960" w:type="dxa"/>
            <w:tcBorders>
              <w:left w:val="single" w:sz="4" w:space="0" w:color="auto"/>
              <w:bottom w:val="single" w:sz="4" w:space="0" w:color="auto"/>
            </w:tcBorders>
            <w:shd w:val="clear" w:color="auto" w:fill="auto"/>
            <w:noWrap/>
            <w:vAlign w:val="center"/>
            <w:hideMark/>
          </w:tcPr>
          <w:p w14:paraId="499FA78E" w14:textId="77777777" w:rsidR="00DE28E8" w:rsidRPr="00274C7E" w:rsidRDefault="00DE28E8" w:rsidP="00962A17">
            <w:pPr>
              <w:jc w:val="center"/>
              <w:rPr>
                <w:b/>
                <w:bCs/>
                <w:sz w:val="20"/>
                <w:szCs w:val="20"/>
              </w:rPr>
            </w:pPr>
            <w:r w:rsidRPr="00274C7E">
              <w:rPr>
                <w:b/>
                <w:bCs/>
                <w:sz w:val="20"/>
                <w:szCs w:val="20"/>
              </w:rPr>
              <w:t>1</w:t>
            </w:r>
          </w:p>
        </w:tc>
        <w:tc>
          <w:tcPr>
            <w:tcW w:w="960" w:type="dxa"/>
            <w:tcBorders>
              <w:bottom w:val="single" w:sz="4" w:space="0" w:color="auto"/>
            </w:tcBorders>
            <w:shd w:val="clear" w:color="auto" w:fill="auto"/>
            <w:noWrap/>
            <w:vAlign w:val="center"/>
            <w:hideMark/>
          </w:tcPr>
          <w:p w14:paraId="0CEBBDAB" w14:textId="77777777" w:rsidR="00DE28E8" w:rsidRPr="00274C7E" w:rsidRDefault="00DE28E8" w:rsidP="00962A17">
            <w:pPr>
              <w:jc w:val="center"/>
              <w:rPr>
                <w:b/>
                <w:bCs/>
                <w:sz w:val="20"/>
                <w:szCs w:val="20"/>
              </w:rPr>
            </w:pPr>
            <w:r w:rsidRPr="00274C7E">
              <w:rPr>
                <w:b/>
                <w:bCs/>
                <w:sz w:val="20"/>
                <w:szCs w:val="20"/>
              </w:rPr>
              <w:t>2</w:t>
            </w:r>
          </w:p>
        </w:tc>
        <w:tc>
          <w:tcPr>
            <w:tcW w:w="960" w:type="dxa"/>
            <w:tcBorders>
              <w:bottom w:val="single" w:sz="4" w:space="0" w:color="auto"/>
            </w:tcBorders>
            <w:shd w:val="clear" w:color="auto" w:fill="auto"/>
            <w:noWrap/>
            <w:vAlign w:val="center"/>
            <w:hideMark/>
          </w:tcPr>
          <w:p w14:paraId="4AD7FCBF" w14:textId="77777777" w:rsidR="00DE28E8" w:rsidRPr="00274C7E" w:rsidRDefault="00DE28E8" w:rsidP="00962A17">
            <w:pPr>
              <w:jc w:val="center"/>
              <w:rPr>
                <w:b/>
                <w:bCs/>
                <w:sz w:val="20"/>
                <w:szCs w:val="20"/>
              </w:rPr>
            </w:pPr>
            <w:r w:rsidRPr="00274C7E">
              <w:rPr>
                <w:b/>
                <w:bCs/>
                <w:sz w:val="20"/>
                <w:szCs w:val="20"/>
              </w:rPr>
              <w:t>3</w:t>
            </w:r>
          </w:p>
        </w:tc>
        <w:tc>
          <w:tcPr>
            <w:tcW w:w="960" w:type="dxa"/>
            <w:tcBorders>
              <w:bottom w:val="single" w:sz="4" w:space="0" w:color="auto"/>
            </w:tcBorders>
            <w:shd w:val="clear" w:color="auto" w:fill="auto"/>
            <w:noWrap/>
            <w:vAlign w:val="center"/>
            <w:hideMark/>
          </w:tcPr>
          <w:p w14:paraId="5B080AFE" w14:textId="77777777" w:rsidR="00DE28E8" w:rsidRPr="00274C7E" w:rsidRDefault="00DE28E8" w:rsidP="00962A17">
            <w:pPr>
              <w:jc w:val="center"/>
              <w:rPr>
                <w:b/>
                <w:bCs/>
                <w:sz w:val="20"/>
                <w:szCs w:val="20"/>
              </w:rPr>
            </w:pPr>
            <w:r w:rsidRPr="00274C7E">
              <w:rPr>
                <w:b/>
                <w:bCs/>
                <w:sz w:val="20"/>
                <w:szCs w:val="20"/>
              </w:rPr>
              <w:t>4</w:t>
            </w:r>
          </w:p>
        </w:tc>
        <w:tc>
          <w:tcPr>
            <w:tcW w:w="960" w:type="dxa"/>
            <w:tcBorders>
              <w:bottom w:val="single" w:sz="4" w:space="0" w:color="auto"/>
              <w:right w:val="single" w:sz="4" w:space="0" w:color="auto"/>
            </w:tcBorders>
            <w:shd w:val="clear" w:color="auto" w:fill="auto"/>
            <w:noWrap/>
            <w:vAlign w:val="center"/>
            <w:hideMark/>
          </w:tcPr>
          <w:p w14:paraId="5E9AA9C8" w14:textId="77777777" w:rsidR="00DE28E8" w:rsidRPr="00274C7E" w:rsidRDefault="00DE28E8" w:rsidP="00962A17">
            <w:pPr>
              <w:jc w:val="center"/>
              <w:rPr>
                <w:b/>
                <w:bCs/>
                <w:sz w:val="20"/>
                <w:szCs w:val="20"/>
              </w:rPr>
            </w:pPr>
            <w:r w:rsidRPr="00274C7E">
              <w:rPr>
                <w:b/>
                <w:bCs/>
                <w:sz w:val="20"/>
                <w:szCs w:val="20"/>
              </w:rPr>
              <w:t>5</w:t>
            </w:r>
          </w:p>
        </w:tc>
        <w:tc>
          <w:tcPr>
            <w:tcW w:w="1073" w:type="dxa"/>
            <w:vMerge/>
            <w:tcBorders>
              <w:left w:val="single" w:sz="4" w:space="0" w:color="auto"/>
              <w:bottom w:val="single" w:sz="4" w:space="0" w:color="auto"/>
              <w:right w:val="single" w:sz="4" w:space="0" w:color="auto"/>
            </w:tcBorders>
            <w:vAlign w:val="center"/>
            <w:hideMark/>
          </w:tcPr>
          <w:p w14:paraId="6E7052FE" w14:textId="77777777" w:rsidR="00DE28E8" w:rsidRPr="00274C7E" w:rsidRDefault="00DE28E8" w:rsidP="00962A17">
            <w:pPr>
              <w:rPr>
                <w:sz w:val="20"/>
                <w:szCs w:val="20"/>
              </w:rPr>
            </w:pPr>
          </w:p>
        </w:tc>
      </w:tr>
      <w:tr w:rsidR="00DC477A" w:rsidRPr="00274C7E" w14:paraId="4CF3126F"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5E9BB089" w14:textId="77777777" w:rsidR="00DE28E8" w:rsidRPr="00274C7E" w:rsidRDefault="00DE28E8" w:rsidP="00962A17">
            <w:pPr>
              <w:rPr>
                <w:sz w:val="20"/>
                <w:szCs w:val="20"/>
              </w:rPr>
            </w:pPr>
            <w:r w:rsidRPr="00274C7E">
              <w:rPr>
                <w:sz w:val="20"/>
                <w:szCs w:val="20"/>
              </w:rPr>
              <w:t xml:space="preserve">Morrone et al. </w:t>
            </w:r>
            <w:r w:rsidR="00FD520D" w:rsidRPr="00274C7E">
              <w:rPr>
                <w:sz w:val="20"/>
                <w:szCs w:val="20"/>
              </w:rPr>
              <w:fldChar w:fldCharType="begin"/>
            </w:r>
            <w:r w:rsidRPr="00274C7E">
              <w:rPr>
                <w:sz w:val="20"/>
                <w:szCs w:val="20"/>
              </w:rPr>
              <w:instrText xml:space="preserve"> ADDIN ZOTERO_ITEM CSL_CITATION {"citationID":"JlKAz1gd","properties":{"formattedCitation":"[1]","plainCitation":"[1]","noteIndex":0},"citationItems":[{"id":491,"uris":["http://zotero.org/users/13024435/items/U3I9VFFF"],"itemData":{"id":491,"type":"article-journal","abstract":"Tweetable abstract @ERSpublications\nclick to tweetAdherence to CPAP therapy is effective when applying a standard protocol consisting of a diagnostic procedure, accurate pressure setting and mask choice, a group educational session on sleep disorders and 1-yr follow up visit http://bit.ly/352XPBH","container-title":"European Respiratory Journal","DOI":"10.1183/13993003.01419-2019","ISSN":"0903-1936, 1399-3003","issue":"3","language":"en","license":"Copyright ©ERS 2020. https://www.ersjournals.com/user-licence","note":"publisher: European Respiratory Society\nsection: Agora\nPMID: 31806711","source":"erj.ersjournals.com","title":"Something is changing in adherence to CPAP therapy: real world data after 1 year of treatment in patients with obstructive sleep apnoea","title-short":"Something is changing in adherence to CPAP therapy","URL":"https://erj.ersjournals.com/content/55/3/1901419","volume":"55","author":[{"family":"Morrone","given":"Elisa"},{"family":"Giordano","given":"Andrea"},{"family":"Carli","given":"Sonia"},{"family":"Visca","given":"Dina"},{"family":"Rossato","given":"Fabio"},{"family":"Godio","given":"Massimo"},{"family":"Paracchini","given":"Elena"},{"family":"Rossi","given":"Sabrina"},{"family":"Balbi","given":"Bruno"},{"family":"Sacco","given":"Carlo"},{"family":"Braghiroli","given":"Alberto"}],"accessed":{"date-parts":[["2024",3,12]]},"issued":{"date-parts":[["2020",3,1]]}}}],"schema":"https://github.com/citation-style-language/schema/raw/master/csl-citation.json"} </w:instrText>
            </w:r>
            <w:r w:rsidR="00FD520D" w:rsidRPr="00274C7E">
              <w:rPr>
                <w:sz w:val="20"/>
                <w:szCs w:val="20"/>
              </w:rPr>
              <w:fldChar w:fldCharType="separate"/>
            </w:r>
            <w:r w:rsidRPr="00274C7E">
              <w:rPr>
                <w:sz w:val="20"/>
              </w:rPr>
              <w:t>[1]</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15D0635F" w14:textId="77777777" w:rsidR="00DE28E8" w:rsidRPr="00274C7E" w:rsidRDefault="00DE28E8" w:rsidP="00962A17">
            <w:pPr>
              <w:rPr>
                <w:sz w:val="20"/>
                <w:szCs w:val="20"/>
              </w:rPr>
            </w:pPr>
            <w:r w:rsidRPr="00274C7E">
              <w:rPr>
                <w:sz w:val="20"/>
                <w:szCs w:val="20"/>
              </w:rPr>
              <w:t>Italy</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7680E0B1" w14:textId="77777777" w:rsidR="00DE28E8" w:rsidRPr="00274C7E" w:rsidRDefault="00DE28E8" w:rsidP="00962A17">
            <w:pPr>
              <w:rPr>
                <w:sz w:val="20"/>
                <w:szCs w:val="20"/>
              </w:rPr>
            </w:pPr>
            <w:r w:rsidRPr="00274C7E">
              <w:rPr>
                <w:sz w:val="20"/>
                <w:szCs w:val="20"/>
              </w:rPr>
              <w:t>1,339</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4938D472" w14:textId="77777777" w:rsidR="00DE28E8" w:rsidRPr="00274C7E" w:rsidRDefault="00DE28E8" w:rsidP="00962A17">
            <w:pPr>
              <w:jc w:val="center"/>
              <w:rPr>
                <w:sz w:val="20"/>
                <w:szCs w:val="20"/>
              </w:rPr>
            </w:pPr>
            <w:r w:rsidRPr="00274C7E">
              <w:rPr>
                <w:sz w:val="20"/>
                <w:szCs w:val="20"/>
              </w:rPr>
              <w:t>78%</w:t>
            </w:r>
          </w:p>
        </w:tc>
        <w:tc>
          <w:tcPr>
            <w:tcW w:w="960" w:type="dxa"/>
            <w:tcBorders>
              <w:top w:val="single" w:sz="4" w:space="0" w:color="auto"/>
              <w:bottom w:val="single" w:sz="4" w:space="0" w:color="auto"/>
            </w:tcBorders>
            <w:shd w:val="clear" w:color="auto" w:fill="auto"/>
            <w:noWrap/>
            <w:vAlign w:val="bottom"/>
            <w:hideMark/>
          </w:tcPr>
          <w:p w14:paraId="243AF3DB"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04A9D541"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0266D70A"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3E54457E"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C8B8" w14:textId="77777777" w:rsidR="00DE28E8" w:rsidRPr="00274C7E" w:rsidRDefault="00DE28E8" w:rsidP="00962A17">
            <w:pPr>
              <w:rPr>
                <w:sz w:val="20"/>
                <w:szCs w:val="20"/>
              </w:rPr>
            </w:pPr>
            <w:r w:rsidRPr="00274C7E">
              <w:rPr>
                <w:sz w:val="20"/>
                <w:szCs w:val="20"/>
              </w:rPr>
              <w:t> &lt; 4 h·night</w:t>
            </w:r>
            <w:r w:rsidRPr="00274C7E">
              <w:rPr>
                <w:sz w:val="20"/>
                <w:szCs w:val="20"/>
                <w:vertAlign w:val="superscript"/>
              </w:rPr>
              <w:t>-1</w:t>
            </w:r>
          </w:p>
        </w:tc>
      </w:tr>
      <w:tr w:rsidR="00DC477A" w:rsidRPr="00274C7E" w14:paraId="4E69495C"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24171321" w14:textId="77777777" w:rsidR="00DE28E8" w:rsidRPr="00274C7E" w:rsidRDefault="00DE28E8" w:rsidP="00962A17">
            <w:pPr>
              <w:rPr>
                <w:sz w:val="20"/>
                <w:szCs w:val="20"/>
              </w:rPr>
            </w:pPr>
            <w:r w:rsidRPr="00274C7E">
              <w:rPr>
                <w:sz w:val="20"/>
                <w:szCs w:val="20"/>
              </w:rPr>
              <w:t xml:space="preserve">Tan et al. </w:t>
            </w:r>
            <w:r w:rsidR="00FD520D" w:rsidRPr="00274C7E">
              <w:rPr>
                <w:sz w:val="20"/>
                <w:szCs w:val="20"/>
              </w:rPr>
              <w:fldChar w:fldCharType="begin"/>
            </w:r>
            <w:r w:rsidRPr="00274C7E">
              <w:rPr>
                <w:sz w:val="20"/>
                <w:szCs w:val="20"/>
              </w:rPr>
              <w:instrText xml:space="preserve"> ADDIN ZOTERO_ITEM CSL_CITATION {"citationID":"fgHlEkxi","properties":{"formattedCitation":"[2]","plainCitation":"[2]","noteIndex":0},"citationItems":[{"id":498,"uris":["http://zotero.org/users/13024435/items/HT8LAQTQ"],"itemData":{"id":498,"type":"article-journal","abstract":"PURPOSE: To investigate the rates of Continuous Positive Airway Pressure (CPAP) uptake and adherence amongst Singaporean patients diagnosed with Obstructive Sleep Apnea (OSA), and to evaluate factors correlated with CPAP uptake and adherence.\nSTUDY DESIGN: Retrospective review of medical records.\nMETHODS: Medical records were reviewed for baseline demographics, daytime sleepiness, presence of nasal symptoms and OSA severity, initial treatment choice, the rate of CPAP treatment uptake and CPAP adherence at 1 and 12 months.\nRESULTS: 2160 patients were diagnosed with OSA within the 5-year period (2011-2015). 463 (21.4%) had mild OSA, 583 (27.0%) had moderate OSA and 1114 (51.6%) had severe OSA. For initial therapy, 751 (34.8%) patients opted for a 1-month CPAP trial, 288 (13.3%) patients chose surgery upfront, 291 (13.5%) patients chose adjunctive treatments (weight loss, positional therapy, dental appliance, intranasal steroid spray for allergic rhinitis) and 830 (38.4%) patients rejected all forms of treatment. 337 out of 751 patients (44.9%) were adherent to CPAP therapy during the 1 month trial. 381 out of 751 (50.7%) patients took up CPAP therapy following the trial period, of which 299 out of 381 (78.5%) patients were adherent to CPAP therapy at 1 year. CPAP adherence during the 1-month trial was a predictor for eventual CPAP treatment uptake and CPAP adherence at 1 year (p &lt; 0.001). Age (p &lt; 0.001), BMI (p &lt; 0.001) and normal ESS (p = 0.01) were predictors of treatment rejection. 24 patients underwent upper airway surgery during their first year of using CPAP. 21 out of the 24 patients (87.5%) were adherent to CPAP at 1 year after undergoing surgery. These patients had a higher rate of CPAP adherence compared to the overall cohort (87.5% versus 78.5%), but this was not statistically significant (p &gt; 0.05).\nCONCLUSION: Singaporean patients who accept CPAP therapy after an initial 1-month CPAP trial will generally be adherent to CPAP therapy. Initial patterns of CPAP usage are predictive of long term CPAP adherence. However, there is a high rate of CPAP treatment rejection both at the time of diagnosis and after the CPAP trial. Upper airway surgery in selected patients may improve CPAP adherence.","container-title":"American Journal of Otolaryngology","DOI":"10.1016/j.amjoto.2018.05.012","ISSN":"1532-818X","issue":"5","journalAbbreviation":"Am J Otolaryngol","language":"eng","note":"PMID: 29929863","page":"501-506","source":"PubMed","title":"Adherence to Continuous Positive Airway Pressure therapy in Singaporean patients with Obstructive Sleep Apnea","volume":"39","author":[{"family":"Tan","given":"Bernard"},{"family":"Tan","given":"Alvin"},{"family":"Chan","given":"Yiong Huak"},{"family":"Mok","given":"Yingjuan"},{"family":"Wong","given":"Hang Siang"},{"family":"Hsu","given":"Pon Poh"}],"issued":{"date-parts":[["2018"]]}}}],"schema":"https://github.com/citation-style-language/schema/raw/master/csl-citation.json"} </w:instrText>
            </w:r>
            <w:r w:rsidR="00FD520D" w:rsidRPr="00274C7E">
              <w:rPr>
                <w:sz w:val="20"/>
                <w:szCs w:val="20"/>
              </w:rPr>
              <w:fldChar w:fldCharType="separate"/>
            </w:r>
            <w:r w:rsidRPr="00274C7E">
              <w:rPr>
                <w:sz w:val="20"/>
              </w:rPr>
              <w:t>[2]</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2445948F" w14:textId="77777777" w:rsidR="00DE28E8" w:rsidRPr="00274C7E" w:rsidRDefault="00DE28E8" w:rsidP="00962A17">
            <w:pPr>
              <w:rPr>
                <w:sz w:val="20"/>
                <w:szCs w:val="20"/>
              </w:rPr>
            </w:pPr>
            <w:r w:rsidRPr="00274C7E">
              <w:rPr>
                <w:sz w:val="20"/>
                <w:szCs w:val="20"/>
              </w:rPr>
              <w:t>Singapore</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1C60F4F0" w14:textId="77777777" w:rsidR="00DE28E8" w:rsidRPr="00274C7E" w:rsidRDefault="00DE28E8" w:rsidP="00962A17">
            <w:pPr>
              <w:rPr>
                <w:sz w:val="20"/>
                <w:szCs w:val="20"/>
              </w:rPr>
            </w:pPr>
            <w:r w:rsidRPr="00274C7E">
              <w:rPr>
                <w:sz w:val="20"/>
                <w:szCs w:val="20"/>
              </w:rPr>
              <w:t>381</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4EA15D80" w14:textId="77777777" w:rsidR="00DE28E8" w:rsidRPr="00274C7E" w:rsidRDefault="00DE28E8" w:rsidP="00962A17">
            <w:pPr>
              <w:jc w:val="center"/>
              <w:rPr>
                <w:sz w:val="20"/>
                <w:szCs w:val="20"/>
              </w:rPr>
            </w:pPr>
            <w:r w:rsidRPr="00274C7E">
              <w:rPr>
                <w:sz w:val="20"/>
                <w:szCs w:val="20"/>
              </w:rPr>
              <w:t>78%</w:t>
            </w:r>
          </w:p>
        </w:tc>
        <w:tc>
          <w:tcPr>
            <w:tcW w:w="960" w:type="dxa"/>
            <w:tcBorders>
              <w:top w:val="single" w:sz="4" w:space="0" w:color="auto"/>
              <w:bottom w:val="single" w:sz="4" w:space="0" w:color="auto"/>
            </w:tcBorders>
            <w:shd w:val="clear" w:color="auto" w:fill="auto"/>
            <w:noWrap/>
            <w:vAlign w:val="bottom"/>
            <w:hideMark/>
          </w:tcPr>
          <w:p w14:paraId="1F8CC7D3"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76DAB8B3"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3FEC9D12"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735280B2"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1F9B" w14:textId="77777777" w:rsidR="00DE28E8" w:rsidRPr="00274C7E" w:rsidRDefault="00DE28E8" w:rsidP="00962A17">
            <w:pPr>
              <w:rPr>
                <w:sz w:val="20"/>
                <w:szCs w:val="20"/>
              </w:rPr>
            </w:pPr>
            <w:r w:rsidRPr="00274C7E">
              <w:rPr>
                <w:sz w:val="20"/>
                <w:szCs w:val="20"/>
              </w:rPr>
              <w:t>  &lt; 4 h·night</w:t>
            </w:r>
            <w:r w:rsidRPr="00274C7E">
              <w:rPr>
                <w:sz w:val="20"/>
                <w:szCs w:val="20"/>
                <w:vertAlign w:val="superscript"/>
              </w:rPr>
              <w:t>-1,</w:t>
            </w:r>
            <w:r w:rsidRPr="00274C7E">
              <w:rPr>
                <w:sz w:val="20"/>
                <w:szCs w:val="20"/>
              </w:rPr>
              <w:t xml:space="preserve"> 70% of nights</w:t>
            </w:r>
          </w:p>
        </w:tc>
      </w:tr>
      <w:tr w:rsidR="00DC477A" w:rsidRPr="00274C7E" w14:paraId="42AB63FA"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38303646" w14:textId="77777777" w:rsidR="00DE28E8" w:rsidRPr="00274C7E" w:rsidRDefault="00DE28E8" w:rsidP="00962A17">
            <w:pPr>
              <w:rPr>
                <w:sz w:val="20"/>
                <w:szCs w:val="20"/>
              </w:rPr>
            </w:pPr>
            <w:r w:rsidRPr="00274C7E">
              <w:rPr>
                <w:sz w:val="20"/>
                <w:szCs w:val="20"/>
              </w:rPr>
              <w:t>Jacobsen et al.</w:t>
            </w:r>
            <w:r w:rsidR="00FD520D" w:rsidRPr="00274C7E">
              <w:rPr>
                <w:sz w:val="20"/>
                <w:szCs w:val="20"/>
              </w:rPr>
              <w:fldChar w:fldCharType="begin"/>
            </w:r>
            <w:r w:rsidRPr="00274C7E">
              <w:rPr>
                <w:sz w:val="20"/>
                <w:szCs w:val="20"/>
              </w:rPr>
              <w:instrText xml:space="preserve"> ADDIN ZOTERO_ITEM CSL_CITATION {"citationID":"24FDXm7o","properties":{"formattedCitation":"[3]","plainCitation":"[3]","noteIndex":0},"citationItems":[{"id":500,"uris":["http://zotero.org/users/13024435/items/HXNG36TM"],"itemData":{"id":500,"type":"article-journal","abstract":"BACKGROUND: Continuous positive airway pressure (CPAP) therapy is an efficacious treatment for patients diagnosed with obstructive sleep apnea (OSA). However, there are only few data on long-term adherence. The aim of this study is to quantify the extent of non-adherence and describe the clinical characteristics.\nMETHODS: A retrospective study including 695 patients with newly diagnosed OSA and prescribed CPAP therapy within an inclusion period of 14 months. All patients were offered free of charge individually adjusted CPAP therapy. Data on comorbidity, medication, BMI and Epworth Sleepiness Score (ESS) were obtained by questionnaires and consultation with an otorhinolaryngeal specialist.\nRESULTS: The median follow-up time after initiating CPAP therapy was 3.0 (range 2.4-3.6) years. An adherence rate of 89% was found for severe OSA, 71% for moderate OSA and 55% for mild OSA. 18% initiated humidification. Patients adherent to CPAP had a significantly higher Body Mass Index (BMI), Apnea Hypopnea Index (AHI), Oxygen Desaturation Index (ODI) and ESS compared to non-adherent patients. Furthermore, adherence was associated with a higher frequency of observed interrupted breathing, a less frequent use of hypnotic drugs, fewer smokers, and they were more often offered humidification. Age, gender and comorbidity were not significantly associated with adherence. In a Cox model only AHI (Hazard Ratio (HR) 0.963, p &lt; 0.001), ESS (HR 0.939, p = 0.001) and smoking (HR 1.576, p = 0.022) were independently associated with CPAP non-adherence.\nCONCLUSIONS: The severity of OSA, subjective daytime sleepiness and smoking status are independently related to adherence to CPAP therapy.","container-title":"PloS One","DOI":"10.1371/journal.pone.0189614","ISSN":"1932-6203","issue":"12","journalAbbreviation":"PLoS One","language":"eng","note":"PMID: 29253872\nPMCID: PMC5734784","page":"e0189614","source":"PubMed","title":"Determinants for adherence to continuous positive airway pressure therapy in obstructive sleep apnea","volume":"12","author":[{"family":"Jacobsen","given":"Anne Roed"},{"family":"Eriksen","given":"Freja"},{"family":"Hansen","given":"Rasmus Würgler"},{"family":"Erlandsen","given":"Mogens"},{"family":"Thorup","given":"Line"},{"family":"Damgård","given":"Mette Bjerre"},{"family":"Kirkegaard","given":"Martin Glümer"},{"family":"Hansen","given":"Klavs Würgler"}],"issued":{"date-parts":[["2017"]]}}}],"schema":"https://github.com/citation-style-language/schema/raw/master/csl-citation.json"} </w:instrText>
            </w:r>
            <w:r w:rsidR="00FD520D" w:rsidRPr="00274C7E">
              <w:rPr>
                <w:sz w:val="20"/>
                <w:szCs w:val="20"/>
              </w:rPr>
              <w:fldChar w:fldCharType="separate"/>
            </w:r>
            <w:r w:rsidRPr="00274C7E">
              <w:rPr>
                <w:sz w:val="20"/>
              </w:rPr>
              <w:t>[3]</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2C9EEBD4" w14:textId="77777777" w:rsidR="00DE28E8" w:rsidRPr="00274C7E" w:rsidRDefault="00DE28E8" w:rsidP="00962A17">
            <w:pPr>
              <w:rPr>
                <w:sz w:val="20"/>
                <w:szCs w:val="20"/>
              </w:rPr>
            </w:pPr>
            <w:r w:rsidRPr="00274C7E">
              <w:rPr>
                <w:sz w:val="20"/>
                <w:szCs w:val="20"/>
              </w:rPr>
              <w:t> Denmark</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7C9FA08" w14:textId="77777777" w:rsidR="00DE28E8" w:rsidRPr="00274C7E" w:rsidRDefault="00DE28E8" w:rsidP="00962A17">
            <w:pPr>
              <w:rPr>
                <w:sz w:val="20"/>
                <w:szCs w:val="20"/>
              </w:rPr>
            </w:pPr>
            <w:r w:rsidRPr="00274C7E">
              <w:rPr>
                <w:sz w:val="20"/>
                <w:szCs w:val="20"/>
              </w:rPr>
              <w:t>666</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4A89F2D3" w14:textId="77777777" w:rsidR="00DE28E8" w:rsidRPr="00274C7E" w:rsidRDefault="00DE28E8" w:rsidP="00962A17">
            <w:pPr>
              <w:jc w:val="center"/>
              <w:rPr>
                <w:sz w:val="20"/>
                <w:szCs w:val="20"/>
              </w:rPr>
            </w:pPr>
            <w:r w:rsidRPr="00274C7E">
              <w:rPr>
                <w:sz w:val="20"/>
                <w:szCs w:val="20"/>
              </w:rPr>
              <w:t>79%</w:t>
            </w:r>
          </w:p>
        </w:tc>
        <w:tc>
          <w:tcPr>
            <w:tcW w:w="960" w:type="dxa"/>
            <w:tcBorders>
              <w:top w:val="single" w:sz="4" w:space="0" w:color="auto"/>
              <w:bottom w:val="single" w:sz="4" w:space="0" w:color="auto"/>
            </w:tcBorders>
            <w:shd w:val="clear" w:color="auto" w:fill="auto"/>
            <w:noWrap/>
            <w:vAlign w:val="bottom"/>
            <w:hideMark/>
          </w:tcPr>
          <w:p w14:paraId="29357467"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02BF4E8A"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0034C3AD"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03437887"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91C0" w14:textId="77777777" w:rsidR="00DE28E8" w:rsidRPr="00274C7E" w:rsidRDefault="00DE28E8" w:rsidP="00962A17">
            <w:pPr>
              <w:rPr>
                <w:sz w:val="20"/>
                <w:szCs w:val="20"/>
                <w:lang w:val="en-US"/>
              </w:rPr>
            </w:pPr>
            <w:r w:rsidRPr="00274C7E">
              <w:rPr>
                <w:sz w:val="20"/>
                <w:szCs w:val="20"/>
                <w:lang w:val="en-US"/>
              </w:rPr>
              <w:t> CPAP discontinuation for several causes</w:t>
            </w:r>
          </w:p>
        </w:tc>
      </w:tr>
      <w:tr w:rsidR="00DC477A" w:rsidRPr="00274C7E" w14:paraId="022E5B7F"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44274231" w14:textId="77777777" w:rsidR="00DE28E8" w:rsidRPr="00274C7E" w:rsidRDefault="00DE28E8" w:rsidP="00962A17">
            <w:pPr>
              <w:rPr>
                <w:sz w:val="20"/>
                <w:szCs w:val="20"/>
              </w:rPr>
            </w:pPr>
            <w:r w:rsidRPr="00274C7E">
              <w:rPr>
                <w:sz w:val="20"/>
                <w:szCs w:val="20"/>
              </w:rPr>
              <w:t>ALASKA</w:t>
            </w:r>
            <w:r w:rsidR="00FD520D" w:rsidRPr="00274C7E">
              <w:rPr>
                <w:sz w:val="20"/>
                <w:szCs w:val="20"/>
              </w:rPr>
              <w:fldChar w:fldCharType="begin"/>
            </w:r>
            <w:r w:rsidRPr="00274C7E">
              <w:rPr>
                <w:sz w:val="20"/>
                <w:szCs w:val="20"/>
              </w:rPr>
              <w:instrText xml:space="preserve"> ADDIN ZOTERO_ITEM CSL_CITATION {"citationID":"y2eSuaJA","properties":{"formattedCitation":"[4]","plainCitation":"[4]","noteIndex":0},"citationItems":[{"id":458,"uris":["http://zotero.org/users/13024435/items/IBK7E4I7"],"itemData":{"id":458,"type":"article-journal","abstract":"The nationwide claims data lake for sleep apnoea (ALASKA)-real-life data for understanding and increasing obstructive sleep apnea (OSA) quality of care study-investigated long-term continuous positive airway pressure (CPAP) termination rates, focusing on the contribution of comorbidities. The French national health insurance reimbursement system data for new CPAP users aged ≥18 years were analyzed. Innovative algorithms were used to determine the presence of specific comorbidities (hypertension, diabetes and chronic obstructive pulmonary disease (COPD)). Therapy termination was defined as cessation of CPAP reimbursements. A total of 480,000 patients were included (mean age 59.3 ± 13.6 years, 65.4% male). An amount of 50.7, 24.4 and 4.3% of patients, respectively, had hypertension, diabetes and COPD. Overall CPAP termination rates after 1, 2 and 3 years were 23.1, 37.1 and 47.7%, respectively. On multivariable analysis, age categories, female sex (1.09 (1.08-1.10) and COPD (1.12 (1.10-1.13)) and diabetes (1.18 (1.16-1.19)) were significantly associated with higher CPAP termination risk; patients with hypertension were more likely to continue using CPAP (hazard ratio 0.96 (95% confidence interval 0.95-0.97)). Therapy termination rates were highest in younger or older patients with ≥1 comorbidity. Comorbidities have an important influence on long-term CPAP continuation in patients with OSA.","container-title":"Journal of Clinical Medicine","DOI":"10.3390/jcm10050936","ISSN":"2077-0383","issue":"5","journalAbbreviation":"J Clin Med","language":"eng","note":"PMID: 33804319\nPMCID: PMC7957656","page":"936","source":"PubMed","title":"CPAP Therapy Termination Rates by OSA Phenotype: A French Nationwide Database Analysis","title-short":"CPAP Therapy Termination Rates by OSA Phenotype","volume":"10","author":[{"family":"Pépin","given":"Jean-Louis"},{"family":"Bailly","given":"Sébastien"},{"family":"Rinder","given":"Pierre"},{"family":"Adler","given":"Dan"},{"family":"Szeftel","given":"Daniel"},{"family":"Malhotra","given":"Atul"},{"family":"Cistulli","given":"Peter A."},{"family":"Benjafield","given":"Adam"},{"family":"Lavergne","given":"Florent"},{"family":"Josseran","given":"Anne"},{"family":"Tamisier","given":"Renaud"},{"family":"Hornus","given":"Pierre"},{"family":"On Behalf Of The medXcloud Group","given":"null"}],"issued":{"date-parts":[["2021",3,1]]}}}],"schema":"https://github.com/citation-style-language/schema/raw/master/csl-citation.json"} </w:instrText>
            </w:r>
            <w:r w:rsidR="00FD520D" w:rsidRPr="00274C7E">
              <w:rPr>
                <w:sz w:val="20"/>
                <w:szCs w:val="20"/>
              </w:rPr>
              <w:fldChar w:fldCharType="separate"/>
            </w:r>
            <w:r w:rsidRPr="00274C7E">
              <w:rPr>
                <w:sz w:val="20"/>
              </w:rPr>
              <w:t>[4]</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31231982" w14:textId="77777777" w:rsidR="00DE28E8" w:rsidRPr="00274C7E" w:rsidRDefault="00DE28E8" w:rsidP="00962A17">
            <w:pPr>
              <w:rPr>
                <w:sz w:val="20"/>
                <w:szCs w:val="20"/>
              </w:rPr>
            </w:pPr>
            <w:r w:rsidRPr="00274C7E">
              <w:rPr>
                <w:sz w:val="20"/>
                <w:szCs w:val="20"/>
              </w:rPr>
              <w:t>France</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2A96638C" w14:textId="77777777" w:rsidR="00DE28E8" w:rsidRPr="00274C7E" w:rsidRDefault="00DE28E8" w:rsidP="00962A17">
            <w:pPr>
              <w:rPr>
                <w:sz w:val="20"/>
                <w:szCs w:val="20"/>
              </w:rPr>
            </w:pPr>
            <w:r w:rsidRPr="00274C7E">
              <w:rPr>
                <w:sz w:val="20"/>
                <w:szCs w:val="20"/>
              </w:rPr>
              <w:t>480,000</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6675CB19" w14:textId="77777777" w:rsidR="00DE28E8" w:rsidRPr="00274C7E" w:rsidRDefault="00DE28E8" w:rsidP="00962A17">
            <w:pPr>
              <w:jc w:val="center"/>
              <w:rPr>
                <w:sz w:val="20"/>
                <w:szCs w:val="20"/>
              </w:rPr>
            </w:pPr>
            <w:r w:rsidRPr="00274C7E">
              <w:rPr>
                <w:sz w:val="20"/>
                <w:szCs w:val="20"/>
              </w:rPr>
              <w:t>77%</w:t>
            </w:r>
          </w:p>
        </w:tc>
        <w:tc>
          <w:tcPr>
            <w:tcW w:w="960" w:type="dxa"/>
            <w:tcBorders>
              <w:top w:val="single" w:sz="4" w:space="0" w:color="auto"/>
              <w:bottom w:val="single" w:sz="4" w:space="0" w:color="auto"/>
            </w:tcBorders>
            <w:shd w:val="clear" w:color="auto" w:fill="auto"/>
            <w:noWrap/>
            <w:vAlign w:val="bottom"/>
            <w:hideMark/>
          </w:tcPr>
          <w:p w14:paraId="4FFD64BC" w14:textId="77777777" w:rsidR="00DE28E8" w:rsidRPr="00274C7E" w:rsidRDefault="00DE28E8" w:rsidP="00962A17">
            <w:pPr>
              <w:jc w:val="center"/>
              <w:rPr>
                <w:sz w:val="20"/>
                <w:szCs w:val="20"/>
              </w:rPr>
            </w:pPr>
            <w:r w:rsidRPr="00274C7E">
              <w:rPr>
                <w:sz w:val="20"/>
                <w:szCs w:val="20"/>
              </w:rPr>
              <w:t>43%</w:t>
            </w:r>
          </w:p>
        </w:tc>
        <w:tc>
          <w:tcPr>
            <w:tcW w:w="960" w:type="dxa"/>
            <w:tcBorders>
              <w:top w:val="single" w:sz="4" w:space="0" w:color="auto"/>
              <w:bottom w:val="single" w:sz="4" w:space="0" w:color="auto"/>
            </w:tcBorders>
            <w:shd w:val="clear" w:color="auto" w:fill="auto"/>
            <w:noWrap/>
            <w:vAlign w:val="bottom"/>
            <w:hideMark/>
          </w:tcPr>
          <w:p w14:paraId="470E544B" w14:textId="77777777" w:rsidR="00DE28E8" w:rsidRPr="00274C7E" w:rsidRDefault="00DE28E8" w:rsidP="00962A17">
            <w:pPr>
              <w:jc w:val="center"/>
              <w:rPr>
                <w:sz w:val="20"/>
                <w:szCs w:val="20"/>
              </w:rPr>
            </w:pPr>
            <w:r w:rsidRPr="00274C7E">
              <w:rPr>
                <w:sz w:val="20"/>
                <w:szCs w:val="20"/>
              </w:rPr>
              <w:t>52%</w:t>
            </w:r>
          </w:p>
        </w:tc>
        <w:tc>
          <w:tcPr>
            <w:tcW w:w="960" w:type="dxa"/>
            <w:tcBorders>
              <w:top w:val="single" w:sz="4" w:space="0" w:color="auto"/>
              <w:bottom w:val="single" w:sz="4" w:space="0" w:color="auto"/>
            </w:tcBorders>
            <w:shd w:val="clear" w:color="auto" w:fill="auto"/>
            <w:noWrap/>
            <w:vAlign w:val="bottom"/>
            <w:hideMark/>
          </w:tcPr>
          <w:p w14:paraId="0BC48C7A"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0E4DE5E3"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E677" w14:textId="77777777" w:rsidR="00DE28E8" w:rsidRPr="00274C7E" w:rsidRDefault="00DE28E8" w:rsidP="00962A17">
            <w:pPr>
              <w:rPr>
                <w:sz w:val="20"/>
                <w:szCs w:val="20"/>
                <w:lang w:val="en-US"/>
              </w:rPr>
            </w:pPr>
            <w:r w:rsidRPr="00274C7E">
              <w:rPr>
                <w:sz w:val="20"/>
                <w:szCs w:val="20"/>
                <w:lang w:val="en-US"/>
              </w:rPr>
              <w:t> Discontinuation of CPAP reimbursement for several causes</w:t>
            </w:r>
          </w:p>
        </w:tc>
      </w:tr>
      <w:tr w:rsidR="00DC477A" w:rsidRPr="00274C7E" w14:paraId="73DF0576"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4778B8B4" w14:textId="77777777" w:rsidR="00DE28E8" w:rsidRPr="00274C7E" w:rsidRDefault="00DE28E8" w:rsidP="00962A17">
            <w:pPr>
              <w:rPr>
                <w:sz w:val="20"/>
                <w:szCs w:val="20"/>
              </w:rPr>
            </w:pPr>
            <w:r w:rsidRPr="00274C7E">
              <w:rPr>
                <w:sz w:val="20"/>
                <w:szCs w:val="20"/>
              </w:rPr>
              <w:t>McArdle et al.</w:t>
            </w:r>
            <w:r w:rsidR="00FD520D" w:rsidRPr="00274C7E">
              <w:rPr>
                <w:sz w:val="20"/>
                <w:szCs w:val="20"/>
              </w:rPr>
              <w:fldChar w:fldCharType="begin"/>
            </w:r>
            <w:r w:rsidRPr="00274C7E">
              <w:rPr>
                <w:sz w:val="20"/>
                <w:szCs w:val="20"/>
              </w:rPr>
              <w:instrText xml:space="preserve"> ADDIN ZOTERO_ITEM CSL_CITATION {"citationID":"Ql8pT8Q1","properties":{"formattedCitation":"[5]","plainCitation":"[5]","noteIndex":0},"citationItems":[{"id":478,"uris":["http://zotero.org/users/13024435/items/7BR426EV"],"itemData":{"id":478,"type":"article-journal","abstract":"Patients with the sleep apnea/hypopnea syndrome (SAHS) treated by nasal continuous positive airway pressure (CPAP) need to use CPAP long-term to prevent recurrence of symptoms. It is thus important to clarify the level of long-term CPAP use and the factors influencing long-term use. We examined determinants of objective CPAP use in 1, 211 consecutive patients with SAHS who were prescribed a CPAP trial between 1986 and 1997. Prospective CPAP use data were available in 1, 155 (95.4%), with a median follow-up of 22 mo (interquartile range [IQR], 12 to 36 mo). Fifty-two (4.5%) patients refused CPAP treatment (these were more often female and current smokers); 1,103 patients took CPAP home, and during follow-up 20% stopped treatment, primarily because of a lack of benefit. Methods of survival analysis showed that 68% of patients continued treatment at 5 yr. Independent predictors of long-term CPAP use were snoring history, apnea/hypopnea index (AHI), and Epworth score; 86% of patients with Epworth &gt; 10 and an AHI &gt;/= 30 were still using CPAP at 3 yr. Average nightly CPAP use within the first 3 mo was strongly predictive of long-term use. We conclude that long-term CPAP use is related to disease severity and subjective sleepiness and can be predicted within 3 mo.","container-title":"American Journal of Respiratory and Critical Care Medicine","DOI":"10.1164/ajrccm.159.4.9807111","ISSN":"1073-449X","issue":"4 Pt 1","journalAbbreviation":"Am J Respir Crit Care Med","language":"eng","note":"PMID: 10194153","page":"1108-1114","source":"PubMed","title":"Long-term use of CPAP therapy for sleep apnea/hypopnea syndrome","volume":"159","author":[{"family":"McArdle","given":"N."},{"family":"Devereux","given":"G."},{"family":"Heidarnejad","given":"H."},{"family":"Engleman","given":"H. M."},{"family":"Mackay","given":"T. W."},{"family":"Douglas","given":"N. J."}],"issued":{"date-parts":[["1999",4]]}}}],"schema":"https://github.com/citation-style-language/schema/raw/master/csl-citation.json"} </w:instrText>
            </w:r>
            <w:r w:rsidR="00FD520D" w:rsidRPr="00274C7E">
              <w:rPr>
                <w:sz w:val="20"/>
                <w:szCs w:val="20"/>
              </w:rPr>
              <w:fldChar w:fldCharType="separate"/>
            </w:r>
            <w:r w:rsidRPr="00274C7E">
              <w:rPr>
                <w:sz w:val="20"/>
              </w:rPr>
              <w:t>[5]</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7D52B99D" w14:textId="77777777" w:rsidR="00DE28E8" w:rsidRPr="00274C7E" w:rsidRDefault="00DE28E8" w:rsidP="00962A17">
            <w:pPr>
              <w:rPr>
                <w:sz w:val="20"/>
                <w:szCs w:val="20"/>
              </w:rPr>
            </w:pPr>
            <w:r w:rsidRPr="00274C7E">
              <w:rPr>
                <w:sz w:val="20"/>
                <w:szCs w:val="20"/>
              </w:rPr>
              <w:t>UK</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9A7C647" w14:textId="77777777" w:rsidR="00DE28E8" w:rsidRPr="00274C7E" w:rsidRDefault="00DE28E8" w:rsidP="00962A17">
            <w:pPr>
              <w:rPr>
                <w:sz w:val="20"/>
                <w:szCs w:val="20"/>
              </w:rPr>
            </w:pPr>
            <w:r w:rsidRPr="00274C7E">
              <w:rPr>
                <w:sz w:val="20"/>
                <w:szCs w:val="20"/>
              </w:rPr>
              <w:t>1,211</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646E7093" w14:textId="77777777" w:rsidR="00DE28E8" w:rsidRPr="00274C7E" w:rsidRDefault="00DE28E8" w:rsidP="00962A17">
            <w:pPr>
              <w:jc w:val="center"/>
              <w:rPr>
                <w:sz w:val="20"/>
                <w:szCs w:val="20"/>
              </w:rPr>
            </w:pPr>
            <w:r w:rsidRPr="00274C7E">
              <w:rPr>
                <w:sz w:val="20"/>
                <w:szCs w:val="20"/>
              </w:rPr>
              <w:t>84%</w:t>
            </w:r>
          </w:p>
        </w:tc>
        <w:tc>
          <w:tcPr>
            <w:tcW w:w="960" w:type="dxa"/>
            <w:tcBorders>
              <w:top w:val="single" w:sz="4" w:space="0" w:color="auto"/>
              <w:bottom w:val="single" w:sz="4" w:space="0" w:color="auto"/>
            </w:tcBorders>
            <w:shd w:val="clear" w:color="auto" w:fill="auto"/>
            <w:noWrap/>
            <w:vAlign w:val="bottom"/>
            <w:hideMark/>
          </w:tcPr>
          <w:p w14:paraId="7BE1AEFC" w14:textId="77777777" w:rsidR="00DE28E8" w:rsidRPr="00274C7E" w:rsidRDefault="00DE28E8" w:rsidP="00962A17">
            <w:pPr>
              <w:jc w:val="center"/>
              <w:rPr>
                <w:sz w:val="20"/>
                <w:szCs w:val="20"/>
              </w:rPr>
            </w:pPr>
            <w:r w:rsidRPr="00274C7E">
              <w:rPr>
                <w:sz w:val="20"/>
                <w:szCs w:val="20"/>
              </w:rPr>
              <w:t>79%</w:t>
            </w:r>
          </w:p>
        </w:tc>
        <w:tc>
          <w:tcPr>
            <w:tcW w:w="960" w:type="dxa"/>
            <w:tcBorders>
              <w:top w:val="single" w:sz="4" w:space="0" w:color="auto"/>
              <w:bottom w:val="single" w:sz="4" w:space="0" w:color="auto"/>
            </w:tcBorders>
            <w:shd w:val="clear" w:color="auto" w:fill="auto"/>
            <w:noWrap/>
            <w:vAlign w:val="bottom"/>
            <w:hideMark/>
          </w:tcPr>
          <w:p w14:paraId="1C02F5DB" w14:textId="77777777" w:rsidR="00DE28E8" w:rsidRPr="00274C7E" w:rsidRDefault="00DE28E8" w:rsidP="00962A17">
            <w:pPr>
              <w:jc w:val="center"/>
              <w:rPr>
                <w:sz w:val="20"/>
                <w:szCs w:val="20"/>
              </w:rPr>
            </w:pPr>
            <w:r w:rsidRPr="00274C7E">
              <w:rPr>
                <w:sz w:val="20"/>
                <w:szCs w:val="20"/>
              </w:rPr>
              <w:t>74%</w:t>
            </w:r>
          </w:p>
        </w:tc>
        <w:tc>
          <w:tcPr>
            <w:tcW w:w="960" w:type="dxa"/>
            <w:tcBorders>
              <w:top w:val="single" w:sz="4" w:space="0" w:color="auto"/>
              <w:bottom w:val="single" w:sz="4" w:space="0" w:color="auto"/>
            </w:tcBorders>
            <w:shd w:val="clear" w:color="auto" w:fill="auto"/>
            <w:noWrap/>
            <w:vAlign w:val="bottom"/>
            <w:hideMark/>
          </w:tcPr>
          <w:p w14:paraId="389E9339" w14:textId="77777777" w:rsidR="00DE28E8" w:rsidRPr="00274C7E" w:rsidRDefault="00DE28E8" w:rsidP="00962A17">
            <w:pPr>
              <w:jc w:val="center"/>
              <w:rPr>
                <w:sz w:val="20"/>
                <w:szCs w:val="20"/>
              </w:rPr>
            </w:pPr>
            <w:r w:rsidRPr="00274C7E">
              <w:rPr>
                <w:sz w:val="20"/>
                <w:szCs w:val="20"/>
              </w:rPr>
              <w:t>69%</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3682C22E" w14:textId="77777777" w:rsidR="00DE28E8" w:rsidRPr="00274C7E" w:rsidRDefault="00DE28E8" w:rsidP="00962A17">
            <w:pPr>
              <w:jc w:val="center"/>
              <w:rPr>
                <w:sz w:val="20"/>
                <w:szCs w:val="20"/>
              </w:rPr>
            </w:pPr>
            <w:r w:rsidRPr="00274C7E">
              <w:rPr>
                <w:sz w:val="20"/>
                <w:szCs w:val="20"/>
              </w:rPr>
              <w:t>68%</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3BB2" w14:textId="77777777" w:rsidR="00DE28E8" w:rsidRPr="00274C7E" w:rsidRDefault="00DE28E8" w:rsidP="00962A17">
            <w:pPr>
              <w:rPr>
                <w:sz w:val="20"/>
                <w:szCs w:val="20"/>
                <w:lang w:val="en-US"/>
              </w:rPr>
            </w:pPr>
            <w:r w:rsidRPr="00274C7E">
              <w:rPr>
                <w:sz w:val="20"/>
                <w:szCs w:val="20"/>
                <w:lang w:val="en-US"/>
              </w:rPr>
              <w:t> CPAP discontinuation for several causes</w:t>
            </w:r>
          </w:p>
        </w:tc>
      </w:tr>
      <w:tr w:rsidR="00DC477A" w:rsidRPr="00274C7E" w14:paraId="6E7A10A6"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4DE16BFD" w14:textId="77777777" w:rsidR="00DE28E8" w:rsidRPr="00274C7E" w:rsidRDefault="00DE28E8" w:rsidP="00962A17">
            <w:pPr>
              <w:rPr>
                <w:sz w:val="20"/>
                <w:szCs w:val="20"/>
              </w:rPr>
            </w:pPr>
            <w:r w:rsidRPr="00274C7E">
              <w:rPr>
                <w:sz w:val="20"/>
                <w:szCs w:val="20"/>
              </w:rPr>
              <w:t>Woehrle et al.</w:t>
            </w:r>
            <w:r w:rsidR="00FD520D" w:rsidRPr="00274C7E">
              <w:rPr>
                <w:sz w:val="20"/>
                <w:szCs w:val="20"/>
              </w:rPr>
              <w:fldChar w:fldCharType="begin"/>
            </w:r>
            <w:r w:rsidRPr="00274C7E">
              <w:rPr>
                <w:sz w:val="20"/>
                <w:szCs w:val="20"/>
              </w:rPr>
              <w:instrText xml:space="preserve"> ADDIN ZOTERO_ITEM CSL_CITATION {"citationID":"IROUDylu","properties":{"formattedCitation":"[6]","plainCitation":"[6]","noteIndex":0},"citationItems":[{"id":510,"uris":["http://zotero.org/users/13024435/items/EMDHTTEE"],"itemData":{"id":510,"type":"article-journal","abstract":"Background: There is a lack of robust data about factors predicting continuation (or termination) of positive airway pressure therapy (PAP) for sleep apnea. This analysis of big data from a German homecare provider describes patients treated with PAP, analyzes the therapy termination rate over the first year, and investigates predictive factors for therapy termination.\nMethods: Data from a German homecare service provider were analyzed retrospectively. Patients who had started their first PAP therapy between September 2009 and April 2014 were eligible. Patient demographics, therapy start date, and the date of and reason for therapy termination were obtained. At 1 year, patients were classified as having compliance-related therapy termination or remaining on therapy. These groups were compared, and significant predictors of therapy termination determined.\nResults: Of 98,329 patients included in the analysis, 11,702 (12%) terminated PAP therapy within the first year (after mean 171 ± 91 days). There was a U-shaped relationship between therapy termination and age; therapy termination was higher in the youngest (&lt; 30 years, 15.5%) and oldest (≥ 80 years, 19.8%) patients, and lower in those aged 50–59 years (9.9%). Therapy termination was significantly more likely in females versus males (hazard ratio 1. 48, 95% confidence interval 1.42–1.54), in those with public versus private insurance (1.75, 1.64–1.86) and in patients whose first device was automatically adjusting or fixed-level continuous positive airway pressure versus bilevel or adaptive servo-ventilation (1.28, 1.2–1.38).\nConclusions: This analysis of the largest dataset investigating PAP therapy termination identified a number of predictive factors. These can help health care providers chose the most appropriate PAP modality, identify specific patient phenotypes at higher risk of stopping PAP and target interventions to support ongoing therapy to these groups, as well as allow them to develop a risk stratification tool.","container-title":"BMC Pulmonary Medicine","DOI":"10.1186/s12890-018-0748-8","ISSN":"1471-2466","issue":"1","journalAbbreviation":"BMC Pulm Med","language":"en","page":"186","source":"DOI.org (Crossref)","title":"Predictors of positive airway pressure therapy termination in the first year: analysis of big data from a German homecare provider","title-short":"Predictors of positive airway pressure therapy termination in the first year","volume":"18","author":[{"family":"Woehrle","given":"Holger"},{"family":"Arzt","given":"Michael"},{"family":"Graml","given":"Andrea"},{"family":"Fietze","given":"Ingo"},{"family":"Young","given":"Peter"},{"family":"Teschler","given":"Helmut"},{"family":"Ficker","given":"Joachim H."}],"issued":{"date-parts":[["2018",12]]}}}],"schema":"https://github.com/citation-style-language/schema/raw/master/csl-citation.json"} </w:instrText>
            </w:r>
            <w:r w:rsidR="00FD520D" w:rsidRPr="00274C7E">
              <w:rPr>
                <w:sz w:val="20"/>
                <w:szCs w:val="20"/>
              </w:rPr>
              <w:fldChar w:fldCharType="separate"/>
            </w:r>
            <w:r w:rsidRPr="00274C7E">
              <w:rPr>
                <w:sz w:val="20"/>
              </w:rPr>
              <w:t>[6]</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5BF8A6F2" w14:textId="77777777" w:rsidR="00DE28E8" w:rsidRPr="00274C7E" w:rsidRDefault="00DE28E8" w:rsidP="00962A17">
            <w:pPr>
              <w:rPr>
                <w:sz w:val="20"/>
                <w:szCs w:val="20"/>
              </w:rPr>
            </w:pPr>
            <w:r w:rsidRPr="00274C7E">
              <w:rPr>
                <w:sz w:val="20"/>
                <w:szCs w:val="20"/>
              </w:rPr>
              <w:t>Germany</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D296A2D" w14:textId="77777777" w:rsidR="00DE28E8" w:rsidRPr="00274C7E" w:rsidRDefault="00DE28E8" w:rsidP="00962A17">
            <w:pPr>
              <w:rPr>
                <w:sz w:val="20"/>
                <w:szCs w:val="20"/>
              </w:rPr>
            </w:pPr>
            <w:r w:rsidRPr="00274C7E">
              <w:rPr>
                <w:sz w:val="20"/>
                <w:szCs w:val="20"/>
              </w:rPr>
              <w:t>98,329</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68DB3F80" w14:textId="77777777" w:rsidR="00DE28E8" w:rsidRPr="00274C7E" w:rsidRDefault="00DE28E8" w:rsidP="00962A17">
            <w:pPr>
              <w:jc w:val="center"/>
              <w:rPr>
                <w:sz w:val="20"/>
                <w:szCs w:val="20"/>
              </w:rPr>
            </w:pPr>
            <w:r w:rsidRPr="00274C7E">
              <w:rPr>
                <w:sz w:val="20"/>
                <w:szCs w:val="20"/>
              </w:rPr>
              <w:t>88%</w:t>
            </w:r>
          </w:p>
        </w:tc>
        <w:tc>
          <w:tcPr>
            <w:tcW w:w="960" w:type="dxa"/>
            <w:tcBorders>
              <w:top w:val="single" w:sz="4" w:space="0" w:color="auto"/>
              <w:bottom w:val="single" w:sz="4" w:space="0" w:color="auto"/>
            </w:tcBorders>
            <w:shd w:val="clear" w:color="auto" w:fill="auto"/>
            <w:noWrap/>
            <w:vAlign w:val="bottom"/>
            <w:hideMark/>
          </w:tcPr>
          <w:p w14:paraId="3E1FF4C8"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6AFE69FB"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3D34AD68"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8ED45ED"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5217" w14:textId="77777777" w:rsidR="00DE28E8" w:rsidRPr="00274C7E" w:rsidRDefault="00DE28E8" w:rsidP="00962A17">
            <w:pPr>
              <w:rPr>
                <w:sz w:val="20"/>
                <w:szCs w:val="20"/>
                <w:lang w:val="en-US"/>
              </w:rPr>
            </w:pPr>
            <w:r w:rsidRPr="00274C7E">
              <w:rPr>
                <w:sz w:val="20"/>
                <w:szCs w:val="20"/>
                <w:lang w:val="en-US"/>
              </w:rPr>
              <w:t> CPAP discontinuation for several causes</w:t>
            </w:r>
          </w:p>
        </w:tc>
      </w:tr>
      <w:tr w:rsidR="00DC477A" w:rsidRPr="00274C7E" w14:paraId="032FD48C"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5BDD9768" w14:textId="77777777" w:rsidR="00DE28E8" w:rsidRPr="00274C7E" w:rsidRDefault="00DE28E8" w:rsidP="00962A17">
            <w:pPr>
              <w:rPr>
                <w:sz w:val="20"/>
                <w:szCs w:val="20"/>
              </w:rPr>
            </w:pPr>
            <w:r w:rsidRPr="00274C7E">
              <w:rPr>
                <w:sz w:val="20"/>
                <w:szCs w:val="20"/>
              </w:rPr>
              <w:t>Zampogna et al.</w:t>
            </w:r>
            <w:r w:rsidR="00FD520D" w:rsidRPr="00274C7E">
              <w:rPr>
                <w:sz w:val="20"/>
                <w:szCs w:val="20"/>
              </w:rPr>
              <w:fldChar w:fldCharType="begin"/>
            </w:r>
            <w:r w:rsidR="0001645F" w:rsidRPr="00274C7E">
              <w:rPr>
                <w:sz w:val="20"/>
                <w:szCs w:val="20"/>
              </w:rPr>
              <w:instrText xml:space="preserve"> ADDIN ZOTERO_ITEM CSL_CITATION {"citationID":"6cVODdlT","properties":{"formattedCitation":"[7]","plainCitation":"[7]","noteIndex":0},"citationItems":[{"id":481,"uris":["http://zotero.org/users/13024435/items/LWSK2KNP"],"itemData":{"id":481,"type":"article-journal","abstract":"OBJECTIVE: To assess the predictive factors at 12 month and 10 year adherence to Continuous Positive Airway Pressure (CPAP) in patients with Obstructive Sleep Apnoea (OSA).\nMETHODS: Retrospective data analysis of patients starting CPAP between 2006 and 2009. After 12 months (T1) from start and during a 10 year follow up the following data were recorded: Body Mass Index (BMI), Time of night use, Epworth Sleepiness Scale (ESS) score.\nRESULTS: Out of 315 patients, 147 fulfilled inclusion criteria and were evaluated. According to CPAP nighttime use during the first year, patients were divided into two groups: those using the device less &lt; 4.5 h (Poor Adherence (PA): 61 patients), and those using ≥4.5 h: (Good Adherence (GA): 86 patients). Patients of PA group were significantly younger, had greater BMI and required more unscheduled visits during the first year. After 12 months, there were 11 (7.5%) dropouts, all in PA group. Patients using the nasal mask showed a greater prevalence among GA as compared to those using the oro-nasal mask (76.5% vs 57.8% respectively, p = 0.04). After 10 years 83 out of 147 (56.4%) patients were still under CPAP, 51 (59.3% of GA) and 32 (52.4% of PA group) respectively. Dropouts were significantly more frequent during the first 5 years (p = 0.04).\nCONCLUSION: Ten years after prescription the majority of patients with OSA undergoing periodical controls, still perform CPAP independent of their adherence to therapy after one year of use. Use of nasal mask may be associate to better adherence.","container-title":"Respiratory Medicine","DOI":"10.1016/j.rmed.2019.02.017","ISSN":"1532-3064","journalAbbreviation":"Respir Med","language":"eng","note":"PMID: 30961958","page":"95-100","source":"PubMed","title":"Adherence to Continuous Positive Airway Pressure in patients with Obstructive Sleep Apnoea. A ten year real life study","volume":"150","author":[{"family":"Zampogna","given":"Elisabetta"},{"family":"Spanevello","given":"Antonio"},{"family":"Lucioni","given":"Anna Maria"},{"family":"Facchetti","given":"Cristina"},{"family":"Sotgiu","given":"Giovanni"},{"family":"Saderi","given":"Laura"},{"family":"Ambrosino","given":"Nicolino"},{"family":"Visca","given":"Dina"}],"issued":{"date-parts":[["2019",4]]}}}],"schema":"https://github.com/citation-style-language/schema/raw/master/csl-citation.json"} </w:instrText>
            </w:r>
            <w:r w:rsidR="00FD520D" w:rsidRPr="00274C7E">
              <w:rPr>
                <w:sz w:val="20"/>
                <w:szCs w:val="20"/>
              </w:rPr>
              <w:fldChar w:fldCharType="separate"/>
            </w:r>
            <w:r w:rsidR="0001645F" w:rsidRPr="00274C7E">
              <w:rPr>
                <w:sz w:val="20"/>
              </w:rPr>
              <w:t>[7]</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5F064839" w14:textId="77777777" w:rsidR="00DE28E8" w:rsidRPr="00274C7E" w:rsidRDefault="00DE28E8" w:rsidP="00962A17">
            <w:pPr>
              <w:rPr>
                <w:sz w:val="20"/>
                <w:szCs w:val="20"/>
              </w:rPr>
            </w:pPr>
            <w:r w:rsidRPr="00274C7E">
              <w:rPr>
                <w:sz w:val="20"/>
                <w:szCs w:val="20"/>
              </w:rPr>
              <w:t>Italy</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0F0D8B93" w14:textId="77777777" w:rsidR="00DE28E8" w:rsidRPr="00274C7E" w:rsidRDefault="00DE28E8" w:rsidP="00962A17">
            <w:pPr>
              <w:rPr>
                <w:sz w:val="20"/>
                <w:szCs w:val="20"/>
              </w:rPr>
            </w:pPr>
            <w:r w:rsidRPr="00274C7E">
              <w:rPr>
                <w:sz w:val="20"/>
                <w:szCs w:val="20"/>
              </w:rPr>
              <w:t>147</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15B04A37" w14:textId="77777777" w:rsidR="00DE28E8" w:rsidRPr="00274C7E" w:rsidRDefault="00DE28E8" w:rsidP="00962A17">
            <w:pPr>
              <w:jc w:val="center"/>
              <w:rPr>
                <w:sz w:val="20"/>
                <w:szCs w:val="20"/>
              </w:rPr>
            </w:pPr>
            <w:r w:rsidRPr="00274C7E">
              <w:rPr>
                <w:sz w:val="20"/>
                <w:szCs w:val="20"/>
              </w:rPr>
              <w:t>93%</w:t>
            </w:r>
          </w:p>
        </w:tc>
        <w:tc>
          <w:tcPr>
            <w:tcW w:w="960" w:type="dxa"/>
            <w:tcBorders>
              <w:top w:val="single" w:sz="4" w:space="0" w:color="auto"/>
              <w:bottom w:val="single" w:sz="4" w:space="0" w:color="auto"/>
            </w:tcBorders>
            <w:shd w:val="clear" w:color="auto" w:fill="auto"/>
            <w:noWrap/>
            <w:vAlign w:val="bottom"/>
            <w:hideMark/>
          </w:tcPr>
          <w:p w14:paraId="271BE238" w14:textId="77777777" w:rsidR="00DE28E8" w:rsidRPr="00274C7E" w:rsidRDefault="00DE28E8" w:rsidP="00962A17">
            <w:pPr>
              <w:jc w:val="center"/>
              <w:rPr>
                <w:sz w:val="20"/>
                <w:szCs w:val="20"/>
              </w:rPr>
            </w:pPr>
            <w:r w:rsidRPr="00274C7E">
              <w:rPr>
                <w:sz w:val="20"/>
                <w:szCs w:val="20"/>
              </w:rPr>
              <w:t>93%</w:t>
            </w:r>
          </w:p>
        </w:tc>
        <w:tc>
          <w:tcPr>
            <w:tcW w:w="960" w:type="dxa"/>
            <w:tcBorders>
              <w:top w:val="single" w:sz="4" w:space="0" w:color="auto"/>
              <w:bottom w:val="single" w:sz="4" w:space="0" w:color="auto"/>
            </w:tcBorders>
            <w:shd w:val="clear" w:color="auto" w:fill="auto"/>
            <w:noWrap/>
            <w:vAlign w:val="bottom"/>
            <w:hideMark/>
          </w:tcPr>
          <w:p w14:paraId="73C247B2" w14:textId="77777777" w:rsidR="00DE28E8" w:rsidRPr="00274C7E" w:rsidRDefault="00DE28E8" w:rsidP="00962A17">
            <w:pPr>
              <w:jc w:val="center"/>
              <w:rPr>
                <w:sz w:val="20"/>
                <w:szCs w:val="20"/>
              </w:rPr>
            </w:pPr>
            <w:r w:rsidRPr="00274C7E">
              <w:rPr>
                <w:sz w:val="20"/>
                <w:szCs w:val="20"/>
              </w:rPr>
              <w:t>83%</w:t>
            </w:r>
          </w:p>
        </w:tc>
        <w:tc>
          <w:tcPr>
            <w:tcW w:w="960" w:type="dxa"/>
            <w:tcBorders>
              <w:top w:val="single" w:sz="4" w:space="0" w:color="auto"/>
              <w:bottom w:val="single" w:sz="4" w:space="0" w:color="auto"/>
            </w:tcBorders>
            <w:shd w:val="clear" w:color="auto" w:fill="auto"/>
            <w:noWrap/>
            <w:vAlign w:val="bottom"/>
            <w:hideMark/>
          </w:tcPr>
          <w:p w14:paraId="7F457132" w14:textId="77777777" w:rsidR="00DE28E8" w:rsidRPr="00274C7E" w:rsidRDefault="00DE28E8" w:rsidP="00962A17">
            <w:pPr>
              <w:jc w:val="center"/>
              <w:rPr>
                <w:sz w:val="20"/>
                <w:szCs w:val="20"/>
              </w:rPr>
            </w:pPr>
            <w:r w:rsidRPr="00274C7E">
              <w:rPr>
                <w:sz w:val="20"/>
                <w:szCs w:val="20"/>
              </w:rPr>
              <w:t>81%</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6147CFB" w14:textId="77777777" w:rsidR="00DE28E8" w:rsidRPr="00274C7E" w:rsidRDefault="00DE28E8" w:rsidP="00962A17">
            <w:pPr>
              <w:jc w:val="center"/>
              <w:rPr>
                <w:sz w:val="20"/>
                <w:szCs w:val="20"/>
              </w:rPr>
            </w:pPr>
            <w:r w:rsidRPr="00274C7E">
              <w:rPr>
                <w:sz w:val="20"/>
                <w:szCs w:val="20"/>
              </w:rPr>
              <w:t>76%</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B7FB9" w14:textId="77777777" w:rsidR="00DE28E8" w:rsidRPr="00274C7E" w:rsidRDefault="00DE28E8" w:rsidP="00962A17">
            <w:pPr>
              <w:rPr>
                <w:sz w:val="20"/>
                <w:szCs w:val="20"/>
                <w:lang w:val="en-US"/>
              </w:rPr>
            </w:pPr>
            <w:r w:rsidRPr="00274C7E">
              <w:rPr>
                <w:sz w:val="20"/>
                <w:szCs w:val="20"/>
                <w:lang w:val="en-US"/>
              </w:rPr>
              <w:t> CPAP discontinuation for several causes</w:t>
            </w:r>
          </w:p>
        </w:tc>
      </w:tr>
      <w:tr w:rsidR="00DC477A" w:rsidRPr="00274C7E" w14:paraId="3E48D39A"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5CF9A78B" w14:textId="77777777" w:rsidR="00DE28E8" w:rsidRPr="00274C7E" w:rsidRDefault="00DE28E8" w:rsidP="00962A17">
            <w:pPr>
              <w:rPr>
                <w:sz w:val="20"/>
                <w:szCs w:val="20"/>
              </w:rPr>
            </w:pPr>
            <w:r w:rsidRPr="00274C7E">
              <w:rPr>
                <w:sz w:val="20"/>
                <w:szCs w:val="20"/>
              </w:rPr>
              <w:t>Schoch et al.</w:t>
            </w:r>
            <w:r w:rsidR="00FD520D" w:rsidRPr="00274C7E">
              <w:rPr>
                <w:sz w:val="20"/>
                <w:szCs w:val="20"/>
              </w:rPr>
              <w:fldChar w:fldCharType="begin"/>
            </w:r>
            <w:r w:rsidR="0001645F" w:rsidRPr="00274C7E">
              <w:rPr>
                <w:sz w:val="20"/>
                <w:szCs w:val="20"/>
              </w:rPr>
              <w:instrText xml:space="preserve"> ADDIN ZOTERO_ITEM CSL_CITATION {"citationID":"vTXEQPcm","properties":{"formattedCitation":"[8]","plainCitation":"[8]","noteIndex":0},"citationItems":[{"id":484,"uris":["http://zotero.org/users/13024435/items/779NVVK8"],"itemData":{"id":484,"type":"article-journal","abstract":"BACKGROUND: Positive airway pressure (PAP) therapy is the standard treatment for obstructive sleep apnea syndrome (OSAS).\nOBJECTIVES: The aim of the current study was to determine operational long-term adherence to PAP and its predictors.\nMETHODS: In a retrospective single-center observational cohort study, we analyzed all patients referred to our center with suspected OSAS between November 2001 and November 2011. Baseline results and last follow-up data of each patient were analyzed. Kaplan-Meier estimates of adherence and Cox proportional hazard regression for age, gender, Epworth sleepiness scale (ESS) scores, body mass index, apnea-hypopnea index (AHI) and oxygen desaturation index (ODI) were performed. Evolution of adherence was analyzed in yearly cohorts comparing the proportion of patients discontinuing PAP within 6 and 12 months.\nRESULTS: Of 4,638 referrals, 2,187 confirmed OSAS patients started PAP, 297 (14%) were referred out to other centers to follow-up, 42 (2%) died, and 92 (5%) no longer needed PAP. Of 1,756 patients, the median follow-up was 36 months [95% confidence interval (CI) 33.6-37.8], and adherence at 1, 5 and 10 years was 74 (CI 71-75; n = 1,028), 55 (CI 53-58; n = 281) and 51% (CI 48-55; n = 10), respectively. Adherence is associated with ESS score [hazard ratio (HR) 0.60; CI 0.47-0.78], ODI (HR 0.50; CI 0.32-0.77) and AHI (HR 0.56; CI 0.37-0.85). In yearly cohorts according to inclusion date, the absconder rate at 6 and 12 months was 20 (CI 18-22) and 27% (CI 25-30) for the first 8 years and improved to 10 (CI 7-15) and 14% (CI 10-19) for the last 2 years, respectively.\nCONCLUSIONS: Long-term adherence to PAP in OSAS is associated with baseline measures of disease severity. After 2009, an improvement in the adherence rate was observed.","container-title":"Respiration; International Review of Thoracic Diseases","DOI":"10.1159/000354186","ISSN":"1423-0356","issue":"2","journalAbbreviation":"Respiration","language":"eng","note":"PMID: 24216720","page":"121-128","source":"PubMed","title":"Baseline predictors of adherence to positive airway pressure therapy for sleep apnea: a 10-year single-center observational cohort study","title-short":"Baseline predictors of adherence to positive airway pressure therapy for sleep apnea","volume":"87","author":[{"family":"Schoch","given":"Otto D."},{"family":"Baty","given":"Florent"},{"family":"Niedermann","given":"Jolanda"},{"family":"Rüdiger","given":"Jochen J."},{"family":"Brutsche","given":"Martin H."}],"issued":{"date-parts":[["2014"]]}}}],"schema":"https://github.com/citation-style-language/schema/raw/master/csl-citation.json"} </w:instrText>
            </w:r>
            <w:r w:rsidR="00FD520D" w:rsidRPr="00274C7E">
              <w:rPr>
                <w:sz w:val="20"/>
                <w:szCs w:val="20"/>
              </w:rPr>
              <w:fldChar w:fldCharType="separate"/>
            </w:r>
            <w:r w:rsidR="0001645F" w:rsidRPr="00274C7E">
              <w:rPr>
                <w:sz w:val="20"/>
              </w:rPr>
              <w:t>[8]</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709D7189" w14:textId="77777777" w:rsidR="00DE28E8" w:rsidRPr="00274C7E" w:rsidRDefault="00DE28E8" w:rsidP="00962A17">
            <w:pPr>
              <w:rPr>
                <w:sz w:val="20"/>
                <w:szCs w:val="20"/>
              </w:rPr>
            </w:pPr>
            <w:r w:rsidRPr="00274C7E">
              <w:rPr>
                <w:sz w:val="20"/>
                <w:szCs w:val="20"/>
              </w:rPr>
              <w:t>Switzerland</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3199725" w14:textId="77777777" w:rsidR="00DE28E8" w:rsidRPr="00274C7E" w:rsidRDefault="00DE28E8" w:rsidP="00962A17">
            <w:pPr>
              <w:rPr>
                <w:sz w:val="20"/>
                <w:szCs w:val="20"/>
              </w:rPr>
            </w:pPr>
            <w:r w:rsidRPr="00274C7E">
              <w:rPr>
                <w:sz w:val="20"/>
                <w:szCs w:val="20"/>
              </w:rPr>
              <w:t>1,756</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67C84260" w14:textId="77777777" w:rsidR="00DE28E8" w:rsidRPr="00274C7E" w:rsidRDefault="00DE28E8" w:rsidP="00962A17">
            <w:pPr>
              <w:jc w:val="center"/>
              <w:rPr>
                <w:sz w:val="20"/>
                <w:szCs w:val="20"/>
              </w:rPr>
            </w:pPr>
            <w:r w:rsidRPr="00274C7E">
              <w:rPr>
                <w:sz w:val="20"/>
                <w:szCs w:val="20"/>
              </w:rPr>
              <w:t>74%</w:t>
            </w:r>
          </w:p>
        </w:tc>
        <w:tc>
          <w:tcPr>
            <w:tcW w:w="960" w:type="dxa"/>
            <w:tcBorders>
              <w:top w:val="single" w:sz="4" w:space="0" w:color="auto"/>
              <w:bottom w:val="single" w:sz="4" w:space="0" w:color="auto"/>
            </w:tcBorders>
            <w:shd w:val="clear" w:color="auto" w:fill="auto"/>
            <w:noWrap/>
            <w:vAlign w:val="bottom"/>
            <w:hideMark/>
          </w:tcPr>
          <w:p w14:paraId="08A75836" w14:textId="77777777" w:rsidR="00DE28E8" w:rsidRPr="00274C7E" w:rsidRDefault="00DE28E8" w:rsidP="00962A17">
            <w:pPr>
              <w:jc w:val="center"/>
              <w:rPr>
                <w:sz w:val="20"/>
                <w:szCs w:val="20"/>
              </w:rPr>
            </w:pPr>
            <w:r w:rsidRPr="00274C7E">
              <w:rPr>
                <w:sz w:val="20"/>
                <w:szCs w:val="20"/>
              </w:rPr>
              <w:t>66%</w:t>
            </w:r>
          </w:p>
        </w:tc>
        <w:tc>
          <w:tcPr>
            <w:tcW w:w="960" w:type="dxa"/>
            <w:tcBorders>
              <w:top w:val="single" w:sz="4" w:space="0" w:color="auto"/>
              <w:bottom w:val="single" w:sz="4" w:space="0" w:color="auto"/>
            </w:tcBorders>
            <w:shd w:val="clear" w:color="auto" w:fill="auto"/>
            <w:noWrap/>
            <w:vAlign w:val="bottom"/>
            <w:hideMark/>
          </w:tcPr>
          <w:p w14:paraId="16EFC259" w14:textId="77777777" w:rsidR="00DE28E8" w:rsidRPr="00274C7E" w:rsidRDefault="00DE28E8" w:rsidP="00962A17">
            <w:pPr>
              <w:jc w:val="center"/>
              <w:rPr>
                <w:sz w:val="20"/>
                <w:szCs w:val="20"/>
              </w:rPr>
            </w:pPr>
            <w:r w:rsidRPr="00274C7E">
              <w:rPr>
                <w:sz w:val="20"/>
                <w:szCs w:val="20"/>
              </w:rPr>
              <w:t>60%</w:t>
            </w:r>
          </w:p>
        </w:tc>
        <w:tc>
          <w:tcPr>
            <w:tcW w:w="960" w:type="dxa"/>
            <w:tcBorders>
              <w:top w:val="single" w:sz="4" w:space="0" w:color="auto"/>
              <w:bottom w:val="single" w:sz="4" w:space="0" w:color="auto"/>
            </w:tcBorders>
            <w:shd w:val="clear" w:color="auto" w:fill="auto"/>
            <w:noWrap/>
            <w:vAlign w:val="bottom"/>
            <w:hideMark/>
          </w:tcPr>
          <w:p w14:paraId="06FF82B0" w14:textId="77777777" w:rsidR="00DE28E8" w:rsidRPr="00274C7E" w:rsidRDefault="00DE28E8" w:rsidP="00962A17">
            <w:pPr>
              <w:jc w:val="center"/>
              <w:rPr>
                <w:sz w:val="20"/>
                <w:szCs w:val="20"/>
              </w:rPr>
            </w:pPr>
            <w:r w:rsidRPr="00274C7E">
              <w:rPr>
                <w:sz w:val="20"/>
                <w:szCs w:val="20"/>
              </w:rPr>
              <w:t>57%</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13454FD0" w14:textId="77777777" w:rsidR="00DE28E8" w:rsidRPr="00274C7E" w:rsidRDefault="00DE28E8" w:rsidP="00962A17">
            <w:pPr>
              <w:jc w:val="center"/>
              <w:rPr>
                <w:sz w:val="20"/>
                <w:szCs w:val="20"/>
              </w:rPr>
            </w:pPr>
            <w:r w:rsidRPr="00274C7E">
              <w:rPr>
                <w:sz w:val="20"/>
                <w:szCs w:val="20"/>
              </w:rPr>
              <w:t>55%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3A90A" w14:textId="77777777" w:rsidR="00DE28E8" w:rsidRPr="00274C7E" w:rsidRDefault="00DE28E8" w:rsidP="00962A17">
            <w:pPr>
              <w:rPr>
                <w:sz w:val="20"/>
                <w:szCs w:val="20"/>
              </w:rPr>
            </w:pPr>
            <w:r w:rsidRPr="00274C7E">
              <w:rPr>
                <w:sz w:val="20"/>
                <w:szCs w:val="20"/>
              </w:rPr>
              <w:t>  &lt; 1 h·night</w:t>
            </w:r>
            <w:r w:rsidRPr="00274C7E">
              <w:rPr>
                <w:sz w:val="20"/>
                <w:szCs w:val="20"/>
                <w:vertAlign w:val="superscript"/>
              </w:rPr>
              <w:t>-1</w:t>
            </w:r>
          </w:p>
        </w:tc>
      </w:tr>
      <w:tr w:rsidR="00DC477A" w:rsidRPr="00274C7E" w14:paraId="2D3685FD"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0AEA952A" w14:textId="77777777" w:rsidR="00DE28E8" w:rsidRPr="00274C7E" w:rsidRDefault="00DE28E8" w:rsidP="00962A17">
            <w:pPr>
              <w:rPr>
                <w:sz w:val="20"/>
                <w:szCs w:val="20"/>
              </w:rPr>
            </w:pPr>
            <w:r w:rsidRPr="00274C7E">
              <w:rPr>
                <w:sz w:val="20"/>
                <w:szCs w:val="20"/>
              </w:rPr>
              <w:t>Drager et al.</w:t>
            </w:r>
            <w:r w:rsidR="00FD520D" w:rsidRPr="00274C7E">
              <w:rPr>
                <w:sz w:val="20"/>
                <w:szCs w:val="20"/>
              </w:rPr>
              <w:fldChar w:fldCharType="begin"/>
            </w:r>
            <w:r w:rsidR="0001645F" w:rsidRPr="00274C7E">
              <w:rPr>
                <w:sz w:val="20"/>
                <w:szCs w:val="20"/>
              </w:rPr>
              <w:instrText xml:space="preserve"> ADDIN ZOTERO_ITEM CSL_CITATION {"citationID":"sR2ZQY7R","properties":{"formattedCitation":"[9]","plainCitation":"[9]","noteIndex":0},"citationItems":[{"id":522,"uris":["http://zotero.org/users/13024435/items/ELYAE2XI"],"itemData":{"id":522,"type":"article-journal","abstract":"Study Objectives:\nMinimal focus has been placed on variations in health care delivery for obstructive sleep apnea (OSA). This study compared positive airway pressure usage in developing countries (Brazil and Mexico) vs. a developed country (United States) and investigated the impact of a patient engagement tool (myAir; ResMed, San Diego, CA) on adherence.\n\nMethods:\nDeidentified data from the AirView database (ResMed) for patients receiving positive airway pressure therapy with wirelessly connected Air10 (AirSense and AirCurve) devices in Brazil, Mexico, and the United States were analyzed. Adherence was defined using US Center for Medicare and Medicaid Services (CMS) criteria (usage ≥ 4 h/night on ≥ 70% of nights in the first 90 days).\n\nResults:\nThe analysis included 4,181,490 patients (Brazil: 31,672; Mexico 16,934; United States: 4,132,884). CMS adherence over 90 days was slightly lower in Latin America vs. the United States (Brazil: 71.7%; Mexico: 66.4%; United States: 74.0%). Significantly fewer patients were using the patient engagement tool in Brazil (8.1%) and Mexico (2.8%) vs. the United States (26%; both P &lt; .001). Patients registered to use an engagement tool had a higher rate of CMS adherence and were twice as likely to achieve CMS adherence. Average daily usage and days with usage &gt; 4 hours in the first week were the strongest predictors of CMS adherence. Across all countries, &gt; 80% of patients meeting CMS criteria at 3 months were still using positive airway pressure therapy at 1 year, with 1-year adherences rates of &gt; 75%.\n\nConclusions:\nShort-term and long-term positive airway pressure adherence rates in Brazil and Mexico were similar to those achieved in the United States. Patients who registered to use an engagement tool consistently had better adherence than those who did not.\n\nCitation:\nDrager LF, Malhotra A, Yan Y, et al. Adherence with positive airway pressure therapy for obstructive sleep apnea in developing vs developed countries: a big data study. J Clin Sleep Med. 2021;17(4):703–709.","container-title":"Journal of Clinical Sleep Medicine : JCSM : Official Publication of the American Academy of Sleep Medicine","DOI":"10.5664/jcsm.9008","ISSN":"1550-9389","issue":"4","journalAbbreviation":"J Clin Sleep Med","note":"PMID: 33206044\nPMCID: PMC8020684","page":"703-709","source":"PubMed Central","title":"Adherence with positive airway pressure therapy for obstructive sleep apnea in developing vs. developed countries: a big data study","title-short":"Adherence with positive airway pressure therapy for obstructive sleep apnea in developing vs. developed countries","volume":"17","author":[{"family":"Drager","given":"Luciano F."},{"family":"Malhotra","given":"Atul"},{"family":"Yan","given":"Yang"},{"family":"Pépin","given":"Jean-Louis"},{"family":"Armitstead","given":"Jeff P."},{"family":"Woehrle","given":"Holger"},{"family":"Nunez","given":"Carlos M."},{"family":"Cistulli","given":"Peter A."},{"family":"Benjafield","given":"Adam V."}],"issued":{"date-parts":[["2021",4,1]]}}}],"schema":"https://github.com/citation-style-language/schema/raw/master/csl-citation.json"} </w:instrText>
            </w:r>
            <w:r w:rsidR="00FD520D" w:rsidRPr="00274C7E">
              <w:rPr>
                <w:sz w:val="20"/>
                <w:szCs w:val="20"/>
              </w:rPr>
              <w:fldChar w:fldCharType="separate"/>
            </w:r>
            <w:r w:rsidR="0001645F" w:rsidRPr="00274C7E">
              <w:rPr>
                <w:sz w:val="20"/>
              </w:rPr>
              <w:t>[9]</w:t>
            </w:r>
            <w:r w:rsidR="00FD520D" w:rsidRPr="00274C7E">
              <w:rPr>
                <w:sz w:val="20"/>
                <w:szCs w:val="20"/>
              </w:rPr>
              <w:fldChar w:fldCharType="end"/>
            </w:r>
          </w:p>
        </w:tc>
        <w:tc>
          <w:tcPr>
            <w:tcW w:w="1073" w:type="dxa"/>
            <w:tcBorders>
              <w:top w:val="single" w:sz="4" w:space="0" w:color="auto"/>
              <w:bottom w:val="single" w:sz="4" w:space="0" w:color="auto"/>
            </w:tcBorders>
            <w:shd w:val="clear" w:color="auto" w:fill="auto"/>
            <w:noWrap/>
            <w:vAlign w:val="bottom"/>
            <w:hideMark/>
          </w:tcPr>
          <w:p w14:paraId="6469140B" w14:textId="77777777" w:rsidR="0001645F" w:rsidRPr="00274C7E" w:rsidRDefault="0001645F" w:rsidP="00962A17">
            <w:pPr>
              <w:rPr>
                <w:sz w:val="20"/>
                <w:szCs w:val="20"/>
              </w:rPr>
            </w:pPr>
            <w:r w:rsidRPr="00274C7E">
              <w:rPr>
                <w:sz w:val="20"/>
                <w:szCs w:val="20"/>
              </w:rPr>
              <w:t>Brazil;</w:t>
            </w:r>
          </w:p>
          <w:p w14:paraId="2E32D525" w14:textId="77777777" w:rsidR="0001645F" w:rsidRPr="00274C7E" w:rsidRDefault="00DE28E8" w:rsidP="00962A17">
            <w:pPr>
              <w:rPr>
                <w:sz w:val="20"/>
                <w:szCs w:val="20"/>
              </w:rPr>
            </w:pPr>
            <w:r w:rsidRPr="00274C7E">
              <w:rPr>
                <w:sz w:val="20"/>
                <w:szCs w:val="20"/>
              </w:rPr>
              <w:t>Mexico</w:t>
            </w:r>
            <w:r w:rsidR="0001645F" w:rsidRPr="00274C7E">
              <w:rPr>
                <w:sz w:val="20"/>
                <w:szCs w:val="20"/>
              </w:rPr>
              <w:t>;</w:t>
            </w:r>
          </w:p>
          <w:p w14:paraId="6F27BC8A" w14:textId="77777777" w:rsidR="00DE28E8" w:rsidRPr="00274C7E" w:rsidRDefault="0001645F" w:rsidP="00962A17">
            <w:pPr>
              <w:rPr>
                <w:sz w:val="20"/>
                <w:szCs w:val="20"/>
              </w:rPr>
            </w:pPr>
            <w:r w:rsidRPr="00274C7E">
              <w:rPr>
                <w:sz w:val="20"/>
                <w:szCs w:val="20"/>
              </w:rPr>
              <w:t>USA</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278DAA4" w14:textId="77777777" w:rsidR="00DE28E8" w:rsidRPr="00274C7E" w:rsidRDefault="00DE28E8" w:rsidP="00962A17">
            <w:pPr>
              <w:rPr>
                <w:sz w:val="20"/>
                <w:szCs w:val="20"/>
              </w:rPr>
            </w:pPr>
            <w:r w:rsidRPr="00274C7E">
              <w:rPr>
                <w:sz w:val="20"/>
                <w:szCs w:val="20"/>
              </w:rPr>
              <w:t>4,181,</w:t>
            </w:r>
            <w:r w:rsidR="0001645F" w:rsidRPr="00274C7E">
              <w:rPr>
                <w:sz w:val="20"/>
                <w:szCs w:val="20"/>
              </w:rPr>
              <w:t>4</w:t>
            </w:r>
            <w:r w:rsidRPr="00274C7E">
              <w:rPr>
                <w:sz w:val="20"/>
                <w:szCs w:val="20"/>
              </w:rPr>
              <w:t>90</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51689D9E" w14:textId="77777777" w:rsidR="00DE28E8" w:rsidRPr="00274C7E" w:rsidRDefault="00DE28E8" w:rsidP="00962A17">
            <w:pPr>
              <w:jc w:val="center"/>
              <w:rPr>
                <w:sz w:val="20"/>
                <w:szCs w:val="20"/>
              </w:rPr>
            </w:pPr>
            <w:r w:rsidRPr="00274C7E">
              <w:rPr>
                <w:sz w:val="20"/>
                <w:szCs w:val="20"/>
              </w:rPr>
              <w:t>83%</w:t>
            </w:r>
          </w:p>
        </w:tc>
        <w:tc>
          <w:tcPr>
            <w:tcW w:w="960" w:type="dxa"/>
            <w:tcBorders>
              <w:top w:val="single" w:sz="4" w:space="0" w:color="auto"/>
              <w:bottom w:val="single" w:sz="4" w:space="0" w:color="auto"/>
            </w:tcBorders>
            <w:shd w:val="clear" w:color="auto" w:fill="auto"/>
            <w:noWrap/>
            <w:vAlign w:val="bottom"/>
            <w:hideMark/>
          </w:tcPr>
          <w:p w14:paraId="3573A0A6"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2FE6C983"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tcBorders>
            <w:shd w:val="clear" w:color="auto" w:fill="auto"/>
            <w:noWrap/>
            <w:vAlign w:val="bottom"/>
            <w:hideMark/>
          </w:tcPr>
          <w:p w14:paraId="43CD6BD3" w14:textId="77777777" w:rsidR="00DE28E8" w:rsidRPr="00274C7E" w:rsidRDefault="00DE28E8" w:rsidP="00962A17">
            <w:pPr>
              <w:jc w:val="center"/>
              <w:rPr>
                <w:sz w:val="20"/>
                <w:szCs w:val="20"/>
              </w:rPr>
            </w:pPr>
            <w:r w:rsidRPr="00274C7E">
              <w:rPr>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3AAE5133" w14:textId="77777777" w:rsidR="00DE28E8" w:rsidRPr="00274C7E" w:rsidRDefault="00DE28E8" w:rsidP="00962A17">
            <w:pPr>
              <w:jc w:val="center"/>
              <w:rPr>
                <w:sz w:val="20"/>
                <w:szCs w:val="20"/>
              </w:rPr>
            </w:pPr>
            <w:r w:rsidRPr="00274C7E">
              <w:rPr>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D94F" w14:textId="77777777" w:rsidR="00DE28E8" w:rsidRPr="00274C7E" w:rsidRDefault="00DE28E8" w:rsidP="00962A17">
            <w:pPr>
              <w:rPr>
                <w:sz w:val="20"/>
                <w:szCs w:val="20"/>
                <w:lang w:val="en-US"/>
              </w:rPr>
            </w:pPr>
            <w:r w:rsidRPr="00274C7E">
              <w:rPr>
                <w:sz w:val="20"/>
                <w:szCs w:val="20"/>
                <w:lang w:val="en-US"/>
              </w:rPr>
              <w:t> CPAP non-use for 30 consecutive days</w:t>
            </w:r>
          </w:p>
        </w:tc>
      </w:tr>
      <w:tr w:rsidR="00DC477A" w:rsidRPr="00274C7E" w14:paraId="30BF3174" w14:textId="77777777" w:rsidTr="00962A17">
        <w:trPr>
          <w:trHeight w:val="288"/>
        </w:trPr>
        <w:tc>
          <w:tcPr>
            <w:tcW w:w="1541" w:type="dxa"/>
            <w:tcBorders>
              <w:top w:val="single" w:sz="4" w:space="0" w:color="auto"/>
              <w:left w:val="single" w:sz="4" w:space="0" w:color="auto"/>
              <w:bottom w:val="single" w:sz="4" w:space="0" w:color="auto"/>
            </w:tcBorders>
            <w:shd w:val="clear" w:color="auto" w:fill="auto"/>
            <w:noWrap/>
            <w:vAlign w:val="bottom"/>
            <w:hideMark/>
          </w:tcPr>
          <w:p w14:paraId="1FBF1008" w14:textId="77777777" w:rsidR="00DE28E8" w:rsidRPr="00274C7E" w:rsidRDefault="00DE28E8" w:rsidP="00962A17">
            <w:pPr>
              <w:rPr>
                <w:b/>
                <w:bCs/>
                <w:sz w:val="20"/>
                <w:szCs w:val="20"/>
              </w:rPr>
            </w:pPr>
            <w:r w:rsidRPr="00274C7E">
              <w:rPr>
                <w:b/>
                <w:bCs/>
                <w:sz w:val="20"/>
                <w:szCs w:val="20"/>
              </w:rPr>
              <w:t>PROTEUS</w:t>
            </w:r>
          </w:p>
        </w:tc>
        <w:tc>
          <w:tcPr>
            <w:tcW w:w="1073" w:type="dxa"/>
            <w:tcBorders>
              <w:top w:val="single" w:sz="4" w:space="0" w:color="auto"/>
              <w:bottom w:val="single" w:sz="4" w:space="0" w:color="auto"/>
            </w:tcBorders>
            <w:shd w:val="clear" w:color="auto" w:fill="auto"/>
            <w:noWrap/>
            <w:vAlign w:val="bottom"/>
            <w:hideMark/>
          </w:tcPr>
          <w:p w14:paraId="7FD6C391" w14:textId="77777777" w:rsidR="00DE28E8" w:rsidRPr="00274C7E" w:rsidRDefault="00DE28E8" w:rsidP="00962A17">
            <w:pPr>
              <w:rPr>
                <w:b/>
                <w:bCs/>
                <w:sz w:val="20"/>
                <w:szCs w:val="20"/>
              </w:rPr>
            </w:pPr>
            <w:r w:rsidRPr="00274C7E">
              <w:rPr>
                <w:b/>
                <w:bCs/>
                <w:sz w:val="20"/>
                <w:szCs w:val="20"/>
              </w:rPr>
              <w:t>Italy</w:t>
            </w:r>
          </w:p>
        </w:tc>
        <w:tc>
          <w:tcPr>
            <w:tcW w:w="977" w:type="dxa"/>
            <w:tcBorders>
              <w:top w:val="single" w:sz="4" w:space="0" w:color="auto"/>
              <w:bottom w:val="single" w:sz="4" w:space="0" w:color="auto"/>
              <w:right w:val="single" w:sz="4" w:space="0" w:color="auto"/>
            </w:tcBorders>
            <w:shd w:val="clear" w:color="auto" w:fill="auto"/>
            <w:noWrap/>
            <w:vAlign w:val="bottom"/>
            <w:hideMark/>
          </w:tcPr>
          <w:p w14:paraId="6D198882" w14:textId="77777777" w:rsidR="00DE28E8" w:rsidRPr="00274C7E" w:rsidRDefault="00DE28E8" w:rsidP="00962A17">
            <w:pPr>
              <w:rPr>
                <w:b/>
                <w:bCs/>
                <w:sz w:val="20"/>
                <w:szCs w:val="20"/>
              </w:rPr>
            </w:pPr>
            <w:r w:rsidRPr="00274C7E">
              <w:rPr>
                <w:b/>
                <w:bCs/>
                <w:sz w:val="20"/>
                <w:szCs w:val="20"/>
              </w:rPr>
              <w:t>623</w:t>
            </w:r>
          </w:p>
        </w:tc>
        <w:tc>
          <w:tcPr>
            <w:tcW w:w="960" w:type="dxa"/>
            <w:tcBorders>
              <w:top w:val="single" w:sz="4" w:space="0" w:color="auto"/>
              <w:left w:val="single" w:sz="4" w:space="0" w:color="auto"/>
              <w:bottom w:val="single" w:sz="4" w:space="0" w:color="auto"/>
            </w:tcBorders>
            <w:shd w:val="clear" w:color="auto" w:fill="auto"/>
            <w:noWrap/>
            <w:vAlign w:val="bottom"/>
            <w:hideMark/>
          </w:tcPr>
          <w:p w14:paraId="0796E6BB" w14:textId="77777777" w:rsidR="00DE28E8" w:rsidRPr="00274C7E" w:rsidRDefault="00DE28E8" w:rsidP="00962A17">
            <w:pPr>
              <w:jc w:val="center"/>
              <w:rPr>
                <w:b/>
                <w:bCs/>
                <w:sz w:val="20"/>
                <w:szCs w:val="20"/>
              </w:rPr>
            </w:pPr>
            <w:r w:rsidRPr="00274C7E">
              <w:rPr>
                <w:b/>
                <w:bCs/>
                <w:sz w:val="20"/>
                <w:szCs w:val="20"/>
              </w:rPr>
              <w:t>91.4%</w:t>
            </w:r>
          </w:p>
        </w:tc>
        <w:tc>
          <w:tcPr>
            <w:tcW w:w="960" w:type="dxa"/>
            <w:tcBorders>
              <w:top w:val="single" w:sz="4" w:space="0" w:color="auto"/>
              <w:bottom w:val="single" w:sz="4" w:space="0" w:color="auto"/>
            </w:tcBorders>
            <w:shd w:val="clear" w:color="auto" w:fill="auto"/>
            <w:noWrap/>
            <w:vAlign w:val="bottom"/>
            <w:hideMark/>
          </w:tcPr>
          <w:p w14:paraId="431E3F04" w14:textId="77777777" w:rsidR="00DE28E8" w:rsidRPr="00274C7E" w:rsidRDefault="00DE28E8" w:rsidP="00962A17">
            <w:pPr>
              <w:jc w:val="center"/>
              <w:rPr>
                <w:b/>
                <w:bCs/>
                <w:sz w:val="20"/>
                <w:szCs w:val="20"/>
              </w:rPr>
            </w:pPr>
            <w:r w:rsidRPr="00274C7E">
              <w:rPr>
                <w:b/>
                <w:bCs/>
                <w:sz w:val="20"/>
                <w:szCs w:val="20"/>
              </w:rPr>
              <w:t>8</w:t>
            </w:r>
            <w:r w:rsidR="00EB3715" w:rsidRPr="00274C7E">
              <w:rPr>
                <w:b/>
                <w:bCs/>
                <w:sz w:val="20"/>
                <w:szCs w:val="20"/>
              </w:rPr>
              <w:t>9</w:t>
            </w:r>
            <w:r w:rsidRPr="00274C7E">
              <w:rPr>
                <w:b/>
                <w:bCs/>
                <w:sz w:val="20"/>
                <w:szCs w:val="20"/>
              </w:rPr>
              <w:t>%</w:t>
            </w:r>
          </w:p>
        </w:tc>
        <w:tc>
          <w:tcPr>
            <w:tcW w:w="960" w:type="dxa"/>
            <w:tcBorders>
              <w:top w:val="single" w:sz="4" w:space="0" w:color="auto"/>
              <w:bottom w:val="single" w:sz="4" w:space="0" w:color="auto"/>
            </w:tcBorders>
            <w:shd w:val="clear" w:color="auto" w:fill="auto"/>
            <w:noWrap/>
            <w:vAlign w:val="bottom"/>
            <w:hideMark/>
          </w:tcPr>
          <w:p w14:paraId="7A64674C" w14:textId="77777777" w:rsidR="00DE28E8" w:rsidRPr="00274C7E" w:rsidRDefault="00DE28E8" w:rsidP="00962A17">
            <w:pPr>
              <w:jc w:val="center"/>
              <w:rPr>
                <w:b/>
                <w:bCs/>
                <w:sz w:val="20"/>
                <w:szCs w:val="20"/>
              </w:rPr>
            </w:pPr>
            <w:r w:rsidRPr="00274C7E">
              <w:rPr>
                <w:b/>
                <w:bCs/>
                <w:sz w:val="20"/>
                <w:szCs w:val="20"/>
              </w:rPr>
              <w:t>87.</w:t>
            </w:r>
            <w:r w:rsidR="00EB3715" w:rsidRPr="00274C7E">
              <w:rPr>
                <w:b/>
                <w:bCs/>
                <w:sz w:val="20"/>
                <w:szCs w:val="20"/>
              </w:rPr>
              <w:t>6</w:t>
            </w:r>
            <w:r w:rsidRPr="00274C7E">
              <w:rPr>
                <w:b/>
                <w:bCs/>
                <w:sz w:val="20"/>
                <w:szCs w:val="20"/>
              </w:rPr>
              <w:t>%</w:t>
            </w:r>
          </w:p>
        </w:tc>
        <w:tc>
          <w:tcPr>
            <w:tcW w:w="960" w:type="dxa"/>
            <w:tcBorders>
              <w:top w:val="single" w:sz="4" w:space="0" w:color="auto"/>
              <w:bottom w:val="single" w:sz="4" w:space="0" w:color="auto"/>
            </w:tcBorders>
            <w:shd w:val="clear" w:color="auto" w:fill="auto"/>
            <w:noWrap/>
            <w:vAlign w:val="bottom"/>
            <w:hideMark/>
          </w:tcPr>
          <w:p w14:paraId="78DBCF8F" w14:textId="77777777" w:rsidR="00DE28E8" w:rsidRPr="00274C7E" w:rsidRDefault="00DE28E8" w:rsidP="00962A17">
            <w:pPr>
              <w:jc w:val="center"/>
              <w:rPr>
                <w:b/>
                <w:bCs/>
                <w:sz w:val="20"/>
                <w:szCs w:val="20"/>
              </w:rPr>
            </w:pPr>
            <w:r w:rsidRPr="00274C7E">
              <w:rPr>
                <w:b/>
                <w:bCs/>
                <w:sz w:val="20"/>
                <w:szCs w:val="20"/>
              </w:rPr>
              <w:t>8</w:t>
            </w:r>
            <w:r w:rsidR="00EB3715" w:rsidRPr="00274C7E">
              <w:rPr>
                <w:b/>
                <w:bCs/>
                <w:sz w:val="20"/>
                <w:szCs w:val="20"/>
              </w:rPr>
              <w:t>7</w:t>
            </w:r>
            <w:r w:rsidRPr="00274C7E">
              <w:rPr>
                <w:b/>
                <w:bCs/>
                <w:sz w:val="20"/>
                <w:szCs w:val="20"/>
              </w:rPr>
              <w:t>.</w:t>
            </w:r>
            <w:r w:rsidR="00EB3715" w:rsidRPr="00274C7E">
              <w:rPr>
                <w:b/>
                <w:bCs/>
                <w:sz w:val="20"/>
                <w:szCs w:val="20"/>
              </w:rPr>
              <w:t>3</w:t>
            </w:r>
            <w:r w:rsidRPr="00274C7E">
              <w:rPr>
                <w:b/>
                <w:bCs/>
                <w:sz w:val="20"/>
                <w:szCs w:val="20"/>
              </w:rPr>
              <w:t>%</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3B69205" w14:textId="77777777" w:rsidR="00DE28E8" w:rsidRPr="00274C7E" w:rsidRDefault="00DE28E8" w:rsidP="00962A17">
            <w:pPr>
              <w:jc w:val="center"/>
              <w:rPr>
                <w:b/>
                <w:bCs/>
                <w:sz w:val="20"/>
                <w:szCs w:val="20"/>
              </w:rPr>
            </w:pPr>
            <w:r w:rsidRPr="00274C7E">
              <w:rPr>
                <w:b/>
                <w:bCs/>
                <w:sz w:val="20"/>
                <w:szCs w:val="20"/>
              </w:rPr>
              <w:t>8</w:t>
            </w:r>
            <w:r w:rsidR="00EB3715" w:rsidRPr="00274C7E">
              <w:rPr>
                <w:b/>
                <w:bCs/>
                <w:sz w:val="20"/>
                <w:szCs w:val="20"/>
              </w:rPr>
              <w:t>7</w:t>
            </w:r>
            <w:r w:rsidRPr="00274C7E">
              <w:rPr>
                <w:b/>
                <w:bCs/>
                <w:sz w:val="20"/>
                <w:szCs w:val="20"/>
              </w:rPr>
              <w: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810A" w14:textId="77777777" w:rsidR="00DE28E8" w:rsidRPr="00274C7E" w:rsidRDefault="00DE28E8" w:rsidP="00962A17">
            <w:pPr>
              <w:rPr>
                <w:b/>
                <w:bCs/>
                <w:sz w:val="20"/>
                <w:szCs w:val="20"/>
                <w:lang w:val="en-US"/>
              </w:rPr>
            </w:pPr>
            <w:r w:rsidRPr="00274C7E">
              <w:rPr>
                <w:b/>
                <w:bCs/>
                <w:sz w:val="20"/>
                <w:szCs w:val="20"/>
                <w:lang w:val="en-US"/>
              </w:rPr>
              <w:t> &lt; 4 h·night</w:t>
            </w:r>
            <w:r w:rsidRPr="00274C7E">
              <w:rPr>
                <w:b/>
                <w:bCs/>
                <w:sz w:val="20"/>
                <w:szCs w:val="20"/>
                <w:vertAlign w:val="superscript"/>
                <w:lang w:val="en-US"/>
              </w:rPr>
              <w:t>-1</w:t>
            </w:r>
            <w:r w:rsidRPr="00274C7E">
              <w:rPr>
                <w:b/>
                <w:bCs/>
                <w:sz w:val="20"/>
                <w:szCs w:val="20"/>
                <w:lang w:val="en-US"/>
              </w:rPr>
              <w:t xml:space="preserve"> and 70% of nights</w:t>
            </w:r>
          </w:p>
        </w:tc>
      </w:tr>
    </w:tbl>
    <w:p w14:paraId="31D8FA4B" w14:textId="77777777" w:rsidR="00DE28E8" w:rsidRPr="00274C7E" w:rsidRDefault="00DE28E8" w:rsidP="00DE28E8">
      <w:pPr>
        <w:rPr>
          <w:rFonts w:eastAsia="Calibri"/>
          <w:sz w:val="24"/>
          <w:szCs w:val="24"/>
          <w:highlight w:val="yellow"/>
          <w:lang w:val="en-US"/>
        </w:rPr>
      </w:pPr>
    </w:p>
    <w:p w14:paraId="6C06F033" w14:textId="77777777" w:rsidR="00DE28E8" w:rsidRPr="00274C7E" w:rsidRDefault="00DE28E8" w:rsidP="00DE28E8">
      <w:pPr>
        <w:rPr>
          <w:rFonts w:eastAsia="Calibri"/>
          <w:sz w:val="24"/>
          <w:szCs w:val="24"/>
          <w:highlight w:val="yellow"/>
          <w:lang w:val="en-US"/>
        </w:rPr>
      </w:pPr>
    </w:p>
    <w:p w14:paraId="6139D660" w14:textId="77777777" w:rsidR="0001645F" w:rsidRPr="00274C7E" w:rsidRDefault="0001645F">
      <w:pPr>
        <w:spacing w:after="160" w:line="259" w:lineRule="auto"/>
        <w:rPr>
          <w:rFonts w:eastAsia="Calibri"/>
          <w:b/>
          <w:bCs/>
          <w:noProof/>
          <w:sz w:val="28"/>
          <w:szCs w:val="28"/>
          <w:lang w:val="en-US"/>
        </w:rPr>
      </w:pPr>
      <w:r w:rsidRPr="00274C7E">
        <w:rPr>
          <w:rFonts w:eastAsia="Calibri"/>
          <w:b/>
          <w:bCs/>
          <w:noProof/>
          <w:sz w:val="28"/>
          <w:szCs w:val="28"/>
          <w:lang w:val="en-US"/>
        </w:rPr>
        <w:br w:type="page"/>
      </w:r>
    </w:p>
    <w:p w14:paraId="02E218D7" w14:textId="77777777" w:rsidR="00DE28E8" w:rsidRPr="00274C7E" w:rsidRDefault="00DE28E8" w:rsidP="00DE28E8">
      <w:pPr>
        <w:rPr>
          <w:b/>
          <w:bCs/>
          <w:sz w:val="24"/>
          <w:szCs w:val="24"/>
        </w:rPr>
      </w:pPr>
      <w:r w:rsidRPr="00274C7E">
        <w:rPr>
          <w:rFonts w:eastAsia="Calibri"/>
          <w:b/>
          <w:bCs/>
          <w:noProof/>
          <w:sz w:val="28"/>
          <w:szCs w:val="28"/>
        </w:rPr>
        <w:lastRenderedPageBreak/>
        <w:t>References</w:t>
      </w:r>
    </w:p>
    <w:p w14:paraId="36DF9C2A" w14:textId="77777777" w:rsidR="0001645F" w:rsidRPr="00274C7E" w:rsidRDefault="00FD520D" w:rsidP="0001645F">
      <w:pPr>
        <w:pStyle w:val="Bibliography"/>
        <w:rPr>
          <w:sz w:val="20"/>
          <w:szCs w:val="20"/>
        </w:rPr>
      </w:pPr>
      <w:r w:rsidRPr="00274C7E">
        <w:rPr>
          <w:sz w:val="20"/>
          <w:szCs w:val="20"/>
        </w:rPr>
        <w:fldChar w:fldCharType="begin"/>
      </w:r>
      <w:r w:rsidR="0001645F" w:rsidRPr="00274C7E">
        <w:rPr>
          <w:sz w:val="20"/>
          <w:szCs w:val="20"/>
        </w:rPr>
        <w:instrText xml:space="preserve"> ADDIN ZOTERO_BIBL {"uncited":[],"omitted":[],"custom":[]} CSL_BIBLIOGRAPHY </w:instrText>
      </w:r>
      <w:r w:rsidRPr="00274C7E">
        <w:rPr>
          <w:sz w:val="20"/>
          <w:szCs w:val="20"/>
        </w:rPr>
        <w:fldChar w:fldCharType="separate"/>
      </w:r>
      <w:r w:rsidR="0001645F" w:rsidRPr="00274C7E">
        <w:rPr>
          <w:sz w:val="20"/>
          <w:szCs w:val="20"/>
        </w:rPr>
        <w:t>[1]</w:t>
      </w:r>
      <w:r w:rsidR="0001645F" w:rsidRPr="00274C7E">
        <w:rPr>
          <w:sz w:val="20"/>
          <w:szCs w:val="20"/>
        </w:rPr>
        <w:tab/>
        <w:t>Morrone E, Giordano A, Carli S, Visca D, Rossato F, Godio M, et al. Something is changing in adherence to CPAP therapy: real world data after 1 year of treatment in patients with obstructive sleep apnoea. European Respiratory Journal 2020;55. https://doi.org/10.1183/13993003.01419-2019.</w:t>
      </w:r>
    </w:p>
    <w:p w14:paraId="3B76C99B" w14:textId="77777777" w:rsidR="0001645F" w:rsidRPr="00274C7E" w:rsidRDefault="0001645F" w:rsidP="0001645F">
      <w:pPr>
        <w:pStyle w:val="Bibliography"/>
        <w:rPr>
          <w:sz w:val="20"/>
          <w:szCs w:val="20"/>
        </w:rPr>
      </w:pPr>
      <w:r w:rsidRPr="00274C7E">
        <w:rPr>
          <w:sz w:val="20"/>
          <w:szCs w:val="20"/>
        </w:rPr>
        <w:t>[2]</w:t>
      </w:r>
      <w:r w:rsidRPr="00274C7E">
        <w:rPr>
          <w:sz w:val="20"/>
          <w:szCs w:val="20"/>
        </w:rPr>
        <w:tab/>
        <w:t>Tan B, Tan A, Chan YH, Mok Y, Wong HS, Hsu PP. Adherence to Continuous Positive Airway Pressure therapy in Singaporean patients with Obstructive Sleep Apnea. Am J Otolaryngol 2018;39:501–6. https://doi.org/10.1016/j.amjoto.2018.05.012.</w:t>
      </w:r>
    </w:p>
    <w:p w14:paraId="572121B0" w14:textId="77777777" w:rsidR="0001645F" w:rsidRPr="00274C7E" w:rsidRDefault="0001645F" w:rsidP="0001645F">
      <w:pPr>
        <w:pStyle w:val="Bibliography"/>
        <w:rPr>
          <w:sz w:val="20"/>
          <w:szCs w:val="20"/>
        </w:rPr>
      </w:pPr>
      <w:r w:rsidRPr="00274C7E">
        <w:rPr>
          <w:sz w:val="20"/>
          <w:szCs w:val="20"/>
        </w:rPr>
        <w:t>[3]</w:t>
      </w:r>
      <w:r w:rsidRPr="00274C7E">
        <w:rPr>
          <w:sz w:val="20"/>
          <w:szCs w:val="20"/>
        </w:rPr>
        <w:tab/>
        <w:t>Jacobsen AR, Eriksen F, Hansen RW, Erlandsen M, Thorup L, Damgård MB, et al. Determinants for adherence to continuous positive airway pressure therapy in obstructive sleep apnea. PLoS One 2017;12:e0189614. https://doi.org/10.1371/journal.pone.0189614.</w:t>
      </w:r>
    </w:p>
    <w:p w14:paraId="2D1649BC" w14:textId="77777777" w:rsidR="0001645F" w:rsidRPr="00274C7E" w:rsidRDefault="0001645F" w:rsidP="0001645F">
      <w:pPr>
        <w:pStyle w:val="Bibliography"/>
        <w:rPr>
          <w:sz w:val="20"/>
          <w:szCs w:val="20"/>
        </w:rPr>
      </w:pPr>
      <w:r w:rsidRPr="00274C7E">
        <w:rPr>
          <w:sz w:val="20"/>
          <w:szCs w:val="20"/>
        </w:rPr>
        <w:t>[4]</w:t>
      </w:r>
      <w:r w:rsidRPr="00274C7E">
        <w:rPr>
          <w:sz w:val="20"/>
          <w:szCs w:val="20"/>
        </w:rPr>
        <w:tab/>
        <w:t>Pépin J-L, Bailly S, Rinder P, Adler D, Szeftel D, Malhotra A, et al. CPAP Therapy Termination Rates by OSA Phenotype: A French Nationwide Database Analysis. J Clin Med 2021;10:936. https://doi.org/10.3390/jcm10050936.</w:t>
      </w:r>
    </w:p>
    <w:p w14:paraId="4B17813F" w14:textId="77777777" w:rsidR="0001645F" w:rsidRPr="00274C7E" w:rsidRDefault="0001645F" w:rsidP="0001645F">
      <w:pPr>
        <w:pStyle w:val="Bibliography"/>
        <w:rPr>
          <w:sz w:val="20"/>
          <w:szCs w:val="20"/>
        </w:rPr>
      </w:pPr>
      <w:r w:rsidRPr="00274C7E">
        <w:rPr>
          <w:sz w:val="20"/>
          <w:szCs w:val="20"/>
        </w:rPr>
        <w:t>[5]</w:t>
      </w:r>
      <w:r w:rsidRPr="00274C7E">
        <w:rPr>
          <w:sz w:val="20"/>
          <w:szCs w:val="20"/>
        </w:rPr>
        <w:tab/>
        <w:t>McArdle N, Devereux G, Heidarnejad H, Engleman HM, Mackay TW, Douglas NJ. Long-term use of CPAP therapy for sleep apnea/hypopnea syndrome. Am J Respir Crit Care Med 1999;159:1108–14. https://doi.org/10.1164/ajrccm.159.4.9807111.</w:t>
      </w:r>
    </w:p>
    <w:p w14:paraId="5FC62075" w14:textId="77777777" w:rsidR="0001645F" w:rsidRPr="00274C7E" w:rsidRDefault="0001645F" w:rsidP="0001645F">
      <w:pPr>
        <w:pStyle w:val="Bibliography"/>
        <w:rPr>
          <w:sz w:val="20"/>
          <w:szCs w:val="20"/>
        </w:rPr>
      </w:pPr>
      <w:r w:rsidRPr="00274C7E">
        <w:rPr>
          <w:sz w:val="20"/>
          <w:szCs w:val="20"/>
          <w:lang w:val="en-US"/>
        </w:rPr>
        <w:t>[6]</w:t>
      </w:r>
      <w:r w:rsidRPr="00274C7E">
        <w:rPr>
          <w:sz w:val="20"/>
          <w:szCs w:val="20"/>
          <w:lang w:val="en-US"/>
        </w:rPr>
        <w:tab/>
        <w:t xml:space="preserve">Woehrle H, Arzt M, Graml A, Fietze I, Young P, Teschler H, et al. Predictors of positive airway pressure therapy termination in the first year: analysis of big data from a German homecare provider. </w:t>
      </w:r>
      <w:r w:rsidRPr="00274C7E">
        <w:rPr>
          <w:sz w:val="20"/>
          <w:szCs w:val="20"/>
        </w:rPr>
        <w:t>BMC Pulm Med 2018;18:186. https://doi.org/10.1186/s12890-018-0748-8.</w:t>
      </w:r>
    </w:p>
    <w:p w14:paraId="4ED808C9" w14:textId="77777777" w:rsidR="0001645F" w:rsidRPr="00274C7E" w:rsidRDefault="0001645F" w:rsidP="0001645F">
      <w:pPr>
        <w:pStyle w:val="Bibliography"/>
        <w:rPr>
          <w:sz w:val="20"/>
          <w:szCs w:val="20"/>
          <w:lang w:val="en-US"/>
        </w:rPr>
      </w:pPr>
      <w:r w:rsidRPr="00274C7E">
        <w:rPr>
          <w:sz w:val="20"/>
          <w:szCs w:val="20"/>
        </w:rPr>
        <w:t>[7]</w:t>
      </w:r>
      <w:r w:rsidRPr="00274C7E">
        <w:rPr>
          <w:sz w:val="20"/>
          <w:szCs w:val="20"/>
        </w:rPr>
        <w:tab/>
        <w:t xml:space="preserve">Zampogna E, Spanevello A, Lucioni AM, Facchetti C, Sotgiu G, Saderi L, et al. </w:t>
      </w:r>
      <w:r w:rsidRPr="00274C7E">
        <w:rPr>
          <w:sz w:val="20"/>
          <w:szCs w:val="20"/>
          <w:lang w:val="en-US"/>
        </w:rPr>
        <w:t>Adherence to Continuous Positive Airway Pressure in patients with Obstructive Sleep Apnoea. A ten year real life study. Respir Med 2019;150:95–100. https://doi.org/10.1016/j.rmed.2019.02.017.</w:t>
      </w:r>
    </w:p>
    <w:p w14:paraId="50D5F085" w14:textId="77777777" w:rsidR="0001645F" w:rsidRPr="00274C7E" w:rsidRDefault="0001645F" w:rsidP="0001645F">
      <w:pPr>
        <w:pStyle w:val="Bibliography"/>
        <w:rPr>
          <w:sz w:val="20"/>
          <w:szCs w:val="20"/>
          <w:lang w:val="en-US"/>
        </w:rPr>
      </w:pPr>
      <w:r w:rsidRPr="00274C7E">
        <w:rPr>
          <w:sz w:val="20"/>
          <w:szCs w:val="20"/>
          <w:lang w:val="en-US"/>
        </w:rPr>
        <w:t>[8]</w:t>
      </w:r>
      <w:r w:rsidRPr="00274C7E">
        <w:rPr>
          <w:sz w:val="20"/>
          <w:szCs w:val="20"/>
          <w:lang w:val="en-US"/>
        </w:rPr>
        <w:tab/>
        <w:t>Schoch OD, Baty F, Niedermann J, Rüdiger JJ, Brutsche MH. Baseline predictors of adherence to positive airway pressure therapy for sleep apnea: a 10-year single-center observational cohort study. Respiration 2014;87:121–8. https://doi.org/10.1159/000354186.</w:t>
      </w:r>
    </w:p>
    <w:p w14:paraId="3A78EE91" w14:textId="77777777" w:rsidR="0001645F" w:rsidRPr="00274C7E" w:rsidRDefault="0001645F" w:rsidP="0001645F">
      <w:pPr>
        <w:pStyle w:val="Bibliography"/>
        <w:rPr>
          <w:sz w:val="20"/>
          <w:szCs w:val="20"/>
        </w:rPr>
      </w:pPr>
      <w:r w:rsidRPr="00274C7E">
        <w:rPr>
          <w:sz w:val="20"/>
          <w:szCs w:val="20"/>
          <w:lang w:val="en-US"/>
        </w:rPr>
        <w:t>[9]</w:t>
      </w:r>
      <w:r w:rsidRPr="00274C7E">
        <w:rPr>
          <w:sz w:val="20"/>
          <w:szCs w:val="20"/>
          <w:lang w:val="en-US"/>
        </w:rPr>
        <w:tab/>
        <w:t xml:space="preserve">Drager LF, Malhotra A, Yan Y, Pépin J-L, Armitstead JP, Woehrle H, et al. Adherence with positive airway pressure therapy for obstructive sleep apnea in developing vs. developed countries: a big data study. </w:t>
      </w:r>
      <w:r w:rsidRPr="00274C7E">
        <w:rPr>
          <w:sz w:val="20"/>
          <w:szCs w:val="20"/>
        </w:rPr>
        <w:t>J Clin Sleep Med 2021;17:703–9. https://doi.org/10.5664/jcsm.9008.</w:t>
      </w:r>
    </w:p>
    <w:p w14:paraId="4C64F8C2" w14:textId="77777777" w:rsidR="00CB059E" w:rsidRPr="00274C7E" w:rsidRDefault="00FD520D">
      <w:r w:rsidRPr="00274C7E">
        <w:rPr>
          <w:sz w:val="20"/>
          <w:szCs w:val="20"/>
        </w:rPr>
        <w:fldChar w:fldCharType="end"/>
      </w:r>
    </w:p>
    <w:sectPr w:rsidR="00CB059E" w:rsidRPr="00274C7E" w:rsidSect="005C3DE0">
      <w:footerReference w:type="even" r:id="rId7"/>
      <w:footerReference w:type="default" r:id="rId8"/>
      <w:footerReference w:type="firs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0C26" w14:textId="77777777" w:rsidR="00EC5873" w:rsidRDefault="00EC5873">
      <w:pPr>
        <w:spacing w:line="240" w:lineRule="auto"/>
      </w:pPr>
      <w:r>
        <w:separator/>
      </w:r>
    </w:p>
  </w:endnote>
  <w:endnote w:type="continuationSeparator" w:id="0">
    <w:p w14:paraId="1B7D9D02" w14:textId="77777777" w:rsidR="00EC5873" w:rsidRDefault="00EC5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1841" w14:textId="77777777" w:rsidR="00C65174" w:rsidRDefault="00C6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31420"/>
      <w:docPartObj>
        <w:docPartGallery w:val="Page Numbers (Bottom of Page)"/>
        <w:docPartUnique/>
      </w:docPartObj>
    </w:sdtPr>
    <w:sdtEndPr>
      <w:rPr>
        <w:rFonts w:ascii="Calibri Light" w:hAnsi="Calibri Light" w:cs="Calibri Light"/>
      </w:rPr>
    </w:sdtEndPr>
    <w:sdtContent>
      <w:p w14:paraId="631A11FB" w14:textId="77777777" w:rsidR="00614927" w:rsidRPr="00A0354A" w:rsidRDefault="00FD520D">
        <w:pPr>
          <w:pStyle w:val="Footer"/>
          <w:jc w:val="right"/>
          <w:rPr>
            <w:rFonts w:ascii="Calibri Light" w:hAnsi="Calibri Light" w:cs="Calibri Light"/>
          </w:rPr>
        </w:pPr>
        <w:r w:rsidRPr="00A0354A">
          <w:rPr>
            <w:rFonts w:ascii="Calibri Light" w:hAnsi="Calibri Light" w:cs="Calibri Light"/>
          </w:rPr>
          <w:fldChar w:fldCharType="begin"/>
        </w:r>
        <w:r w:rsidR="00C451E0" w:rsidRPr="00A0354A">
          <w:rPr>
            <w:rFonts w:ascii="Calibri Light" w:hAnsi="Calibri Light" w:cs="Calibri Light"/>
          </w:rPr>
          <w:instrText>PAGE   \* MERGEFORMAT</w:instrText>
        </w:r>
        <w:r w:rsidRPr="00A0354A">
          <w:rPr>
            <w:rFonts w:ascii="Calibri Light" w:hAnsi="Calibri Light" w:cs="Calibri Light"/>
          </w:rPr>
          <w:fldChar w:fldCharType="separate"/>
        </w:r>
        <w:r w:rsidR="00380FC9">
          <w:rPr>
            <w:rFonts w:ascii="Calibri Light" w:hAnsi="Calibri Light" w:cs="Calibri Light"/>
            <w:noProof/>
          </w:rPr>
          <w:t>2</w:t>
        </w:r>
        <w:r w:rsidRPr="00A0354A">
          <w:rPr>
            <w:rFonts w:ascii="Calibri Light" w:hAnsi="Calibri Light" w:cs="Calibri Light"/>
          </w:rPr>
          <w:fldChar w:fldCharType="end"/>
        </w:r>
      </w:p>
    </w:sdtContent>
  </w:sdt>
  <w:p w14:paraId="7A30C6C9" w14:textId="77777777" w:rsidR="00614927" w:rsidRDefault="0061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5764" w14:textId="77777777" w:rsidR="00C65174" w:rsidRDefault="00C6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13C8" w14:textId="77777777" w:rsidR="00EC5873" w:rsidRDefault="00EC5873">
      <w:pPr>
        <w:spacing w:line="240" w:lineRule="auto"/>
      </w:pPr>
      <w:r>
        <w:separator/>
      </w:r>
    </w:p>
  </w:footnote>
  <w:footnote w:type="continuationSeparator" w:id="0">
    <w:p w14:paraId="3F30C01F" w14:textId="77777777" w:rsidR="00EC5873" w:rsidRDefault="00EC5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1FBA"/>
    <w:multiLevelType w:val="hybridMultilevel"/>
    <w:tmpl w:val="69D0A71C"/>
    <w:lvl w:ilvl="0" w:tplc="493A8D84">
      <w:numFmt w:val="bullet"/>
      <w:lvlText w:val=""/>
      <w:lvlJc w:val="left"/>
      <w:pPr>
        <w:ind w:left="720" w:hanging="360"/>
      </w:pPr>
      <w:rPr>
        <w:rFonts w:ascii="Symbol" w:eastAsia="Calibri" w:hAnsi="Symbol"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933821"/>
    <w:multiLevelType w:val="hybridMultilevel"/>
    <w:tmpl w:val="3BBC099C"/>
    <w:lvl w:ilvl="0" w:tplc="40742C0C">
      <w:numFmt w:val="bullet"/>
      <w:lvlText w:val=""/>
      <w:lvlJc w:val="left"/>
      <w:pPr>
        <w:ind w:left="720" w:hanging="360"/>
      </w:pPr>
      <w:rPr>
        <w:rFonts w:ascii="Symbol" w:eastAsia="Calibri" w:hAnsi="Symbol"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9348145">
    <w:abstractNumId w:val="1"/>
  </w:num>
  <w:num w:numId="2" w16cid:durableId="114943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8E8"/>
    <w:rsid w:val="0001645F"/>
    <w:rsid w:val="000915B9"/>
    <w:rsid w:val="0009242D"/>
    <w:rsid w:val="000D31F7"/>
    <w:rsid w:val="00133AD8"/>
    <w:rsid w:val="00136228"/>
    <w:rsid w:val="0015121E"/>
    <w:rsid w:val="001A3C63"/>
    <w:rsid w:val="001F1647"/>
    <w:rsid w:val="001F4A3B"/>
    <w:rsid w:val="00274C7E"/>
    <w:rsid w:val="00280020"/>
    <w:rsid w:val="002F72AD"/>
    <w:rsid w:val="00380FC9"/>
    <w:rsid w:val="003928C4"/>
    <w:rsid w:val="00397BFA"/>
    <w:rsid w:val="003D411F"/>
    <w:rsid w:val="00405EF5"/>
    <w:rsid w:val="00446C2A"/>
    <w:rsid w:val="004A54B2"/>
    <w:rsid w:val="00535F62"/>
    <w:rsid w:val="005556FA"/>
    <w:rsid w:val="00582A1A"/>
    <w:rsid w:val="005C3DE0"/>
    <w:rsid w:val="00614927"/>
    <w:rsid w:val="0066626C"/>
    <w:rsid w:val="00684971"/>
    <w:rsid w:val="008533F7"/>
    <w:rsid w:val="008844BA"/>
    <w:rsid w:val="008C0379"/>
    <w:rsid w:val="00912F70"/>
    <w:rsid w:val="00930AE0"/>
    <w:rsid w:val="00A818AC"/>
    <w:rsid w:val="00AB5124"/>
    <w:rsid w:val="00B06E5E"/>
    <w:rsid w:val="00B11257"/>
    <w:rsid w:val="00B4316B"/>
    <w:rsid w:val="00B634FB"/>
    <w:rsid w:val="00BC0F74"/>
    <w:rsid w:val="00BE02D2"/>
    <w:rsid w:val="00BF23C3"/>
    <w:rsid w:val="00C33834"/>
    <w:rsid w:val="00C451E0"/>
    <w:rsid w:val="00C462DF"/>
    <w:rsid w:val="00C65174"/>
    <w:rsid w:val="00C711E2"/>
    <w:rsid w:val="00C878B0"/>
    <w:rsid w:val="00CB059E"/>
    <w:rsid w:val="00D43E25"/>
    <w:rsid w:val="00D81DA0"/>
    <w:rsid w:val="00DC477A"/>
    <w:rsid w:val="00DD46E1"/>
    <w:rsid w:val="00DE28E8"/>
    <w:rsid w:val="00EB3715"/>
    <w:rsid w:val="00EC5873"/>
    <w:rsid w:val="00F058D1"/>
    <w:rsid w:val="00F0727F"/>
    <w:rsid w:val="00FC4E59"/>
    <w:rsid w:val="00FD5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D097"/>
  <w15:docId w15:val="{269B6CB7-EC45-4B3D-8D55-3F509F2B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E8"/>
    <w:pPr>
      <w:spacing w:after="0" w:line="276" w:lineRule="auto"/>
    </w:pPr>
    <w:rPr>
      <w:rFonts w:ascii="Arial" w:eastAsia="Arial" w:hAnsi="Arial" w:cs="Arial"/>
      <w:kern w:val="0"/>
      <w:lang w:eastAsia="it-IT"/>
    </w:rPr>
  </w:style>
  <w:style w:type="paragraph" w:styleId="Heading1">
    <w:name w:val="heading 1"/>
    <w:basedOn w:val="Normal"/>
    <w:next w:val="Normal"/>
    <w:link w:val="Heading1Char"/>
    <w:uiPriority w:val="9"/>
    <w:qFormat/>
    <w:rsid w:val="00DE28E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DE28E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DE28E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DE28E8"/>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DE28E8"/>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DE28E8"/>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DE28E8"/>
    <w:pPr>
      <w:keepNext/>
      <w:keepLines/>
      <w:spacing w:before="40" w:line="259"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DE28E8"/>
    <w:pPr>
      <w:keepNext/>
      <w:keepLines/>
      <w:spacing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DE28E8"/>
    <w:pPr>
      <w:keepNext/>
      <w:keepLines/>
      <w:spacing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8E8"/>
    <w:rPr>
      <w:rFonts w:eastAsiaTheme="majorEastAsia" w:cstheme="majorBidi"/>
      <w:color w:val="272727" w:themeColor="text1" w:themeTint="D8"/>
    </w:rPr>
  </w:style>
  <w:style w:type="paragraph" w:styleId="Title">
    <w:name w:val="Title"/>
    <w:basedOn w:val="Normal"/>
    <w:next w:val="Normal"/>
    <w:link w:val="TitleChar"/>
    <w:uiPriority w:val="10"/>
    <w:qFormat/>
    <w:rsid w:val="00DE28E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E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8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DE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8E8"/>
    <w:pPr>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DE28E8"/>
    <w:rPr>
      <w:i/>
      <w:iCs/>
      <w:color w:val="404040" w:themeColor="text1" w:themeTint="BF"/>
    </w:rPr>
  </w:style>
  <w:style w:type="paragraph" w:styleId="ListParagraph">
    <w:name w:val="List Paragraph"/>
    <w:basedOn w:val="Normal"/>
    <w:uiPriority w:val="34"/>
    <w:qFormat/>
    <w:rsid w:val="00DE28E8"/>
    <w:pPr>
      <w:spacing w:after="160" w:line="259"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DE28E8"/>
    <w:rPr>
      <w:i/>
      <w:iCs/>
      <w:color w:val="0F4761" w:themeColor="accent1" w:themeShade="BF"/>
    </w:rPr>
  </w:style>
  <w:style w:type="paragraph" w:styleId="IntenseQuote">
    <w:name w:val="Intense Quote"/>
    <w:basedOn w:val="Normal"/>
    <w:next w:val="Normal"/>
    <w:link w:val="IntenseQuoteChar"/>
    <w:uiPriority w:val="30"/>
    <w:qFormat/>
    <w:rsid w:val="00DE28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DE28E8"/>
    <w:rPr>
      <w:i/>
      <w:iCs/>
      <w:color w:val="0F4761" w:themeColor="accent1" w:themeShade="BF"/>
    </w:rPr>
  </w:style>
  <w:style w:type="character" w:styleId="IntenseReference">
    <w:name w:val="Intense Reference"/>
    <w:basedOn w:val="DefaultParagraphFont"/>
    <w:uiPriority w:val="32"/>
    <w:qFormat/>
    <w:rsid w:val="00DE28E8"/>
    <w:rPr>
      <w:b/>
      <w:bCs/>
      <w:smallCaps/>
      <w:color w:val="0F4761" w:themeColor="accent1" w:themeShade="BF"/>
      <w:spacing w:val="5"/>
    </w:rPr>
  </w:style>
  <w:style w:type="paragraph" w:styleId="NormalWeb">
    <w:name w:val="Normal (Web)"/>
    <w:basedOn w:val="Normal"/>
    <w:uiPriority w:val="99"/>
    <w:semiHidden/>
    <w:unhideWhenUsed/>
    <w:rsid w:val="00DE28E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8E8"/>
    <w:pPr>
      <w:tabs>
        <w:tab w:val="center" w:pos="4819"/>
        <w:tab w:val="right" w:pos="9638"/>
      </w:tabs>
      <w:spacing w:line="240" w:lineRule="auto"/>
    </w:pPr>
  </w:style>
  <w:style w:type="character" w:customStyle="1" w:styleId="FooterChar">
    <w:name w:val="Footer Char"/>
    <w:basedOn w:val="DefaultParagraphFont"/>
    <w:link w:val="Footer"/>
    <w:uiPriority w:val="99"/>
    <w:rsid w:val="00DE28E8"/>
    <w:rPr>
      <w:rFonts w:ascii="Arial" w:eastAsia="Arial" w:hAnsi="Arial" w:cs="Arial"/>
      <w:kern w:val="0"/>
      <w:lang w:eastAsia="it-IT"/>
    </w:rPr>
  </w:style>
  <w:style w:type="paragraph" w:styleId="Bibliography">
    <w:name w:val="Bibliography"/>
    <w:basedOn w:val="Normal"/>
    <w:next w:val="Normal"/>
    <w:uiPriority w:val="37"/>
    <w:unhideWhenUsed/>
    <w:rsid w:val="0001645F"/>
    <w:pPr>
      <w:tabs>
        <w:tab w:val="left" w:pos="384"/>
      </w:tabs>
      <w:spacing w:line="240" w:lineRule="auto"/>
      <w:ind w:left="384" w:hanging="384"/>
    </w:pPr>
  </w:style>
  <w:style w:type="paragraph" w:styleId="BalloonText">
    <w:name w:val="Balloon Text"/>
    <w:basedOn w:val="Normal"/>
    <w:link w:val="BalloonTextChar"/>
    <w:uiPriority w:val="99"/>
    <w:semiHidden/>
    <w:unhideWhenUsed/>
    <w:rsid w:val="003928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C4"/>
    <w:rPr>
      <w:rFonts w:ascii="Tahoma" w:eastAsia="Arial" w:hAnsi="Tahoma" w:cs="Tahoma"/>
      <w:kern w:val="0"/>
      <w:sz w:val="16"/>
      <w:szCs w:val="16"/>
      <w:lang w:eastAsia="it-IT"/>
    </w:rPr>
  </w:style>
  <w:style w:type="character" w:styleId="CommentReference">
    <w:name w:val="annotation reference"/>
    <w:basedOn w:val="DefaultParagraphFont"/>
    <w:uiPriority w:val="99"/>
    <w:semiHidden/>
    <w:unhideWhenUsed/>
    <w:rsid w:val="00C65174"/>
    <w:rPr>
      <w:sz w:val="16"/>
      <w:szCs w:val="16"/>
    </w:rPr>
  </w:style>
  <w:style w:type="paragraph" w:styleId="CommentText">
    <w:name w:val="annotation text"/>
    <w:basedOn w:val="Normal"/>
    <w:link w:val="CommentTextChar"/>
    <w:uiPriority w:val="99"/>
    <w:unhideWhenUsed/>
    <w:rsid w:val="00C65174"/>
    <w:pPr>
      <w:spacing w:line="240" w:lineRule="auto"/>
    </w:pPr>
    <w:rPr>
      <w:sz w:val="20"/>
      <w:szCs w:val="20"/>
    </w:rPr>
  </w:style>
  <w:style w:type="character" w:customStyle="1" w:styleId="CommentTextChar">
    <w:name w:val="Comment Text Char"/>
    <w:basedOn w:val="DefaultParagraphFont"/>
    <w:link w:val="CommentText"/>
    <w:uiPriority w:val="99"/>
    <w:rsid w:val="00C65174"/>
    <w:rPr>
      <w:rFonts w:ascii="Arial" w:eastAsia="Arial" w:hAnsi="Arial" w:cs="Arial"/>
      <w:kern w:val="0"/>
      <w:sz w:val="20"/>
      <w:szCs w:val="20"/>
      <w:lang w:eastAsia="it-IT"/>
    </w:rPr>
  </w:style>
  <w:style w:type="paragraph" w:styleId="CommentSubject">
    <w:name w:val="annotation subject"/>
    <w:basedOn w:val="CommentText"/>
    <w:next w:val="CommentText"/>
    <w:link w:val="CommentSubjectChar"/>
    <w:uiPriority w:val="99"/>
    <w:semiHidden/>
    <w:unhideWhenUsed/>
    <w:rsid w:val="00C65174"/>
    <w:rPr>
      <w:b/>
      <w:bCs/>
    </w:rPr>
  </w:style>
  <w:style w:type="character" w:customStyle="1" w:styleId="CommentSubjectChar">
    <w:name w:val="Comment Subject Char"/>
    <w:basedOn w:val="CommentTextChar"/>
    <w:link w:val="CommentSubject"/>
    <w:uiPriority w:val="99"/>
    <w:semiHidden/>
    <w:rsid w:val="00C65174"/>
    <w:rPr>
      <w:rFonts w:ascii="Arial" w:eastAsia="Arial" w:hAnsi="Arial" w:cs="Arial"/>
      <w:b/>
      <w:bCs/>
      <w:kern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77259">
      <w:bodyDiv w:val="1"/>
      <w:marLeft w:val="0"/>
      <w:marRight w:val="0"/>
      <w:marTop w:val="0"/>
      <w:marBottom w:val="0"/>
      <w:divBdr>
        <w:top w:val="none" w:sz="0" w:space="0" w:color="auto"/>
        <w:left w:val="none" w:sz="0" w:space="0" w:color="auto"/>
        <w:bottom w:val="none" w:sz="0" w:space="0" w:color="auto"/>
        <w:right w:val="none" w:sz="0" w:space="0" w:color="auto"/>
      </w:divBdr>
    </w:div>
    <w:div w:id="738792063">
      <w:bodyDiv w:val="1"/>
      <w:marLeft w:val="0"/>
      <w:marRight w:val="0"/>
      <w:marTop w:val="0"/>
      <w:marBottom w:val="0"/>
      <w:divBdr>
        <w:top w:val="none" w:sz="0" w:space="0" w:color="auto"/>
        <w:left w:val="none" w:sz="0" w:space="0" w:color="auto"/>
        <w:bottom w:val="none" w:sz="0" w:space="0" w:color="auto"/>
        <w:right w:val="none" w:sz="0" w:space="0" w:color="auto"/>
      </w:divBdr>
    </w:div>
    <w:div w:id="16998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4646</Words>
  <Characters>26488</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Tondo</dc:creator>
  <cp:lastModifiedBy>Lawrence, Shani</cp:lastModifiedBy>
  <cp:revision>8</cp:revision>
  <dcterms:created xsi:type="dcterms:W3CDTF">2024-12-16T20:21:00Z</dcterms:created>
  <dcterms:modified xsi:type="dcterms:W3CDTF">2025-01-09T22:56:00Z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id="N7wXObvz"/&gt;&lt;style id="http://www.zotero.org/styles/sleep-medicine" hasBibliography="1" bibliographyStyleHasBeenSet="1"/&gt;&lt;prefs&gt;&lt;pref name="fieldType" value="Field"/&gt;&lt;/prefs&gt;&lt;/data&gt;</vt:lpwstr>
  </property>
  <property fmtid="{D5CDD505-2E9C-101B-9397-08002B2CF9AE}" pid="3" name="MSIP_Label_2bbab825-a111-45e4-86a1-18cee0005896_Enabled">
    <vt:lpwstr>true</vt:lpwstr>
  </property>
  <property fmtid="{D5CDD505-2E9C-101B-9397-08002B2CF9AE}" pid="4" name="MSIP_Label_2bbab825-a111-45e4-86a1-18cee0005896_SetDate">
    <vt:lpwstr>2024-12-24T02:48:55Z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5490fe6f-539c-4c36-90d7-529dea45c9cc</vt:lpwstr>
  </property>
  <property fmtid="{D5CDD505-2E9C-101B-9397-08002B2CF9AE}" pid="9" name="MSIP_Label_2bbab825-a111-45e4-86a1-18cee0005896_ContentBits">
    <vt:lpwstr>2</vt:lpwstr>
  </property>
</Properties>
</file>