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58BE1F" w14:textId="46A30250" w:rsidR="00964C23" w:rsidRPr="006602F9" w:rsidRDefault="00964C23" w:rsidP="00964C23">
      <w:pPr>
        <w:rPr>
          <w:rFonts w:cs="Arial"/>
          <w:szCs w:val="20"/>
        </w:rPr>
      </w:pPr>
      <w:r w:rsidRPr="006602F9">
        <w:rPr>
          <w:rFonts w:cs="Arial"/>
          <w:b/>
          <w:bCs/>
          <w:szCs w:val="20"/>
        </w:rPr>
        <w:t>Table S</w:t>
      </w:r>
      <w:r w:rsidR="0029584C" w:rsidRPr="006602F9">
        <w:rPr>
          <w:rFonts w:cs="Arial"/>
          <w:b/>
          <w:bCs/>
          <w:szCs w:val="20"/>
        </w:rPr>
        <w:t>1</w:t>
      </w:r>
      <w:r w:rsidR="0029584C" w:rsidRPr="006602F9">
        <w:rPr>
          <w:rFonts w:cs="Arial"/>
          <w:b/>
          <w:bCs/>
          <w:szCs w:val="20"/>
          <w:lang w:eastAsia="zh-CN"/>
        </w:rPr>
        <w:t xml:space="preserve"> </w:t>
      </w:r>
      <w:r w:rsidR="0029584C" w:rsidRPr="006602F9">
        <w:rPr>
          <w:rFonts w:cs="Arial"/>
          <w:szCs w:val="20"/>
        </w:rPr>
        <w:t>Linear</w:t>
      </w:r>
      <w:r w:rsidRPr="006602F9">
        <w:rPr>
          <w:rFonts w:cs="Arial"/>
          <w:szCs w:val="20"/>
        </w:rPr>
        <w:t xml:space="preserve"> mixed model evaluating NRS</w:t>
      </w:r>
      <w:r w:rsidR="00336B73" w:rsidRPr="006602F9">
        <w:rPr>
          <w:rFonts w:cs="Arial"/>
          <w:szCs w:val="20"/>
        </w:rPr>
        <w:t xml:space="preserve"> </w:t>
      </w:r>
      <w:r w:rsidR="005D02ED" w:rsidRPr="006602F9">
        <w:rPr>
          <w:rFonts w:cs="Arial"/>
          <w:szCs w:val="20"/>
        </w:rPr>
        <w:t xml:space="preserve">pain </w:t>
      </w:r>
      <w:r w:rsidRPr="006602F9">
        <w:rPr>
          <w:rFonts w:cs="Arial"/>
          <w:szCs w:val="20"/>
        </w:rPr>
        <w:t>score at rest over time</w:t>
      </w:r>
    </w:p>
    <w:tbl>
      <w:tblPr>
        <w:tblStyle w:val="af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554"/>
        <w:gridCol w:w="2268"/>
        <w:gridCol w:w="1080"/>
        <w:gridCol w:w="1233"/>
      </w:tblGrid>
      <w:tr w:rsidR="00964C23" w:rsidRPr="006602F9" w14:paraId="06C03FB3" w14:textId="77777777" w:rsidTr="00E5059F">
        <w:trPr>
          <w:trHeight w:val="567"/>
        </w:trPr>
        <w:tc>
          <w:tcPr>
            <w:tcW w:w="2127" w:type="dxa"/>
            <w:noWrap/>
            <w:vAlign w:val="center"/>
            <w:hideMark/>
          </w:tcPr>
          <w:p w14:paraId="0A8296B6" w14:textId="77777777" w:rsidR="00964C23" w:rsidRPr="006602F9" w:rsidRDefault="00964C23" w:rsidP="0029584C">
            <w:pPr>
              <w:spacing w:beforeLines="25" w:before="78" w:line="360" w:lineRule="auto"/>
              <w:rPr>
                <w:rFonts w:cs="Arial"/>
                <w:b/>
                <w:bCs/>
                <w:szCs w:val="20"/>
              </w:rPr>
            </w:pPr>
            <w:r w:rsidRPr="006602F9">
              <w:rPr>
                <w:rFonts w:cs="Arial"/>
                <w:b/>
                <w:bCs/>
                <w:szCs w:val="20"/>
              </w:rPr>
              <w:t>Effect</w:t>
            </w:r>
          </w:p>
        </w:tc>
        <w:tc>
          <w:tcPr>
            <w:tcW w:w="1554" w:type="dxa"/>
            <w:noWrap/>
            <w:vAlign w:val="center"/>
            <w:hideMark/>
          </w:tcPr>
          <w:p w14:paraId="4EDC89E0" w14:textId="77777777" w:rsidR="00964C23" w:rsidRPr="006602F9" w:rsidRDefault="00964C23" w:rsidP="0029584C">
            <w:pPr>
              <w:spacing w:beforeLines="25" w:before="78" w:line="36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6602F9">
              <w:rPr>
                <w:rFonts w:cs="Arial"/>
                <w:b/>
                <w:bCs/>
                <w:szCs w:val="20"/>
              </w:rPr>
              <w:t>Coefficient</w:t>
            </w:r>
          </w:p>
        </w:tc>
        <w:tc>
          <w:tcPr>
            <w:tcW w:w="2268" w:type="dxa"/>
            <w:vAlign w:val="center"/>
          </w:tcPr>
          <w:p w14:paraId="7DA23455" w14:textId="25EC8B4F" w:rsidR="00964C23" w:rsidRPr="006602F9" w:rsidRDefault="00964C23" w:rsidP="0029584C">
            <w:pPr>
              <w:spacing w:beforeLines="25" w:before="78" w:line="36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6602F9">
              <w:rPr>
                <w:rFonts w:cs="Arial"/>
                <w:b/>
                <w:bCs/>
                <w:szCs w:val="20"/>
              </w:rPr>
              <w:t>95% CI</w:t>
            </w:r>
          </w:p>
        </w:tc>
        <w:tc>
          <w:tcPr>
            <w:tcW w:w="1080" w:type="dxa"/>
            <w:noWrap/>
            <w:vAlign w:val="center"/>
            <w:hideMark/>
          </w:tcPr>
          <w:p w14:paraId="52BE988A" w14:textId="07167E89" w:rsidR="00964C23" w:rsidRPr="006602F9" w:rsidRDefault="00964C23" w:rsidP="0029584C">
            <w:pPr>
              <w:spacing w:beforeLines="25" w:before="78" w:line="36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6602F9">
              <w:rPr>
                <w:rFonts w:cs="Arial"/>
                <w:b/>
                <w:bCs/>
                <w:szCs w:val="20"/>
              </w:rPr>
              <w:t>SE</w:t>
            </w:r>
          </w:p>
        </w:tc>
        <w:tc>
          <w:tcPr>
            <w:tcW w:w="1233" w:type="dxa"/>
            <w:noWrap/>
            <w:vAlign w:val="center"/>
            <w:hideMark/>
          </w:tcPr>
          <w:p w14:paraId="74EEC31E" w14:textId="07741FBC" w:rsidR="00964C23" w:rsidRPr="006602F9" w:rsidRDefault="002168C2" w:rsidP="0029584C">
            <w:pPr>
              <w:spacing w:beforeLines="25" w:before="78" w:line="36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6602F9">
              <w:rPr>
                <w:rFonts w:cs="Arial"/>
                <w:b/>
                <w:bCs/>
                <w:szCs w:val="20"/>
              </w:rPr>
              <w:t xml:space="preserve">p </w:t>
            </w:r>
            <w:r w:rsidR="00964C23" w:rsidRPr="006602F9">
              <w:rPr>
                <w:rFonts w:cs="Arial"/>
                <w:b/>
                <w:bCs/>
                <w:szCs w:val="20"/>
              </w:rPr>
              <w:t>value</w:t>
            </w:r>
          </w:p>
        </w:tc>
      </w:tr>
      <w:tr w:rsidR="00B43E54" w:rsidRPr="006602F9" w14:paraId="4CD6229A" w14:textId="77777777" w:rsidTr="00E5059F">
        <w:trPr>
          <w:trHeight w:val="567"/>
        </w:trPr>
        <w:tc>
          <w:tcPr>
            <w:tcW w:w="2127" w:type="dxa"/>
            <w:noWrap/>
            <w:vAlign w:val="center"/>
            <w:hideMark/>
          </w:tcPr>
          <w:p w14:paraId="18587BCA" w14:textId="77777777" w:rsidR="00B43E54" w:rsidRPr="006602F9" w:rsidRDefault="00B43E54" w:rsidP="00B43E54">
            <w:pPr>
              <w:spacing w:beforeLines="50" w:before="156" w:line="360" w:lineRule="auto"/>
              <w:rPr>
                <w:rFonts w:cs="Arial"/>
                <w:szCs w:val="20"/>
              </w:rPr>
            </w:pPr>
            <w:r w:rsidRPr="006602F9">
              <w:rPr>
                <w:rFonts w:cs="Arial"/>
                <w:szCs w:val="20"/>
              </w:rPr>
              <w:t>Intercept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 w14:paraId="1591ABFC" w14:textId="0EBE6AA3" w:rsidR="00B43E54" w:rsidRPr="006602F9" w:rsidRDefault="00B43E54" w:rsidP="00B43E54">
            <w:pPr>
              <w:spacing w:beforeLines="50" w:before="156" w:line="360" w:lineRule="auto"/>
              <w:jc w:val="center"/>
              <w:rPr>
                <w:rFonts w:cs="Arial"/>
                <w:szCs w:val="20"/>
              </w:rPr>
            </w:pPr>
            <w:r w:rsidRPr="006602F9">
              <w:rPr>
                <w:rFonts w:cs="Arial"/>
                <w:szCs w:val="20"/>
              </w:rPr>
              <w:t>2.</w:t>
            </w:r>
            <w:r w:rsidRPr="006602F9">
              <w:rPr>
                <w:rFonts w:cs="Arial"/>
                <w:szCs w:val="20"/>
                <w:lang w:eastAsia="zh-CN"/>
              </w:rPr>
              <w:t>54</w:t>
            </w:r>
            <w:r w:rsidR="00454BD4" w:rsidRPr="006602F9">
              <w:rPr>
                <w:rFonts w:cs="Arial"/>
                <w:szCs w:val="20"/>
                <w:lang w:eastAsia="zh-CN"/>
              </w:rPr>
              <w:t>1</w:t>
            </w:r>
          </w:p>
        </w:tc>
        <w:tc>
          <w:tcPr>
            <w:tcW w:w="2268" w:type="dxa"/>
            <w:vAlign w:val="center"/>
          </w:tcPr>
          <w:p w14:paraId="107F8D7C" w14:textId="6BB8594A" w:rsidR="00B43E54" w:rsidRPr="006602F9" w:rsidRDefault="00B43E54" w:rsidP="00B43E54">
            <w:pPr>
              <w:spacing w:beforeLines="50" w:before="156" w:line="360" w:lineRule="auto"/>
              <w:jc w:val="center"/>
              <w:rPr>
                <w:rFonts w:cs="Arial"/>
                <w:szCs w:val="20"/>
              </w:rPr>
            </w:pPr>
            <w:r w:rsidRPr="006602F9">
              <w:rPr>
                <w:rFonts w:cs="Arial"/>
                <w:szCs w:val="20"/>
                <w:lang w:eastAsia="zh-CN"/>
              </w:rPr>
              <w:t>2</w:t>
            </w:r>
            <w:r w:rsidRPr="006602F9">
              <w:rPr>
                <w:rFonts w:cs="Arial"/>
                <w:szCs w:val="20"/>
              </w:rPr>
              <w:t>.</w:t>
            </w:r>
            <w:r w:rsidRPr="006602F9">
              <w:rPr>
                <w:rFonts w:cs="Arial"/>
                <w:szCs w:val="20"/>
                <w:lang w:eastAsia="zh-CN"/>
              </w:rPr>
              <w:t>35</w:t>
            </w:r>
            <w:r w:rsidR="00454BD4" w:rsidRPr="006602F9">
              <w:rPr>
                <w:rFonts w:cs="Arial"/>
                <w:szCs w:val="20"/>
                <w:lang w:eastAsia="zh-CN"/>
              </w:rPr>
              <w:t>1</w:t>
            </w:r>
            <w:r w:rsidRPr="006602F9">
              <w:rPr>
                <w:rFonts w:cs="Arial"/>
                <w:szCs w:val="20"/>
              </w:rPr>
              <w:t xml:space="preserve"> </w:t>
            </w:r>
            <w:r w:rsidRPr="006602F9">
              <w:rPr>
                <w:rFonts w:cs="Arial"/>
                <w:szCs w:val="20"/>
                <w:lang w:eastAsia="zh-CN"/>
              </w:rPr>
              <w:t>to</w:t>
            </w:r>
            <w:r w:rsidRPr="006602F9">
              <w:rPr>
                <w:rFonts w:cs="Arial"/>
                <w:szCs w:val="20"/>
              </w:rPr>
              <w:t xml:space="preserve"> </w:t>
            </w:r>
            <w:r w:rsidRPr="006602F9">
              <w:rPr>
                <w:rFonts w:cs="Arial"/>
                <w:szCs w:val="20"/>
                <w:lang w:eastAsia="zh-CN"/>
              </w:rPr>
              <w:t>2</w:t>
            </w:r>
            <w:r w:rsidRPr="006602F9">
              <w:rPr>
                <w:rFonts w:cs="Arial"/>
                <w:szCs w:val="20"/>
              </w:rPr>
              <w:t>.</w:t>
            </w:r>
            <w:r w:rsidRPr="006602F9">
              <w:rPr>
                <w:rFonts w:cs="Arial"/>
                <w:szCs w:val="20"/>
                <w:lang w:eastAsia="zh-CN"/>
              </w:rPr>
              <w:t>73</w:t>
            </w:r>
            <w:r w:rsidR="00454BD4" w:rsidRPr="006602F9">
              <w:rPr>
                <w:rFonts w:cs="Arial"/>
                <w:szCs w:val="20"/>
                <w:lang w:eastAsia="zh-CN"/>
              </w:rPr>
              <w:t>2</w:t>
            </w:r>
          </w:p>
        </w:tc>
        <w:tc>
          <w:tcPr>
            <w:tcW w:w="1080" w:type="dxa"/>
            <w:noWrap/>
            <w:vAlign w:val="center"/>
          </w:tcPr>
          <w:p w14:paraId="08638499" w14:textId="6226A72D" w:rsidR="00B43E54" w:rsidRPr="006602F9" w:rsidRDefault="00B43E54" w:rsidP="00B43E54">
            <w:pPr>
              <w:spacing w:beforeLines="50" w:before="156" w:line="360" w:lineRule="auto"/>
              <w:jc w:val="center"/>
              <w:rPr>
                <w:rFonts w:cs="Arial"/>
                <w:szCs w:val="20"/>
                <w:lang w:eastAsia="zh-CN"/>
              </w:rPr>
            </w:pPr>
            <w:r w:rsidRPr="006602F9">
              <w:rPr>
                <w:rFonts w:cs="Arial"/>
                <w:szCs w:val="20"/>
              </w:rPr>
              <w:t>0.09</w:t>
            </w:r>
            <w:r w:rsidR="00454BD4" w:rsidRPr="006602F9">
              <w:rPr>
                <w:rFonts w:cs="Arial"/>
                <w:szCs w:val="20"/>
                <w:lang w:eastAsia="zh-CN"/>
              </w:rPr>
              <w:t>7</w:t>
            </w:r>
          </w:p>
        </w:tc>
        <w:tc>
          <w:tcPr>
            <w:tcW w:w="1233" w:type="dxa"/>
            <w:noWrap/>
            <w:vAlign w:val="center"/>
          </w:tcPr>
          <w:p w14:paraId="6CE29E0C" w14:textId="77777777" w:rsidR="00B43E54" w:rsidRPr="006602F9" w:rsidRDefault="00B43E54" w:rsidP="00B43E54">
            <w:pPr>
              <w:spacing w:beforeLines="50" w:before="156" w:line="360" w:lineRule="auto"/>
              <w:jc w:val="center"/>
              <w:rPr>
                <w:rFonts w:cs="Arial"/>
                <w:szCs w:val="20"/>
              </w:rPr>
            </w:pPr>
            <w:r w:rsidRPr="006602F9">
              <w:rPr>
                <w:rFonts w:cs="Arial"/>
                <w:szCs w:val="20"/>
              </w:rPr>
              <w:t>&lt; 0.001</w:t>
            </w:r>
          </w:p>
        </w:tc>
      </w:tr>
      <w:tr w:rsidR="00B43E54" w:rsidRPr="006602F9" w14:paraId="632B9D38" w14:textId="77777777" w:rsidTr="00E5059F">
        <w:trPr>
          <w:trHeight w:val="567"/>
        </w:trPr>
        <w:tc>
          <w:tcPr>
            <w:tcW w:w="2127" w:type="dxa"/>
            <w:noWrap/>
            <w:vAlign w:val="center"/>
            <w:hideMark/>
          </w:tcPr>
          <w:p w14:paraId="4DFA4BAE" w14:textId="77777777" w:rsidR="00B43E54" w:rsidRPr="006602F9" w:rsidRDefault="00B43E54" w:rsidP="00B43E54">
            <w:pPr>
              <w:spacing w:beforeLines="50" w:before="156" w:line="360" w:lineRule="auto"/>
              <w:rPr>
                <w:rFonts w:cs="Arial"/>
                <w:szCs w:val="20"/>
              </w:rPr>
            </w:pPr>
            <w:r w:rsidRPr="006602F9">
              <w:rPr>
                <w:rFonts w:cs="Arial"/>
                <w:szCs w:val="20"/>
              </w:rPr>
              <w:t>Time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 w14:paraId="163634F8" w14:textId="670D6598" w:rsidR="00B43E54" w:rsidRPr="006602F9" w:rsidRDefault="00B43E54" w:rsidP="00B43E54">
            <w:pPr>
              <w:spacing w:beforeLines="50" w:before="156" w:line="360" w:lineRule="auto"/>
              <w:jc w:val="center"/>
              <w:rPr>
                <w:rFonts w:cs="Arial"/>
                <w:szCs w:val="20"/>
              </w:rPr>
            </w:pPr>
            <w:r w:rsidRPr="006602F9">
              <w:rPr>
                <w:rFonts w:cs="Arial"/>
                <w:szCs w:val="20"/>
              </w:rPr>
              <w:t>-0.0</w:t>
            </w:r>
            <w:r w:rsidRPr="006602F9">
              <w:rPr>
                <w:rFonts w:cs="Arial"/>
                <w:szCs w:val="20"/>
                <w:lang w:eastAsia="zh-CN"/>
              </w:rPr>
              <w:t>1</w:t>
            </w:r>
            <w:r w:rsidR="00454BD4" w:rsidRPr="006602F9">
              <w:rPr>
                <w:rFonts w:cs="Arial"/>
                <w:szCs w:val="20"/>
                <w:lang w:eastAsia="zh-CN"/>
              </w:rPr>
              <w:t>5</w:t>
            </w:r>
          </w:p>
        </w:tc>
        <w:tc>
          <w:tcPr>
            <w:tcW w:w="2268" w:type="dxa"/>
            <w:vAlign w:val="center"/>
          </w:tcPr>
          <w:p w14:paraId="389AD101" w14:textId="6E8D5899" w:rsidR="00B43E54" w:rsidRPr="006602F9" w:rsidRDefault="00B43E54" w:rsidP="00B43E54">
            <w:pPr>
              <w:spacing w:beforeLines="50" w:before="156" w:line="360" w:lineRule="auto"/>
              <w:jc w:val="center"/>
              <w:rPr>
                <w:rFonts w:cs="Arial"/>
                <w:szCs w:val="20"/>
              </w:rPr>
            </w:pPr>
            <w:r w:rsidRPr="006602F9">
              <w:rPr>
                <w:rFonts w:cs="Arial"/>
                <w:szCs w:val="20"/>
              </w:rPr>
              <w:t>-0.0</w:t>
            </w:r>
            <w:r w:rsidR="00454BD4" w:rsidRPr="006602F9">
              <w:rPr>
                <w:rFonts w:cs="Arial"/>
                <w:szCs w:val="20"/>
                <w:lang w:eastAsia="zh-CN"/>
              </w:rPr>
              <w:t>19</w:t>
            </w:r>
            <w:r w:rsidRPr="006602F9">
              <w:rPr>
                <w:rFonts w:cs="Arial"/>
                <w:szCs w:val="20"/>
              </w:rPr>
              <w:t xml:space="preserve"> </w:t>
            </w:r>
            <w:r w:rsidRPr="006602F9">
              <w:rPr>
                <w:rFonts w:cs="Arial"/>
                <w:szCs w:val="20"/>
                <w:lang w:eastAsia="zh-CN"/>
              </w:rPr>
              <w:t>to</w:t>
            </w:r>
            <w:r w:rsidRPr="006602F9">
              <w:rPr>
                <w:rFonts w:cs="Arial"/>
                <w:szCs w:val="20"/>
              </w:rPr>
              <w:t xml:space="preserve"> -0.0</w:t>
            </w:r>
            <w:r w:rsidRPr="006602F9">
              <w:rPr>
                <w:rFonts w:cs="Arial"/>
                <w:szCs w:val="20"/>
                <w:lang w:eastAsia="zh-CN"/>
              </w:rPr>
              <w:t>1</w:t>
            </w:r>
            <w:r w:rsidR="00454BD4" w:rsidRPr="006602F9">
              <w:rPr>
                <w:rFonts w:cs="Arial"/>
                <w:szCs w:val="20"/>
                <w:lang w:eastAsia="zh-CN"/>
              </w:rPr>
              <w:t>0</w:t>
            </w:r>
          </w:p>
        </w:tc>
        <w:tc>
          <w:tcPr>
            <w:tcW w:w="1080" w:type="dxa"/>
            <w:noWrap/>
            <w:vAlign w:val="center"/>
          </w:tcPr>
          <w:p w14:paraId="2650F512" w14:textId="6B42885F" w:rsidR="00B43E54" w:rsidRPr="006602F9" w:rsidRDefault="00B43E54" w:rsidP="00B43E54">
            <w:pPr>
              <w:spacing w:beforeLines="50" w:before="156" w:line="360" w:lineRule="auto"/>
              <w:jc w:val="center"/>
              <w:rPr>
                <w:rFonts w:cs="Arial"/>
                <w:szCs w:val="20"/>
              </w:rPr>
            </w:pPr>
            <w:r w:rsidRPr="006602F9">
              <w:rPr>
                <w:rFonts w:cs="Arial"/>
                <w:szCs w:val="20"/>
              </w:rPr>
              <w:t>0.00</w:t>
            </w:r>
            <w:r w:rsidRPr="006602F9">
              <w:rPr>
                <w:rFonts w:cs="Arial"/>
                <w:szCs w:val="20"/>
                <w:lang w:eastAsia="zh-CN"/>
              </w:rPr>
              <w:t>2</w:t>
            </w:r>
          </w:p>
        </w:tc>
        <w:tc>
          <w:tcPr>
            <w:tcW w:w="1233" w:type="dxa"/>
            <w:noWrap/>
            <w:vAlign w:val="center"/>
          </w:tcPr>
          <w:p w14:paraId="0AD687FD" w14:textId="77777777" w:rsidR="00B43E54" w:rsidRPr="006602F9" w:rsidRDefault="00B43E54" w:rsidP="00B43E54">
            <w:pPr>
              <w:spacing w:beforeLines="50" w:before="156" w:line="360" w:lineRule="auto"/>
              <w:jc w:val="center"/>
              <w:rPr>
                <w:rFonts w:cs="Arial"/>
                <w:szCs w:val="20"/>
              </w:rPr>
            </w:pPr>
            <w:r w:rsidRPr="006602F9">
              <w:rPr>
                <w:rFonts w:cs="Arial"/>
                <w:szCs w:val="20"/>
              </w:rPr>
              <w:t>&lt; 0.001</w:t>
            </w:r>
          </w:p>
        </w:tc>
      </w:tr>
      <w:tr w:rsidR="00B43E54" w:rsidRPr="006602F9" w14:paraId="104212E7" w14:textId="77777777" w:rsidTr="00E5059F">
        <w:trPr>
          <w:trHeight w:val="567"/>
        </w:trPr>
        <w:tc>
          <w:tcPr>
            <w:tcW w:w="2127" w:type="dxa"/>
            <w:noWrap/>
            <w:vAlign w:val="center"/>
            <w:hideMark/>
          </w:tcPr>
          <w:p w14:paraId="1B3B62E9" w14:textId="77777777" w:rsidR="00B43E54" w:rsidRPr="006602F9" w:rsidRDefault="00B43E54" w:rsidP="00B43E54">
            <w:pPr>
              <w:spacing w:beforeLines="50" w:before="156" w:line="360" w:lineRule="auto"/>
              <w:rPr>
                <w:rFonts w:cs="Arial"/>
                <w:szCs w:val="20"/>
              </w:rPr>
            </w:pPr>
            <w:r w:rsidRPr="006602F9">
              <w:rPr>
                <w:rFonts w:cs="Arial"/>
                <w:szCs w:val="20"/>
              </w:rPr>
              <w:t>Treatment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 w14:paraId="504E37E5" w14:textId="2AD73AD4" w:rsidR="00B43E54" w:rsidRPr="006602F9" w:rsidRDefault="00B43E54" w:rsidP="00B43E54">
            <w:pPr>
              <w:spacing w:beforeLines="50" w:before="156" w:line="360" w:lineRule="auto"/>
              <w:jc w:val="center"/>
              <w:rPr>
                <w:rFonts w:cs="Arial"/>
                <w:szCs w:val="20"/>
              </w:rPr>
            </w:pPr>
            <w:r w:rsidRPr="006602F9">
              <w:rPr>
                <w:rFonts w:cs="Arial"/>
                <w:szCs w:val="20"/>
              </w:rPr>
              <w:t>-1.</w:t>
            </w:r>
            <w:r w:rsidRPr="006602F9">
              <w:rPr>
                <w:rFonts w:cs="Arial"/>
                <w:szCs w:val="20"/>
                <w:lang w:eastAsia="zh-CN"/>
              </w:rPr>
              <w:t>8</w:t>
            </w:r>
            <w:r w:rsidR="00454BD4" w:rsidRPr="006602F9">
              <w:rPr>
                <w:rFonts w:cs="Arial"/>
                <w:szCs w:val="20"/>
                <w:lang w:eastAsia="zh-CN"/>
              </w:rPr>
              <w:t>39</w:t>
            </w:r>
          </w:p>
        </w:tc>
        <w:tc>
          <w:tcPr>
            <w:tcW w:w="2268" w:type="dxa"/>
            <w:vAlign w:val="center"/>
          </w:tcPr>
          <w:p w14:paraId="63C32F52" w14:textId="2FB9173B" w:rsidR="00B43E54" w:rsidRPr="006602F9" w:rsidRDefault="00B43E54" w:rsidP="00B43E54">
            <w:pPr>
              <w:spacing w:beforeLines="50" w:before="156" w:line="360" w:lineRule="auto"/>
              <w:jc w:val="center"/>
              <w:rPr>
                <w:rFonts w:cs="Arial"/>
                <w:szCs w:val="20"/>
              </w:rPr>
            </w:pPr>
            <w:r w:rsidRPr="006602F9">
              <w:rPr>
                <w:rFonts w:cs="Arial"/>
                <w:szCs w:val="20"/>
              </w:rPr>
              <w:t>-</w:t>
            </w:r>
            <w:r w:rsidRPr="006602F9">
              <w:rPr>
                <w:rFonts w:cs="Arial"/>
                <w:szCs w:val="20"/>
                <w:lang w:eastAsia="zh-CN"/>
              </w:rPr>
              <w:t>2.1</w:t>
            </w:r>
            <w:r w:rsidR="00454BD4" w:rsidRPr="006602F9">
              <w:rPr>
                <w:rFonts w:cs="Arial"/>
                <w:szCs w:val="20"/>
                <w:lang w:eastAsia="zh-CN"/>
              </w:rPr>
              <w:t>09</w:t>
            </w:r>
            <w:r w:rsidRPr="006602F9">
              <w:rPr>
                <w:rFonts w:cs="Arial"/>
                <w:szCs w:val="20"/>
              </w:rPr>
              <w:t xml:space="preserve"> </w:t>
            </w:r>
            <w:r w:rsidRPr="006602F9">
              <w:rPr>
                <w:rFonts w:cs="Arial"/>
                <w:szCs w:val="20"/>
                <w:lang w:eastAsia="zh-CN"/>
              </w:rPr>
              <w:t>to</w:t>
            </w:r>
            <w:r w:rsidRPr="006602F9">
              <w:rPr>
                <w:rFonts w:cs="Arial"/>
                <w:szCs w:val="20"/>
              </w:rPr>
              <w:t xml:space="preserve"> -1.</w:t>
            </w:r>
            <w:r w:rsidRPr="006602F9">
              <w:rPr>
                <w:rFonts w:cs="Arial"/>
                <w:szCs w:val="20"/>
                <w:lang w:eastAsia="zh-CN"/>
              </w:rPr>
              <w:t>57</w:t>
            </w:r>
            <w:r w:rsidR="00454BD4" w:rsidRPr="006602F9">
              <w:rPr>
                <w:rFonts w:cs="Arial"/>
                <w:szCs w:val="20"/>
                <w:lang w:eastAsia="zh-CN"/>
              </w:rPr>
              <w:t>0</w:t>
            </w:r>
          </w:p>
        </w:tc>
        <w:tc>
          <w:tcPr>
            <w:tcW w:w="1080" w:type="dxa"/>
            <w:noWrap/>
            <w:vAlign w:val="center"/>
          </w:tcPr>
          <w:p w14:paraId="51FB428A" w14:textId="11FD72F4" w:rsidR="00B43E54" w:rsidRPr="006602F9" w:rsidRDefault="00B43E54" w:rsidP="00B43E54">
            <w:pPr>
              <w:spacing w:beforeLines="50" w:before="156" w:line="360" w:lineRule="auto"/>
              <w:jc w:val="center"/>
              <w:rPr>
                <w:rFonts w:cs="Arial"/>
                <w:szCs w:val="20"/>
              </w:rPr>
            </w:pPr>
            <w:r w:rsidRPr="006602F9">
              <w:rPr>
                <w:rFonts w:cs="Arial"/>
                <w:szCs w:val="20"/>
              </w:rPr>
              <w:t>0.13</w:t>
            </w:r>
            <w:r w:rsidRPr="006602F9">
              <w:rPr>
                <w:rFonts w:cs="Arial"/>
                <w:szCs w:val="20"/>
                <w:lang w:eastAsia="zh-CN"/>
              </w:rPr>
              <w:t>8</w:t>
            </w:r>
          </w:p>
        </w:tc>
        <w:tc>
          <w:tcPr>
            <w:tcW w:w="1233" w:type="dxa"/>
            <w:noWrap/>
            <w:vAlign w:val="center"/>
          </w:tcPr>
          <w:p w14:paraId="2F349B99" w14:textId="77777777" w:rsidR="00B43E54" w:rsidRPr="006602F9" w:rsidRDefault="00B43E54" w:rsidP="00B43E54">
            <w:pPr>
              <w:spacing w:beforeLines="50" w:before="156" w:line="360" w:lineRule="auto"/>
              <w:jc w:val="center"/>
              <w:rPr>
                <w:rFonts w:cs="Arial"/>
                <w:szCs w:val="20"/>
              </w:rPr>
            </w:pPr>
            <w:r w:rsidRPr="006602F9">
              <w:rPr>
                <w:rFonts w:cs="Arial"/>
                <w:szCs w:val="20"/>
              </w:rPr>
              <w:t>&lt; 0.001</w:t>
            </w:r>
          </w:p>
        </w:tc>
      </w:tr>
      <w:tr w:rsidR="00B43E54" w:rsidRPr="006602F9" w14:paraId="00121B6E" w14:textId="77777777" w:rsidTr="00E5059F">
        <w:trPr>
          <w:trHeight w:val="567"/>
        </w:trPr>
        <w:tc>
          <w:tcPr>
            <w:tcW w:w="2127" w:type="dxa"/>
            <w:noWrap/>
            <w:vAlign w:val="center"/>
            <w:hideMark/>
          </w:tcPr>
          <w:p w14:paraId="51DBE4FC" w14:textId="77777777" w:rsidR="00B43E54" w:rsidRPr="006602F9" w:rsidRDefault="00B43E54" w:rsidP="00B43E54">
            <w:pPr>
              <w:spacing w:beforeLines="50" w:before="156" w:line="360" w:lineRule="auto"/>
              <w:rPr>
                <w:rFonts w:cs="Arial"/>
                <w:szCs w:val="20"/>
              </w:rPr>
            </w:pPr>
            <w:r w:rsidRPr="006602F9">
              <w:rPr>
                <w:rFonts w:cs="Arial"/>
                <w:szCs w:val="20"/>
              </w:rPr>
              <w:t>Treatment × Time</w:t>
            </w:r>
          </w:p>
        </w:tc>
        <w:tc>
          <w:tcPr>
            <w:tcW w:w="1554" w:type="dxa"/>
            <w:shd w:val="clear" w:color="auto" w:fill="auto"/>
            <w:noWrap/>
            <w:vAlign w:val="center"/>
          </w:tcPr>
          <w:p w14:paraId="7BEC72CE" w14:textId="6A604B15" w:rsidR="00B43E54" w:rsidRPr="006602F9" w:rsidRDefault="00B43E54" w:rsidP="00B43E54">
            <w:pPr>
              <w:spacing w:beforeLines="50" w:before="156" w:line="360" w:lineRule="auto"/>
              <w:jc w:val="center"/>
              <w:rPr>
                <w:rFonts w:cs="Arial"/>
                <w:szCs w:val="20"/>
              </w:rPr>
            </w:pPr>
            <w:r w:rsidRPr="006602F9">
              <w:rPr>
                <w:rFonts w:cs="Arial"/>
                <w:szCs w:val="20"/>
              </w:rPr>
              <w:t>0.0</w:t>
            </w:r>
            <w:r w:rsidRPr="006602F9">
              <w:rPr>
                <w:rFonts w:cs="Arial"/>
                <w:szCs w:val="20"/>
                <w:lang w:eastAsia="zh-CN"/>
              </w:rPr>
              <w:t>4</w:t>
            </w:r>
            <w:r w:rsidR="00454BD4" w:rsidRPr="006602F9">
              <w:rPr>
                <w:rFonts w:cs="Arial"/>
                <w:szCs w:val="20"/>
                <w:lang w:eastAsia="zh-CN"/>
              </w:rPr>
              <w:t>3</w:t>
            </w:r>
          </w:p>
        </w:tc>
        <w:tc>
          <w:tcPr>
            <w:tcW w:w="2268" w:type="dxa"/>
            <w:vAlign w:val="center"/>
          </w:tcPr>
          <w:p w14:paraId="38FD522E" w14:textId="0CDE4AFB" w:rsidR="00B43E54" w:rsidRPr="006602F9" w:rsidRDefault="00B43E54" w:rsidP="00B43E54">
            <w:pPr>
              <w:spacing w:beforeLines="50" w:before="156" w:line="360" w:lineRule="auto"/>
              <w:jc w:val="center"/>
              <w:rPr>
                <w:rFonts w:cs="Arial"/>
                <w:szCs w:val="20"/>
              </w:rPr>
            </w:pPr>
            <w:r w:rsidRPr="006602F9">
              <w:rPr>
                <w:rFonts w:cs="Arial"/>
                <w:szCs w:val="20"/>
              </w:rPr>
              <w:t>0.03</w:t>
            </w:r>
            <w:r w:rsidR="00454BD4" w:rsidRPr="006602F9">
              <w:rPr>
                <w:rFonts w:cs="Arial"/>
                <w:szCs w:val="20"/>
                <w:lang w:eastAsia="zh-CN"/>
              </w:rPr>
              <w:t>7</w:t>
            </w:r>
            <w:r w:rsidRPr="006602F9">
              <w:rPr>
                <w:rFonts w:cs="Arial"/>
                <w:szCs w:val="20"/>
              </w:rPr>
              <w:t xml:space="preserve"> </w:t>
            </w:r>
            <w:r w:rsidRPr="006602F9">
              <w:rPr>
                <w:rFonts w:cs="Arial"/>
                <w:szCs w:val="20"/>
                <w:lang w:eastAsia="zh-CN"/>
              </w:rPr>
              <w:t>to</w:t>
            </w:r>
            <w:r w:rsidRPr="006602F9">
              <w:rPr>
                <w:rFonts w:cs="Arial"/>
                <w:szCs w:val="20"/>
              </w:rPr>
              <w:t xml:space="preserve"> 0.0</w:t>
            </w:r>
            <w:r w:rsidRPr="006602F9">
              <w:rPr>
                <w:rFonts w:cs="Arial"/>
                <w:szCs w:val="20"/>
                <w:lang w:eastAsia="zh-CN"/>
              </w:rPr>
              <w:t>5</w:t>
            </w:r>
            <w:r w:rsidR="00454BD4" w:rsidRPr="006602F9">
              <w:rPr>
                <w:rFonts w:cs="Arial"/>
                <w:szCs w:val="20"/>
                <w:lang w:eastAsia="zh-CN"/>
              </w:rPr>
              <w:t>0</w:t>
            </w:r>
          </w:p>
        </w:tc>
        <w:tc>
          <w:tcPr>
            <w:tcW w:w="1080" w:type="dxa"/>
            <w:noWrap/>
            <w:vAlign w:val="center"/>
          </w:tcPr>
          <w:p w14:paraId="6946869A" w14:textId="68FCC536" w:rsidR="00B43E54" w:rsidRPr="006602F9" w:rsidRDefault="00B43E54" w:rsidP="00B43E54">
            <w:pPr>
              <w:spacing w:beforeLines="50" w:before="156" w:line="360" w:lineRule="auto"/>
              <w:jc w:val="center"/>
              <w:rPr>
                <w:rFonts w:cs="Arial"/>
                <w:szCs w:val="20"/>
              </w:rPr>
            </w:pPr>
            <w:r w:rsidRPr="006602F9">
              <w:rPr>
                <w:rFonts w:cs="Arial"/>
                <w:szCs w:val="20"/>
              </w:rPr>
              <w:t>0.003</w:t>
            </w:r>
          </w:p>
        </w:tc>
        <w:tc>
          <w:tcPr>
            <w:tcW w:w="1233" w:type="dxa"/>
            <w:noWrap/>
            <w:vAlign w:val="center"/>
          </w:tcPr>
          <w:p w14:paraId="51A69E42" w14:textId="77777777" w:rsidR="00B43E54" w:rsidRPr="006602F9" w:rsidRDefault="00B43E54" w:rsidP="00B43E54">
            <w:pPr>
              <w:spacing w:beforeLines="50" w:before="156" w:line="360" w:lineRule="auto"/>
              <w:jc w:val="center"/>
              <w:rPr>
                <w:rFonts w:cs="Arial"/>
                <w:szCs w:val="20"/>
              </w:rPr>
            </w:pPr>
            <w:r w:rsidRPr="006602F9">
              <w:rPr>
                <w:rFonts w:cs="Arial"/>
                <w:szCs w:val="20"/>
              </w:rPr>
              <w:t>&lt; 0.001</w:t>
            </w:r>
          </w:p>
        </w:tc>
      </w:tr>
    </w:tbl>
    <w:p w14:paraId="51B2E915" w14:textId="334AEA8B" w:rsidR="00964C23" w:rsidRPr="006602F9" w:rsidRDefault="00F627B4" w:rsidP="00526E77">
      <w:pPr>
        <w:spacing w:beforeLines="50" w:before="156" w:line="360" w:lineRule="auto"/>
        <w:rPr>
          <w:rFonts w:cs="Arial"/>
          <w:szCs w:val="20"/>
        </w:rPr>
      </w:pPr>
      <w:r w:rsidRPr="006602F9">
        <w:rPr>
          <w:rFonts w:cs="Arial"/>
          <w:bCs/>
          <w:szCs w:val="20"/>
          <w:lang w:val="en-US"/>
        </w:rPr>
        <w:t>Abbreviations:</w:t>
      </w:r>
      <w:r w:rsidRPr="006602F9">
        <w:rPr>
          <w:rFonts w:cs="Arial"/>
          <w:b/>
          <w:szCs w:val="20"/>
          <w:lang w:val="en-US" w:eastAsia="zh-CN"/>
        </w:rPr>
        <w:t xml:space="preserve"> </w:t>
      </w:r>
      <w:r w:rsidR="00964C23" w:rsidRPr="006602F9">
        <w:rPr>
          <w:rFonts w:cs="Arial"/>
          <w:szCs w:val="20"/>
        </w:rPr>
        <w:t>NRS</w:t>
      </w:r>
      <w:r w:rsidR="001F774E" w:rsidRPr="006602F9">
        <w:rPr>
          <w:rFonts w:cs="Arial"/>
          <w:szCs w:val="20"/>
        </w:rPr>
        <w:t xml:space="preserve">, </w:t>
      </w:r>
      <w:r w:rsidR="007B1BA1">
        <w:rPr>
          <w:rFonts w:cs="Arial" w:hint="eastAsia"/>
          <w:szCs w:val="20"/>
          <w:lang w:eastAsia="zh-CN"/>
        </w:rPr>
        <w:t>N</w:t>
      </w:r>
      <w:r w:rsidR="00964C23" w:rsidRPr="006602F9">
        <w:rPr>
          <w:rFonts w:cs="Arial"/>
          <w:szCs w:val="20"/>
        </w:rPr>
        <w:t xml:space="preserve">umeric </w:t>
      </w:r>
      <w:r w:rsidR="007B1BA1">
        <w:rPr>
          <w:rFonts w:cs="Arial" w:hint="eastAsia"/>
          <w:szCs w:val="20"/>
          <w:lang w:eastAsia="zh-CN"/>
        </w:rPr>
        <w:t>R</w:t>
      </w:r>
      <w:r w:rsidR="00964C23" w:rsidRPr="006602F9">
        <w:rPr>
          <w:rFonts w:cs="Arial"/>
          <w:szCs w:val="20"/>
        </w:rPr>
        <w:t xml:space="preserve">ating </w:t>
      </w:r>
      <w:r w:rsidR="007B1BA1">
        <w:rPr>
          <w:rFonts w:cs="Arial" w:hint="eastAsia"/>
          <w:szCs w:val="20"/>
          <w:lang w:eastAsia="zh-CN"/>
        </w:rPr>
        <w:t>S</w:t>
      </w:r>
      <w:r w:rsidR="00964C23" w:rsidRPr="006602F9">
        <w:rPr>
          <w:rFonts w:cs="Arial"/>
          <w:szCs w:val="20"/>
        </w:rPr>
        <w:t xml:space="preserve">cale. </w:t>
      </w:r>
    </w:p>
    <w:p w14:paraId="5979438D" w14:textId="77777777" w:rsidR="00964C23" w:rsidRPr="00964C23" w:rsidRDefault="00964C23">
      <w:pPr>
        <w:spacing w:line="240" w:lineRule="auto"/>
        <w:rPr>
          <w:rFonts w:ascii="Calibri" w:eastAsiaTheme="minorEastAsia" w:hAnsi="Calibri" w:cs="Calibri"/>
          <w:b/>
          <w:bCs/>
          <w:kern w:val="2"/>
          <w:sz w:val="24"/>
          <w:lang w:eastAsia="zh-CN"/>
        </w:rPr>
      </w:pPr>
      <w:r>
        <w:rPr>
          <w:rFonts w:ascii="Calibri" w:eastAsiaTheme="minorEastAsia" w:hAnsi="Calibri" w:cs="Calibri"/>
          <w:b/>
          <w:bCs/>
          <w:kern w:val="2"/>
          <w:sz w:val="24"/>
          <w:lang w:val="en-US" w:eastAsia="zh-CN"/>
        </w:rPr>
        <w:br w:type="page"/>
      </w:r>
    </w:p>
    <w:p w14:paraId="69B963EB" w14:textId="32858E49" w:rsidR="00964C23" w:rsidRPr="006602F9" w:rsidRDefault="00964C23" w:rsidP="006602F9">
      <w:pPr>
        <w:spacing w:beforeLines="50" w:before="156" w:afterLines="50" w:after="156" w:line="360" w:lineRule="auto"/>
        <w:jc w:val="both"/>
        <w:rPr>
          <w:rFonts w:cs="Arial"/>
          <w:szCs w:val="20"/>
          <w:lang w:eastAsia="zh-CN"/>
        </w:rPr>
      </w:pPr>
      <w:r w:rsidRPr="006602F9">
        <w:rPr>
          <w:rFonts w:cs="Arial"/>
          <w:b/>
          <w:bCs/>
          <w:szCs w:val="20"/>
        </w:rPr>
        <w:lastRenderedPageBreak/>
        <w:t>Table S2</w:t>
      </w:r>
      <w:r w:rsidRPr="006602F9">
        <w:rPr>
          <w:rFonts w:cs="Arial"/>
          <w:szCs w:val="20"/>
        </w:rPr>
        <w:t xml:space="preserve"> </w:t>
      </w:r>
      <w:bookmarkStart w:id="0" w:name="_Hlk174299608"/>
      <w:r w:rsidRPr="006602F9">
        <w:rPr>
          <w:rFonts w:cs="Arial"/>
          <w:szCs w:val="20"/>
        </w:rPr>
        <w:t xml:space="preserve">Linear mixed model evaluating NRS </w:t>
      </w:r>
      <w:r w:rsidR="005D02ED" w:rsidRPr="006602F9">
        <w:rPr>
          <w:rFonts w:cs="Arial"/>
          <w:szCs w:val="20"/>
        </w:rPr>
        <w:t xml:space="preserve">pain </w:t>
      </w:r>
      <w:r w:rsidRPr="006602F9">
        <w:rPr>
          <w:rFonts w:cs="Arial"/>
          <w:szCs w:val="20"/>
        </w:rPr>
        <w:t xml:space="preserve">score during </w:t>
      </w:r>
      <w:r w:rsidR="005D02ED" w:rsidRPr="006602F9">
        <w:rPr>
          <w:rFonts w:cs="Arial"/>
          <w:szCs w:val="20"/>
        </w:rPr>
        <w:t>coughing</w:t>
      </w:r>
      <w:r w:rsidRPr="006602F9">
        <w:rPr>
          <w:rFonts w:cs="Arial"/>
          <w:szCs w:val="20"/>
        </w:rPr>
        <w:t xml:space="preserve"> over time</w:t>
      </w:r>
      <w:bookmarkEnd w:id="0"/>
    </w:p>
    <w:tbl>
      <w:tblPr>
        <w:tblStyle w:val="af2"/>
        <w:tblW w:w="8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559"/>
        <w:gridCol w:w="2126"/>
        <w:gridCol w:w="1276"/>
        <w:gridCol w:w="1276"/>
      </w:tblGrid>
      <w:tr w:rsidR="00964C23" w:rsidRPr="006602F9" w14:paraId="009CF08D" w14:textId="77777777" w:rsidTr="00E5059F">
        <w:trPr>
          <w:trHeight w:val="567"/>
        </w:trPr>
        <w:tc>
          <w:tcPr>
            <w:tcW w:w="2127" w:type="dxa"/>
            <w:noWrap/>
            <w:vAlign w:val="center"/>
            <w:hideMark/>
          </w:tcPr>
          <w:p w14:paraId="083B1A32" w14:textId="77777777" w:rsidR="00964C23" w:rsidRPr="006602F9" w:rsidRDefault="00964C23" w:rsidP="006602F9">
            <w:pPr>
              <w:spacing w:beforeLines="50" w:before="156" w:line="360" w:lineRule="auto"/>
              <w:jc w:val="both"/>
              <w:rPr>
                <w:rFonts w:cs="Arial"/>
                <w:b/>
                <w:bCs/>
                <w:szCs w:val="20"/>
              </w:rPr>
            </w:pPr>
            <w:r w:rsidRPr="006602F9">
              <w:rPr>
                <w:rFonts w:cs="Arial"/>
                <w:b/>
                <w:bCs/>
                <w:szCs w:val="20"/>
              </w:rPr>
              <w:t>Effect</w:t>
            </w:r>
          </w:p>
        </w:tc>
        <w:tc>
          <w:tcPr>
            <w:tcW w:w="1559" w:type="dxa"/>
            <w:noWrap/>
            <w:vAlign w:val="center"/>
            <w:hideMark/>
          </w:tcPr>
          <w:p w14:paraId="5E68B240" w14:textId="77777777" w:rsidR="00964C23" w:rsidRPr="006602F9" w:rsidRDefault="00964C23" w:rsidP="00E5059F">
            <w:pPr>
              <w:spacing w:beforeLines="50" w:before="156" w:line="360" w:lineRule="auto"/>
              <w:ind w:firstLineChars="100" w:firstLine="201"/>
              <w:jc w:val="both"/>
              <w:rPr>
                <w:rFonts w:cs="Arial"/>
                <w:b/>
                <w:bCs/>
                <w:szCs w:val="20"/>
              </w:rPr>
            </w:pPr>
            <w:r w:rsidRPr="006602F9">
              <w:rPr>
                <w:rFonts w:cs="Arial"/>
                <w:b/>
                <w:bCs/>
                <w:szCs w:val="20"/>
              </w:rPr>
              <w:t>Coefficient</w:t>
            </w:r>
          </w:p>
        </w:tc>
        <w:tc>
          <w:tcPr>
            <w:tcW w:w="2126" w:type="dxa"/>
            <w:vAlign w:val="center"/>
          </w:tcPr>
          <w:p w14:paraId="718B2307" w14:textId="0F814057" w:rsidR="00964C23" w:rsidRPr="006602F9" w:rsidRDefault="00964C23" w:rsidP="00E5059F">
            <w:pPr>
              <w:spacing w:beforeLines="50" w:before="156" w:line="360" w:lineRule="auto"/>
              <w:ind w:firstLineChars="250" w:firstLine="502"/>
              <w:jc w:val="both"/>
              <w:rPr>
                <w:rFonts w:cs="Arial"/>
                <w:b/>
                <w:bCs/>
                <w:szCs w:val="20"/>
              </w:rPr>
            </w:pPr>
            <w:r w:rsidRPr="006602F9">
              <w:rPr>
                <w:rFonts w:cs="Arial"/>
                <w:b/>
                <w:bCs/>
                <w:szCs w:val="20"/>
              </w:rPr>
              <w:t>95% CI</w:t>
            </w:r>
          </w:p>
        </w:tc>
        <w:tc>
          <w:tcPr>
            <w:tcW w:w="1276" w:type="dxa"/>
            <w:noWrap/>
            <w:vAlign w:val="center"/>
            <w:hideMark/>
          </w:tcPr>
          <w:p w14:paraId="01CBC553" w14:textId="5D566522" w:rsidR="00964C23" w:rsidRPr="006602F9" w:rsidRDefault="00964C23" w:rsidP="00E5059F">
            <w:pPr>
              <w:spacing w:beforeLines="50" w:before="156" w:line="360" w:lineRule="auto"/>
              <w:ind w:firstLineChars="200" w:firstLine="402"/>
              <w:jc w:val="both"/>
              <w:rPr>
                <w:rFonts w:cs="Arial"/>
                <w:b/>
                <w:bCs/>
                <w:szCs w:val="20"/>
              </w:rPr>
            </w:pPr>
            <w:r w:rsidRPr="006602F9">
              <w:rPr>
                <w:rFonts w:cs="Arial"/>
                <w:b/>
                <w:bCs/>
                <w:szCs w:val="20"/>
              </w:rPr>
              <w:t>SE</w:t>
            </w:r>
          </w:p>
        </w:tc>
        <w:tc>
          <w:tcPr>
            <w:tcW w:w="1276" w:type="dxa"/>
            <w:noWrap/>
            <w:vAlign w:val="center"/>
            <w:hideMark/>
          </w:tcPr>
          <w:p w14:paraId="015DA559" w14:textId="750653E2" w:rsidR="00964C23" w:rsidRPr="006602F9" w:rsidRDefault="002168C2" w:rsidP="00E5059F">
            <w:pPr>
              <w:spacing w:beforeLines="50" w:before="156" w:line="360" w:lineRule="auto"/>
              <w:ind w:firstLineChars="100" w:firstLine="201"/>
              <w:jc w:val="both"/>
              <w:rPr>
                <w:rFonts w:cs="Arial"/>
                <w:b/>
                <w:bCs/>
                <w:szCs w:val="20"/>
              </w:rPr>
            </w:pPr>
            <w:r w:rsidRPr="006602F9">
              <w:rPr>
                <w:rFonts w:cs="Arial"/>
                <w:b/>
                <w:bCs/>
                <w:szCs w:val="20"/>
              </w:rPr>
              <w:t xml:space="preserve">p </w:t>
            </w:r>
            <w:r w:rsidR="00964C23" w:rsidRPr="006602F9">
              <w:rPr>
                <w:rFonts w:cs="Arial"/>
                <w:b/>
                <w:bCs/>
                <w:szCs w:val="20"/>
              </w:rPr>
              <w:t>value</w:t>
            </w:r>
          </w:p>
        </w:tc>
      </w:tr>
      <w:tr w:rsidR="00B43E54" w:rsidRPr="006602F9" w14:paraId="0047B7C5" w14:textId="77777777" w:rsidTr="00E5059F">
        <w:trPr>
          <w:trHeight w:val="567"/>
        </w:trPr>
        <w:tc>
          <w:tcPr>
            <w:tcW w:w="2127" w:type="dxa"/>
            <w:noWrap/>
            <w:vAlign w:val="center"/>
            <w:hideMark/>
          </w:tcPr>
          <w:p w14:paraId="1FC4F197" w14:textId="77777777" w:rsidR="00B43E54" w:rsidRPr="006602F9" w:rsidRDefault="00B43E54" w:rsidP="00A0108E">
            <w:pPr>
              <w:spacing w:beforeLines="50" w:before="156" w:line="360" w:lineRule="auto"/>
              <w:rPr>
                <w:rFonts w:cs="Arial"/>
                <w:szCs w:val="20"/>
              </w:rPr>
            </w:pPr>
            <w:r w:rsidRPr="006602F9">
              <w:rPr>
                <w:rFonts w:cs="Arial"/>
                <w:szCs w:val="20"/>
              </w:rPr>
              <w:t>Intercept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174E030" w14:textId="60825AAE" w:rsidR="00B43E54" w:rsidRPr="006602F9" w:rsidRDefault="00B43E54" w:rsidP="00A0108E">
            <w:pPr>
              <w:spacing w:beforeLines="50" w:before="156" w:line="360" w:lineRule="auto"/>
              <w:jc w:val="center"/>
              <w:rPr>
                <w:rFonts w:cs="Arial"/>
                <w:szCs w:val="20"/>
              </w:rPr>
            </w:pPr>
            <w:r w:rsidRPr="006602F9">
              <w:rPr>
                <w:rFonts w:cs="Arial"/>
                <w:szCs w:val="20"/>
              </w:rPr>
              <w:t>4.495</w:t>
            </w:r>
          </w:p>
        </w:tc>
        <w:tc>
          <w:tcPr>
            <w:tcW w:w="2126" w:type="dxa"/>
            <w:vAlign w:val="center"/>
          </w:tcPr>
          <w:p w14:paraId="5BC9758A" w14:textId="6D4D2C4A" w:rsidR="00B43E54" w:rsidRPr="006602F9" w:rsidRDefault="00B43E54" w:rsidP="00A0108E">
            <w:pPr>
              <w:spacing w:beforeLines="50" w:before="156" w:line="360" w:lineRule="auto"/>
              <w:jc w:val="center"/>
              <w:rPr>
                <w:rFonts w:cs="Arial"/>
                <w:szCs w:val="20"/>
              </w:rPr>
            </w:pPr>
            <w:r w:rsidRPr="006602F9">
              <w:rPr>
                <w:rFonts w:cs="Arial"/>
                <w:szCs w:val="20"/>
              </w:rPr>
              <w:t>4.278 to 4.712</w:t>
            </w:r>
          </w:p>
        </w:tc>
        <w:tc>
          <w:tcPr>
            <w:tcW w:w="1276" w:type="dxa"/>
            <w:noWrap/>
            <w:vAlign w:val="center"/>
          </w:tcPr>
          <w:p w14:paraId="5AAF22BF" w14:textId="24B5ABAC" w:rsidR="00B43E54" w:rsidRPr="006602F9" w:rsidRDefault="00B43E54" w:rsidP="00A0108E">
            <w:pPr>
              <w:spacing w:beforeLines="50" w:before="156" w:line="360" w:lineRule="auto"/>
              <w:jc w:val="center"/>
              <w:rPr>
                <w:rFonts w:cs="Arial"/>
                <w:szCs w:val="20"/>
              </w:rPr>
            </w:pPr>
            <w:r w:rsidRPr="006602F9">
              <w:rPr>
                <w:rFonts w:cs="Arial"/>
                <w:szCs w:val="20"/>
              </w:rPr>
              <w:t>0.111</w:t>
            </w:r>
          </w:p>
        </w:tc>
        <w:tc>
          <w:tcPr>
            <w:tcW w:w="1276" w:type="dxa"/>
            <w:noWrap/>
            <w:vAlign w:val="center"/>
          </w:tcPr>
          <w:p w14:paraId="0BD4DDA5" w14:textId="77777777" w:rsidR="00B43E54" w:rsidRPr="006602F9" w:rsidRDefault="00B43E54" w:rsidP="00A0108E">
            <w:pPr>
              <w:spacing w:beforeLines="50" w:before="156" w:line="360" w:lineRule="auto"/>
              <w:jc w:val="center"/>
              <w:rPr>
                <w:rFonts w:cs="Arial"/>
                <w:szCs w:val="20"/>
              </w:rPr>
            </w:pPr>
            <w:r w:rsidRPr="006602F9">
              <w:rPr>
                <w:rFonts w:cs="Arial"/>
                <w:szCs w:val="20"/>
              </w:rPr>
              <w:t>&lt; 0.001</w:t>
            </w:r>
          </w:p>
        </w:tc>
      </w:tr>
      <w:tr w:rsidR="00B43E54" w:rsidRPr="006602F9" w14:paraId="7DE3260E" w14:textId="77777777" w:rsidTr="00E5059F">
        <w:trPr>
          <w:trHeight w:val="567"/>
        </w:trPr>
        <w:tc>
          <w:tcPr>
            <w:tcW w:w="2127" w:type="dxa"/>
            <w:noWrap/>
            <w:vAlign w:val="center"/>
            <w:hideMark/>
          </w:tcPr>
          <w:p w14:paraId="5A61B637" w14:textId="77777777" w:rsidR="00B43E54" w:rsidRPr="006602F9" w:rsidRDefault="00B43E54" w:rsidP="00A0108E">
            <w:pPr>
              <w:spacing w:beforeLines="50" w:before="156" w:line="360" w:lineRule="auto"/>
              <w:rPr>
                <w:rFonts w:cs="Arial"/>
                <w:szCs w:val="20"/>
              </w:rPr>
            </w:pPr>
            <w:r w:rsidRPr="006602F9">
              <w:rPr>
                <w:rFonts w:cs="Arial"/>
                <w:szCs w:val="20"/>
              </w:rPr>
              <w:t>Time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19837EB" w14:textId="35460411" w:rsidR="00B43E54" w:rsidRPr="006602F9" w:rsidRDefault="00B43E54" w:rsidP="00A0108E">
            <w:pPr>
              <w:spacing w:beforeLines="50" w:before="156" w:line="360" w:lineRule="auto"/>
              <w:jc w:val="center"/>
              <w:rPr>
                <w:rFonts w:cs="Arial"/>
                <w:szCs w:val="20"/>
              </w:rPr>
            </w:pPr>
            <w:r w:rsidRPr="006602F9">
              <w:rPr>
                <w:rFonts w:cs="Arial"/>
                <w:szCs w:val="20"/>
              </w:rPr>
              <w:t>-0.029</w:t>
            </w:r>
          </w:p>
        </w:tc>
        <w:tc>
          <w:tcPr>
            <w:tcW w:w="2126" w:type="dxa"/>
            <w:vAlign w:val="center"/>
          </w:tcPr>
          <w:p w14:paraId="77A615B9" w14:textId="36F09D12" w:rsidR="00B43E54" w:rsidRPr="006602F9" w:rsidRDefault="00B43E54" w:rsidP="00A0108E">
            <w:pPr>
              <w:spacing w:beforeLines="50" w:before="156" w:line="360" w:lineRule="auto"/>
              <w:jc w:val="center"/>
              <w:rPr>
                <w:rFonts w:cs="Arial"/>
                <w:szCs w:val="20"/>
              </w:rPr>
            </w:pPr>
            <w:r w:rsidRPr="006602F9">
              <w:rPr>
                <w:rFonts w:cs="Arial"/>
                <w:szCs w:val="20"/>
              </w:rPr>
              <w:t>-0.035 to -0.023</w:t>
            </w:r>
          </w:p>
        </w:tc>
        <w:tc>
          <w:tcPr>
            <w:tcW w:w="1276" w:type="dxa"/>
            <w:noWrap/>
            <w:vAlign w:val="center"/>
          </w:tcPr>
          <w:p w14:paraId="399C5504" w14:textId="259D3B99" w:rsidR="00B43E54" w:rsidRPr="006602F9" w:rsidRDefault="00B43E54" w:rsidP="00A0108E">
            <w:pPr>
              <w:spacing w:beforeLines="50" w:before="156" w:line="360" w:lineRule="auto"/>
              <w:jc w:val="center"/>
              <w:rPr>
                <w:rFonts w:cs="Arial"/>
                <w:szCs w:val="20"/>
              </w:rPr>
            </w:pPr>
            <w:r w:rsidRPr="006602F9">
              <w:rPr>
                <w:rFonts w:cs="Arial"/>
                <w:szCs w:val="20"/>
              </w:rPr>
              <w:t>0.003</w:t>
            </w:r>
          </w:p>
        </w:tc>
        <w:tc>
          <w:tcPr>
            <w:tcW w:w="1276" w:type="dxa"/>
            <w:noWrap/>
            <w:vAlign w:val="center"/>
          </w:tcPr>
          <w:p w14:paraId="3D764934" w14:textId="77777777" w:rsidR="00B43E54" w:rsidRPr="006602F9" w:rsidRDefault="00B43E54" w:rsidP="00A0108E">
            <w:pPr>
              <w:spacing w:beforeLines="50" w:before="156" w:line="360" w:lineRule="auto"/>
              <w:jc w:val="center"/>
              <w:rPr>
                <w:rFonts w:cs="Arial"/>
                <w:szCs w:val="20"/>
              </w:rPr>
            </w:pPr>
            <w:r w:rsidRPr="006602F9">
              <w:rPr>
                <w:rFonts w:cs="Arial"/>
                <w:szCs w:val="20"/>
              </w:rPr>
              <w:t>&lt; 0.001</w:t>
            </w:r>
          </w:p>
        </w:tc>
      </w:tr>
      <w:tr w:rsidR="00B43E54" w:rsidRPr="006602F9" w14:paraId="32B91B4F" w14:textId="77777777" w:rsidTr="00E5059F">
        <w:trPr>
          <w:trHeight w:val="567"/>
        </w:trPr>
        <w:tc>
          <w:tcPr>
            <w:tcW w:w="2127" w:type="dxa"/>
            <w:noWrap/>
            <w:vAlign w:val="center"/>
            <w:hideMark/>
          </w:tcPr>
          <w:p w14:paraId="0E37E2F2" w14:textId="77777777" w:rsidR="00B43E54" w:rsidRPr="006602F9" w:rsidRDefault="00B43E54" w:rsidP="00A0108E">
            <w:pPr>
              <w:spacing w:beforeLines="50" w:before="156" w:line="360" w:lineRule="auto"/>
              <w:rPr>
                <w:rFonts w:cs="Arial"/>
                <w:szCs w:val="20"/>
              </w:rPr>
            </w:pPr>
            <w:r w:rsidRPr="006602F9">
              <w:rPr>
                <w:rFonts w:cs="Arial"/>
                <w:szCs w:val="20"/>
              </w:rPr>
              <w:t>Treatment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10A1B22" w14:textId="64AC2CD1" w:rsidR="00B43E54" w:rsidRPr="006602F9" w:rsidRDefault="00B43E54" w:rsidP="00A0108E">
            <w:pPr>
              <w:spacing w:beforeLines="50" w:before="156" w:line="360" w:lineRule="auto"/>
              <w:jc w:val="center"/>
              <w:rPr>
                <w:rFonts w:cs="Arial"/>
                <w:szCs w:val="20"/>
              </w:rPr>
            </w:pPr>
            <w:r w:rsidRPr="006602F9">
              <w:rPr>
                <w:rFonts w:cs="Arial"/>
                <w:szCs w:val="20"/>
              </w:rPr>
              <w:t>-2.557</w:t>
            </w:r>
          </w:p>
        </w:tc>
        <w:tc>
          <w:tcPr>
            <w:tcW w:w="2126" w:type="dxa"/>
            <w:vAlign w:val="center"/>
          </w:tcPr>
          <w:p w14:paraId="4BBFAA30" w14:textId="04F773BB" w:rsidR="00B43E54" w:rsidRPr="006602F9" w:rsidRDefault="00B43E54" w:rsidP="00A0108E">
            <w:pPr>
              <w:spacing w:beforeLines="50" w:before="156" w:line="360" w:lineRule="auto"/>
              <w:jc w:val="center"/>
              <w:rPr>
                <w:rFonts w:cs="Arial"/>
                <w:szCs w:val="20"/>
              </w:rPr>
            </w:pPr>
            <w:r w:rsidRPr="006602F9">
              <w:rPr>
                <w:rFonts w:cs="Arial"/>
                <w:szCs w:val="20"/>
              </w:rPr>
              <w:t>-2.864 to -2.250</w:t>
            </w:r>
          </w:p>
        </w:tc>
        <w:tc>
          <w:tcPr>
            <w:tcW w:w="1276" w:type="dxa"/>
            <w:noWrap/>
            <w:vAlign w:val="center"/>
          </w:tcPr>
          <w:p w14:paraId="12F0CE2E" w14:textId="68D2DF33" w:rsidR="00B43E54" w:rsidRPr="006602F9" w:rsidRDefault="00B43E54" w:rsidP="00A0108E">
            <w:pPr>
              <w:spacing w:beforeLines="50" w:before="156" w:line="360" w:lineRule="auto"/>
              <w:jc w:val="center"/>
              <w:rPr>
                <w:rFonts w:cs="Arial"/>
                <w:szCs w:val="20"/>
              </w:rPr>
            </w:pPr>
            <w:r w:rsidRPr="006602F9">
              <w:rPr>
                <w:rFonts w:cs="Arial"/>
                <w:szCs w:val="20"/>
              </w:rPr>
              <w:t>0.157</w:t>
            </w:r>
          </w:p>
        </w:tc>
        <w:tc>
          <w:tcPr>
            <w:tcW w:w="1276" w:type="dxa"/>
            <w:noWrap/>
            <w:vAlign w:val="center"/>
          </w:tcPr>
          <w:p w14:paraId="3B226CEA" w14:textId="77777777" w:rsidR="00B43E54" w:rsidRPr="006602F9" w:rsidRDefault="00B43E54" w:rsidP="00A0108E">
            <w:pPr>
              <w:spacing w:beforeLines="50" w:before="156" w:line="360" w:lineRule="auto"/>
              <w:jc w:val="center"/>
              <w:rPr>
                <w:rFonts w:cs="Arial"/>
                <w:szCs w:val="20"/>
              </w:rPr>
            </w:pPr>
            <w:r w:rsidRPr="006602F9">
              <w:rPr>
                <w:rFonts w:cs="Arial"/>
                <w:szCs w:val="20"/>
              </w:rPr>
              <w:t>&lt; 0.001</w:t>
            </w:r>
          </w:p>
        </w:tc>
      </w:tr>
      <w:tr w:rsidR="00B43E54" w:rsidRPr="006602F9" w14:paraId="5E2A8815" w14:textId="77777777" w:rsidTr="00E5059F">
        <w:trPr>
          <w:trHeight w:val="567"/>
        </w:trPr>
        <w:tc>
          <w:tcPr>
            <w:tcW w:w="2127" w:type="dxa"/>
            <w:noWrap/>
            <w:vAlign w:val="center"/>
            <w:hideMark/>
          </w:tcPr>
          <w:p w14:paraId="0259786D" w14:textId="77777777" w:rsidR="00B43E54" w:rsidRPr="006602F9" w:rsidRDefault="00B43E54" w:rsidP="00A0108E">
            <w:pPr>
              <w:spacing w:beforeLines="50" w:before="156" w:line="360" w:lineRule="auto"/>
              <w:rPr>
                <w:rFonts w:cs="Arial"/>
                <w:szCs w:val="20"/>
              </w:rPr>
            </w:pPr>
            <w:r w:rsidRPr="006602F9">
              <w:rPr>
                <w:rFonts w:cs="Arial"/>
                <w:szCs w:val="20"/>
              </w:rPr>
              <w:t>Treatment × Time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D6D8F17" w14:textId="5E572C90" w:rsidR="00B43E54" w:rsidRPr="006602F9" w:rsidRDefault="00B43E54" w:rsidP="00A0108E">
            <w:pPr>
              <w:spacing w:beforeLines="50" w:before="156" w:line="360" w:lineRule="auto"/>
              <w:jc w:val="center"/>
              <w:rPr>
                <w:rFonts w:cs="Arial"/>
                <w:szCs w:val="20"/>
              </w:rPr>
            </w:pPr>
            <w:r w:rsidRPr="006602F9">
              <w:rPr>
                <w:rFonts w:cs="Arial"/>
                <w:szCs w:val="20"/>
              </w:rPr>
              <w:t>0.068</w:t>
            </w:r>
          </w:p>
        </w:tc>
        <w:tc>
          <w:tcPr>
            <w:tcW w:w="2126" w:type="dxa"/>
            <w:vAlign w:val="center"/>
          </w:tcPr>
          <w:p w14:paraId="2F17469E" w14:textId="56575A82" w:rsidR="00B43E54" w:rsidRPr="006602F9" w:rsidRDefault="00B43E54" w:rsidP="00A0108E">
            <w:pPr>
              <w:spacing w:beforeLines="50" w:before="156" w:line="360" w:lineRule="auto"/>
              <w:jc w:val="center"/>
              <w:rPr>
                <w:rFonts w:cs="Arial"/>
                <w:szCs w:val="20"/>
              </w:rPr>
            </w:pPr>
            <w:r w:rsidRPr="006602F9">
              <w:rPr>
                <w:rFonts w:cs="Arial"/>
                <w:szCs w:val="20"/>
              </w:rPr>
              <w:t>0.060 to 0.077</w:t>
            </w:r>
          </w:p>
        </w:tc>
        <w:tc>
          <w:tcPr>
            <w:tcW w:w="1276" w:type="dxa"/>
            <w:noWrap/>
            <w:vAlign w:val="center"/>
          </w:tcPr>
          <w:p w14:paraId="2AFCDD0A" w14:textId="33DDC189" w:rsidR="00B43E54" w:rsidRPr="006602F9" w:rsidRDefault="00B43E54" w:rsidP="00A0108E">
            <w:pPr>
              <w:spacing w:beforeLines="50" w:before="156" w:line="360" w:lineRule="auto"/>
              <w:jc w:val="center"/>
              <w:rPr>
                <w:rFonts w:cs="Arial"/>
                <w:szCs w:val="20"/>
              </w:rPr>
            </w:pPr>
            <w:r w:rsidRPr="006602F9">
              <w:rPr>
                <w:rFonts w:cs="Arial"/>
                <w:szCs w:val="20"/>
              </w:rPr>
              <w:t>0.004</w:t>
            </w:r>
          </w:p>
        </w:tc>
        <w:tc>
          <w:tcPr>
            <w:tcW w:w="1276" w:type="dxa"/>
            <w:noWrap/>
            <w:vAlign w:val="center"/>
          </w:tcPr>
          <w:p w14:paraId="41B8809B" w14:textId="77777777" w:rsidR="00B43E54" w:rsidRPr="006602F9" w:rsidRDefault="00B43E54" w:rsidP="00A0108E">
            <w:pPr>
              <w:spacing w:beforeLines="50" w:before="156" w:line="360" w:lineRule="auto"/>
              <w:jc w:val="center"/>
              <w:rPr>
                <w:rFonts w:cs="Arial"/>
                <w:szCs w:val="20"/>
              </w:rPr>
            </w:pPr>
            <w:r w:rsidRPr="006602F9">
              <w:rPr>
                <w:rFonts w:cs="Arial"/>
                <w:szCs w:val="20"/>
              </w:rPr>
              <w:t>&lt; 0.001</w:t>
            </w:r>
          </w:p>
        </w:tc>
      </w:tr>
    </w:tbl>
    <w:p w14:paraId="351FF4C1" w14:textId="2E2C8425" w:rsidR="00682A6F" w:rsidRPr="006602F9" w:rsidRDefault="006602F9" w:rsidP="00526E77">
      <w:pPr>
        <w:spacing w:beforeLines="50" w:before="156" w:line="360" w:lineRule="auto"/>
        <w:jc w:val="both"/>
        <w:rPr>
          <w:rFonts w:cs="Arial"/>
          <w:szCs w:val="20"/>
        </w:rPr>
      </w:pPr>
      <w:r w:rsidRPr="006602F9">
        <w:rPr>
          <w:rFonts w:cs="Arial"/>
          <w:szCs w:val="20"/>
        </w:rPr>
        <w:t>Abbreviations:</w:t>
      </w:r>
      <w:r w:rsidRPr="006602F9">
        <w:rPr>
          <w:rFonts w:cs="Arial"/>
          <w:szCs w:val="20"/>
          <w:lang w:eastAsia="zh-CN"/>
        </w:rPr>
        <w:t xml:space="preserve"> </w:t>
      </w:r>
      <w:r w:rsidR="00682A6F" w:rsidRPr="006602F9">
        <w:rPr>
          <w:rFonts w:cs="Arial"/>
          <w:szCs w:val="20"/>
        </w:rPr>
        <w:t xml:space="preserve">NRS, </w:t>
      </w:r>
      <w:r w:rsidR="007B1BA1">
        <w:rPr>
          <w:rFonts w:cs="Arial" w:hint="eastAsia"/>
          <w:szCs w:val="20"/>
          <w:lang w:eastAsia="zh-CN"/>
        </w:rPr>
        <w:t>N</w:t>
      </w:r>
      <w:r w:rsidR="00682A6F" w:rsidRPr="006602F9">
        <w:rPr>
          <w:rFonts w:cs="Arial"/>
          <w:szCs w:val="20"/>
        </w:rPr>
        <w:t xml:space="preserve">umeric </w:t>
      </w:r>
      <w:r w:rsidR="007B1BA1">
        <w:rPr>
          <w:rFonts w:cs="Arial" w:hint="eastAsia"/>
          <w:szCs w:val="20"/>
          <w:lang w:eastAsia="zh-CN"/>
        </w:rPr>
        <w:t>R</w:t>
      </w:r>
      <w:r w:rsidR="00682A6F" w:rsidRPr="006602F9">
        <w:rPr>
          <w:rFonts w:cs="Arial"/>
          <w:szCs w:val="20"/>
        </w:rPr>
        <w:t xml:space="preserve">ating </w:t>
      </w:r>
      <w:r w:rsidR="007B1BA1">
        <w:rPr>
          <w:rFonts w:cs="Arial" w:hint="eastAsia"/>
          <w:szCs w:val="20"/>
          <w:lang w:eastAsia="zh-CN"/>
        </w:rPr>
        <w:t>S</w:t>
      </w:r>
      <w:r w:rsidR="00682A6F" w:rsidRPr="006602F9">
        <w:rPr>
          <w:rFonts w:cs="Arial"/>
          <w:szCs w:val="20"/>
        </w:rPr>
        <w:t xml:space="preserve">cale. </w:t>
      </w:r>
    </w:p>
    <w:p w14:paraId="4461AC7A" w14:textId="77777777" w:rsidR="00964C23" w:rsidRDefault="00964C23">
      <w:pPr>
        <w:spacing w:line="240" w:lineRule="auto"/>
        <w:rPr>
          <w:rFonts w:ascii="Calibri" w:eastAsiaTheme="minorEastAsia" w:hAnsi="Calibri" w:cs="Calibri"/>
          <w:b/>
          <w:bCs/>
          <w:kern w:val="2"/>
          <w:sz w:val="24"/>
          <w:lang w:val="en-US" w:eastAsia="zh-CN"/>
        </w:rPr>
      </w:pPr>
      <w:r>
        <w:rPr>
          <w:rFonts w:ascii="Calibri" w:eastAsiaTheme="minorEastAsia" w:hAnsi="Calibri" w:cs="Calibri"/>
          <w:b/>
          <w:bCs/>
          <w:kern w:val="2"/>
          <w:sz w:val="24"/>
          <w:lang w:val="en-US" w:eastAsia="zh-CN"/>
        </w:rPr>
        <w:br w:type="page"/>
      </w:r>
    </w:p>
    <w:p w14:paraId="77DA99A4" w14:textId="72E77321" w:rsidR="00964C23" w:rsidRPr="006602F9" w:rsidRDefault="00964C23" w:rsidP="00964C23">
      <w:pPr>
        <w:spacing w:line="360" w:lineRule="auto"/>
        <w:rPr>
          <w:rFonts w:cs="Arial"/>
          <w:szCs w:val="20"/>
          <w:lang w:eastAsia="zh-CN"/>
        </w:rPr>
      </w:pPr>
      <w:r w:rsidRPr="006602F9">
        <w:rPr>
          <w:rFonts w:cs="Arial"/>
          <w:b/>
          <w:bCs/>
          <w:szCs w:val="20"/>
        </w:rPr>
        <w:lastRenderedPageBreak/>
        <w:t>Table S3</w:t>
      </w:r>
      <w:r w:rsidRPr="006602F9">
        <w:rPr>
          <w:rFonts w:cs="Arial"/>
          <w:szCs w:val="20"/>
        </w:rPr>
        <w:t xml:space="preserve"> </w:t>
      </w:r>
      <w:bookmarkStart w:id="1" w:name="_Hlk174299827"/>
      <w:r w:rsidRPr="006602F9">
        <w:rPr>
          <w:rFonts w:cs="Arial"/>
          <w:szCs w:val="20"/>
        </w:rPr>
        <w:t xml:space="preserve">Estimated marginal means of NRS pain scores at </w:t>
      </w:r>
      <w:r w:rsidR="00CC57E9" w:rsidRPr="006602F9">
        <w:rPr>
          <w:rFonts w:cs="Arial"/>
          <w:szCs w:val="20"/>
        </w:rPr>
        <w:t>rest</w:t>
      </w:r>
      <w:bookmarkEnd w:id="1"/>
    </w:p>
    <w:tbl>
      <w:tblPr>
        <w:tblStyle w:val="1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74"/>
        <w:gridCol w:w="1573"/>
        <w:gridCol w:w="1716"/>
        <w:gridCol w:w="2003"/>
        <w:gridCol w:w="1430"/>
      </w:tblGrid>
      <w:tr w:rsidR="00964C23" w:rsidRPr="006602F9" w14:paraId="59F02214" w14:textId="77777777" w:rsidTr="006602F9">
        <w:trPr>
          <w:trHeight w:val="439"/>
          <w:jc w:val="center"/>
        </w:trPr>
        <w:tc>
          <w:tcPr>
            <w:tcW w:w="1574" w:type="dxa"/>
            <w:vMerge w:val="restart"/>
            <w:noWrap/>
            <w:vAlign w:val="center"/>
            <w:hideMark/>
          </w:tcPr>
          <w:p w14:paraId="1845238A" w14:textId="2CD9D0A5" w:rsidR="00964C23" w:rsidRPr="006602F9" w:rsidRDefault="00964C23" w:rsidP="009A7B66">
            <w:pPr>
              <w:adjustRightInd w:val="0"/>
              <w:snapToGrid w:val="0"/>
              <w:spacing w:after="100" w:afterAutospacing="1" w:line="360" w:lineRule="auto"/>
              <w:rPr>
                <w:rFonts w:cs="Arial"/>
                <w:b/>
                <w:bCs/>
                <w:szCs w:val="20"/>
                <w:lang w:eastAsia="zh-CN"/>
              </w:rPr>
            </w:pPr>
            <w:r w:rsidRPr="006602F9">
              <w:rPr>
                <w:rFonts w:cs="Arial"/>
                <w:b/>
                <w:bCs/>
                <w:szCs w:val="20"/>
              </w:rPr>
              <w:t>Time</w:t>
            </w:r>
            <w:r w:rsidR="00797664" w:rsidRPr="006602F9">
              <w:rPr>
                <w:rFonts w:cs="Arial"/>
                <w:b/>
                <w:bCs/>
                <w:szCs w:val="20"/>
                <w:lang w:eastAsia="zh-CN"/>
              </w:rPr>
              <w:t xml:space="preserve"> point</w:t>
            </w:r>
          </w:p>
        </w:tc>
        <w:tc>
          <w:tcPr>
            <w:tcW w:w="1573" w:type="dxa"/>
            <w:vMerge w:val="restart"/>
            <w:noWrap/>
            <w:vAlign w:val="center"/>
            <w:hideMark/>
          </w:tcPr>
          <w:p w14:paraId="2F711B75" w14:textId="3B140136" w:rsidR="00964C23" w:rsidRPr="006602F9" w:rsidRDefault="00964C23" w:rsidP="009A7B66">
            <w:pPr>
              <w:adjustRightInd w:val="0"/>
              <w:snapToGrid w:val="0"/>
              <w:spacing w:after="100" w:afterAutospacing="1" w:line="36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6602F9">
              <w:rPr>
                <w:rFonts w:cs="Arial"/>
                <w:b/>
                <w:bCs/>
                <w:szCs w:val="20"/>
              </w:rPr>
              <w:t>∆</w:t>
            </w:r>
            <w:proofErr w:type="spellStart"/>
            <w:r w:rsidRPr="006602F9">
              <w:rPr>
                <w:rFonts w:cs="Arial"/>
                <w:b/>
                <w:bCs/>
                <w:szCs w:val="20"/>
              </w:rPr>
              <w:t>Emmean</w:t>
            </w:r>
            <w:proofErr w:type="spellEnd"/>
          </w:p>
        </w:tc>
        <w:tc>
          <w:tcPr>
            <w:tcW w:w="1716" w:type="dxa"/>
            <w:vMerge w:val="restart"/>
            <w:noWrap/>
            <w:vAlign w:val="center"/>
            <w:hideMark/>
          </w:tcPr>
          <w:p w14:paraId="2137256E" w14:textId="14C4669A" w:rsidR="00964C23" w:rsidRPr="006602F9" w:rsidRDefault="00964C23" w:rsidP="009A7B66">
            <w:pPr>
              <w:adjustRightInd w:val="0"/>
              <w:snapToGrid w:val="0"/>
              <w:spacing w:after="100" w:afterAutospacing="1" w:line="36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6602F9">
              <w:rPr>
                <w:rFonts w:cs="Arial"/>
                <w:b/>
                <w:bCs/>
                <w:szCs w:val="20"/>
              </w:rPr>
              <w:t>SE</w:t>
            </w:r>
          </w:p>
        </w:tc>
        <w:tc>
          <w:tcPr>
            <w:tcW w:w="2003" w:type="dxa"/>
            <w:vMerge w:val="restart"/>
            <w:noWrap/>
            <w:vAlign w:val="center"/>
            <w:hideMark/>
          </w:tcPr>
          <w:p w14:paraId="5BA3C334" w14:textId="386A0BBB" w:rsidR="00964C23" w:rsidRPr="006602F9" w:rsidRDefault="00964C23" w:rsidP="009A7B66">
            <w:pPr>
              <w:adjustRightInd w:val="0"/>
              <w:snapToGrid w:val="0"/>
              <w:spacing w:after="100" w:afterAutospacing="1" w:line="36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6602F9">
              <w:rPr>
                <w:rFonts w:cs="Arial"/>
                <w:b/>
                <w:bCs/>
                <w:szCs w:val="20"/>
              </w:rPr>
              <w:t>95% CI</w:t>
            </w:r>
          </w:p>
        </w:tc>
        <w:tc>
          <w:tcPr>
            <w:tcW w:w="1430" w:type="dxa"/>
            <w:vMerge w:val="restart"/>
            <w:noWrap/>
            <w:vAlign w:val="center"/>
            <w:hideMark/>
          </w:tcPr>
          <w:p w14:paraId="34847E5A" w14:textId="7E48A909" w:rsidR="00964C23" w:rsidRPr="006602F9" w:rsidRDefault="00336B73" w:rsidP="009A7B66">
            <w:pPr>
              <w:adjustRightInd w:val="0"/>
              <w:snapToGrid w:val="0"/>
              <w:spacing w:after="100" w:afterAutospacing="1" w:line="36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6602F9">
              <w:rPr>
                <w:rFonts w:cs="Arial"/>
                <w:b/>
                <w:bCs/>
                <w:szCs w:val="20"/>
              </w:rPr>
              <w:t xml:space="preserve">p </w:t>
            </w:r>
            <w:r w:rsidR="00964C23" w:rsidRPr="006602F9">
              <w:rPr>
                <w:rFonts w:cs="Arial"/>
                <w:b/>
                <w:bCs/>
                <w:szCs w:val="20"/>
              </w:rPr>
              <w:t>value</w:t>
            </w:r>
          </w:p>
        </w:tc>
      </w:tr>
      <w:tr w:rsidR="00964C23" w:rsidRPr="006602F9" w14:paraId="21EDFD42" w14:textId="77777777" w:rsidTr="006602F9">
        <w:trPr>
          <w:trHeight w:val="345"/>
          <w:jc w:val="center"/>
        </w:trPr>
        <w:tc>
          <w:tcPr>
            <w:tcW w:w="1574" w:type="dxa"/>
            <w:vMerge/>
            <w:noWrap/>
            <w:vAlign w:val="center"/>
          </w:tcPr>
          <w:p w14:paraId="6C583BDE" w14:textId="77777777" w:rsidR="00964C23" w:rsidRPr="006602F9" w:rsidRDefault="00964C23" w:rsidP="009A7B66">
            <w:pPr>
              <w:spacing w:line="360" w:lineRule="auto"/>
              <w:rPr>
                <w:rFonts w:cs="Arial"/>
                <w:szCs w:val="20"/>
              </w:rPr>
            </w:pPr>
          </w:p>
        </w:tc>
        <w:tc>
          <w:tcPr>
            <w:tcW w:w="1573" w:type="dxa"/>
            <w:vMerge/>
            <w:noWrap/>
            <w:vAlign w:val="center"/>
          </w:tcPr>
          <w:p w14:paraId="0FFDB55A" w14:textId="77777777" w:rsidR="00964C23" w:rsidRPr="006602F9" w:rsidRDefault="00964C23" w:rsidP="009A7B66">
            <w:pPr>
              <w:spacing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716" w:type="dxa"/>
            <w:vMerge/>
            <w:noWrap/>
            <w:vAlign w:val="center"/>
          </w:tcPr>
          <w:p w14:paraId="1323015C" w14:textId="77777777" w:rsidR="00964C23" w:rsidRPr="006602F9" w:rsidRDefault="00964C23" w:rsidP="009A7B66">
            <w:pPr>
              <w:spacing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2003" w:type="dxa"/>
            <w:vMerge/>
            <w:noWrap/>
            <w:vAlign w:val="center"/>
          </w:tcPr>
          <w:p w14:paraId="40F7DAB9" w14:textId="77777777" w:rsidR="00964C23" w:rsidRPr="006602F9" w:rsidRDefault="00964C23" w:rsidP="009A7B66">
            <w:pPr>
              <w:spacing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430" w:type="dxa"/>
            <w:vMerge/>
            <w:noWrap/>
            <w:vAlign w:val="center"/>
          </w:tcPr>
          <w:p w14:paraId="7F8EBCCD" w14:textId="77777777" w:rsidR="00964C23" w:rsidRPr="006602F9" w:rsidRDefault="00964C23" w:rsidP="009A7B66">
            <w:pPr>
              <w:spacing w:line="360" w:lineRule="auto"/>
              <w:jc w:val="center"/>
              <w:rPr>
                <w:rFonts w:cs="Arial"/>
                <w:szCs w:val="20"/>
              </w:rPr>
            </w:pPr>
          </w:p>
        </w:tc>
      </w:tr>
      <w:tr w:rsidR="00B43E54" w:rsidRPr="006602F9" w14:paraId="7EFF27BC" w14:textId="77777777" w:rsidTr="006602F9">
        <w:trPr>
          <w:trHeight w:val="454"/>
          <w:jc w:val="center"/>
        </w:trPr>
        <w:tc>
          <w:tcPr>
            <w:tcW w:w="1574" w:type="dxa"/>
            <w:vAlign w:val="center"/>
            <w:hideMark/>
          </w:tcPr>
          <w:p w14:paraId="42199F53" w14:textId="56ACAB85" w:rsidR="00B43E54" w:rsidRPr="006602F9" w:rsidRDefault="00B43E54" w:rsidP="00A0108E">
            <w:pPr>
              <w:spacing w:beforeLines="50" w:before="156" w:line="360" w:lineRule="auto"/>
              <w:jc w:val="center"/>
              <w:rPr>
                <w:rFonts w:cs="Arial"/>
                <w:szCs w:val="20"/>
              </w:rPr>
            </w:pPr>
            <w:bookmarkStart w:id="2" w:name="_Hlk163646184"/>
            <w:r w:rsidRPr="006602F9">
              <w:rPr>
                <w:rFonts w:cs="Arial"/>
                <w:szCs w:val="20"/>
              </w:rPr>
              <w:t>Postop 0.5 h</w:t>
            </w:r>
          </w:p>
        </w:tc>
        <w:tc>
          <w:tcPr>
            <w:tcW w:w="1573" w:type="dxa"/>
            <w:shd w:val="clear" w:color="auto" w:fill="auto"/>
            <w:vAlign w:val="bottom"/>
          </w:tcPr>
          <w:p w14:paraId="6C01FE87" w14:textId="13B99A35" w:rsidR="00B43E54" w:rsidRPr="006602F9" w:rsidRDefault="00B43E54" w:rsidP="00A0108E">
            <w:pPr>
              <w:spacing w:beforeLines="50" w:before="156" w:line="360" w:lineRule="auto"/>
              <w:jc w:val="center"/>
              <w:rPr>
                <w:rFonts w:cs="Arial"/>
                <w:szCs w:val="20"/>
              </w:rPr>
            </w:pPr>
            <w:r w:rsidRPr="006602F9">
              <w:rPr>
                <w:rFonts w:cs="Arial"/>
                <w:szCs w:val="20"/>
              </w:rPr>
              <w:t>1.282</w:t>
            </w:r>
          </w:p>
        </w:tc>
        <w:tc>
          <w:tcPr>
            <w:tcW w:w="1716" w:type="dxa"/>
            <w:shd w:val="clear" w:color="auto" w:fill="auto"/>
            <w:noWrap/>
            <w:vAlign w:val="bottom"/>
          </w:tcPr>
          <w:p w14:paraId="238E76E8" w14:textId="525DA15E" w:rsidR="00B43E54" w:rsidRPr="006602F9" w:rsidRDefault="00B43E54" w:rsidP="00A0108E">
            <w:pPr>
              <w:spacing w:beforeLines="50" w:before="156" w:line="360" w:lineRule="auto"/>
              <w:jc w:val="center"/>
              <w:rPr>
                <w:rFonts w:cs="Arial"/>
                <w:szCs w:val="20"/>
              </w:rPr>
            </w:pPr>
            <w:r w:rsidRPr="006602F9">
              <w:rPr>
                <w:rFonts w:cs="Arial"/>
                <w:szCs w:val="20"/>
              </w:rPr>
              <w:t>0.18</w:t>
            </w:r>
            <w:r w:rsidR="00454BD4" w:rsidRPr="006602F9">
              <w:rPr>
                <w:rFonts w:cs="Arial"/>
                <w:szCs w:val="20"/>
              </w:rPr>
              <w:t>5</w:t>
            </w:r>
          </w:p>
        </w:tc>
        <w:tc>
          <w:tcPr>
            <w:tcW w:w="2003" w:type="dxa"/>
            <w:shd w:val="clear" w:color="auto" w:fill="auto"/>
            <w:noWrap/>
            <w:vAlign w:val="bottom"/>
          </w:tcPr>
          <w:p w14:paraId="2B74717B" w14:textId="080DCA36" w:rsidR="00B43E54" w:rsidRPr="006602F9" w:rsidRDefault="00B43E54" w:rsidP="00A0108E">
            <w:pPr>
              <w:spacing w:beforeLines="50" w:before="156" w:line="360" w:lineRule="auto"/>
              <w:jc w:val="center"/>
              <w:rPr>
                <w:rFonts w:cs="Arial"/>
                <w:szCs w:val="20"/>
              </w:rPr>
            </w:pPr>
            <w:r w:rsidRPr="006602F9">
              <w:rPr>
                <w:rFonts w:cs="Arial"/>
                <w:szCs w:val="20"/>
              </w:rPr>
              <w:t>0.91</w:t>
            </w:r>
            <w:r w:rsidR="00454BD4" w:rsidRPr="006602F9">
              <w:rPr>
                <w:rFonts w:cs="Arial"/>
                <w:szCs w:val="20"/>
              </w:rPr>
              <w:t>8</w:t>
            </w:r>
            <w:r w:rsidRPr="006602F9">
              <w:rPr>
                <w:rFonts w:cs="Arial"/>
                <w:szCs w:val="20"/>
              </w:rPr>
              <w:t xml:space="preserve"> to 1.64</w:t>
            </w:r>
            <w:r w:rsidR="00454BD4" w:rsidRPr="006602F9">
              <w:rPr>
                <w:rFonts w:cs="Arial"/>
                <w:szCs w:val="20"/>
              </w:rPr>
              <w:t>6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14:paraId="2D32554D" w14:textId="17E1BB15" w:rsidR="00B43E54" w:rsidRPr="006602F9" w:rsidRDefault="00B43E54" w:rsidP="00A0108E">
            <w:pPr>
              <w:spacing w:beforeLines="50" w:before="156" w:line="360" w:lineRule="auto"/>
              <w:jc w:val="center"/>
              <w:rPr>
                <w:rFonts w:cs="Arial"/>
                <w:szCs w:val="20"/>
              </w:rPr>
            </w:pPr>
            <w:r w:rsidRPr="006602F9">
              <w:rPr>
                <w:rFonts w:cs="Arial"/>
                <w:szCs w:val="20"/>
              </w:rPr>
              <w:t>&lt; 0.001</w:t>
            </w:r>
          </w:p>
        </w:tc>
      </w:tr>
      <w:bookmarkEnd w:id="2"/>
      <w:tr w:rsidR="00B43E54" w:rsidRPr="006602F9" w14:paraId="7C88335D" w14:textId="77777777" w:rsidTr="006602F9">
        <w:trPr>
          <w:trHeight w:val="454"/>
          <w:jc w:val="center"/>
        </w:trPr>
        <w:tc>
          <w:tcPr>
            <w:tcW w:w="1574" w:type="dxa"/>
            <w:noWrap/>
            <w:hideMark/>
          </w:tcPr>
          <w:p w14:paraId="1DA4636A" w14:textId="36C3A070" w:rsidR="00B43E54" w:rsidRPr="006602F9" w:rsidRDefault="00B43E54" w:rsidP="00A0108E">
            <w:pPr>
              <w:spacing w:beforeLines="50" w:before="156" w:line="360" w:lineRule="auto"/>
              <w:jc w:val="center"/>
              <w:rPr>
                <w:rFonts w:cs="Arial"/>
                <w:szCs w:val="20"/>
              </w:rPr>
            </w:pPr>
            <w:r w:rsidRPr="006602F9">
              <w:rPr>
                <w:rFonts w:cs="Arial"/>
                <w:szCs w:val="20"/>
              </w:rPr>
              <w:t>Postop 1 h</w:t>
            </w:r>
          </w:p>
        </w:tc>
        <w:tc>
          <w:tcPr>
            <w:tcW w:w="1573" w:type="dxa"/>
            <w:shd w:val="clear" w:color="auto" w:fill="auto"/>
            <w:vAlign w:val="bottom"/>
          </w:tcPr>
          <w:p w14:paraId="4686A6C2" w14:textId="707BF0A2" w:rsidR="00B43E54" w:rsidRPr="006602F9" w:rsidRDefault="00B43E54" w:rsidP="00A0108E">
            <w:pPr>
              <w:spacing w:beforeLines="50" w:before="156" w:line="360" w:lineRule="auto"/>
              <w:jc w:val="center"/>
              <w:rPr>
                <w:rFonts w:cs="Arial"/>
                <w:szCs w:val="20"/>
              </w:rPr>
            </w:pPr>
            <w:r w:rsidRPr="006602F9">
              <w:rPr>
                <w:rFonts w:cs="Arial"/>
                <w:szCs w:val="20"/>
              </w:rPr>
              <w:t>1.615</w:t>
            </w:r>
          </w:p>
        </w:tc>
        <w:tc>
          <w:tcPr>
            <w:tcW w:w="1716" w:type="dxa"/>
            <w:shd w:val="clear" w:color="auto" w:fill="auto"/>
            <w:noWrap/>
            <w:vAlign w:val="bottom"/>
          </w:tcPr>
          <w:p w14:paraId="36B844BB" w14:textId="64B10CEE" w:rsidR="00B43E54" w:rsidRPr="006602F9" w:rsidRDefault="00454BD4" w:rsidP="00A0108E">
            <w:pPr>
              <w:spacing w:beforeLines="50" w:before="156" w:line="360" w:lineRule="auto"/>
              <w:jc w:val="center"/>
              <w:rPr>
                <w:rFonts w:cs="Arial"/>
                <w:szCs w:val="20"/>
              </w:rPr>
            </w:pPr>
            <w:r w:rsidRPr="006602F9">
              <w:rPr>
                <w:rFonts w:cs="Arial"/>
                <w:szCs w:val="20"/>
              </w:rPr>
              <w:t>0.185</w:t>
            </w:r>
          </w:p>
        </w:tc>
        <w:tc>
          <w:tcPr>
            <w:tcW w:w="2003" w:type="dxa"/>
            <w:shd w:val="clear" w:color="auto" w:fill="auto"/>
            <w:noWrap/>
            <w:vAlign w:val="bottom"/>
          </w:tcPr>
          <w:p w14:paraId="5631951F" w14:textId="10B6C376" w:rsidR="00B43E54" w:rsidRPr="006602F9" w:rsidRDefault="00B43E54" w:rsidP="00A0108E">
            <w:pPr>
              <w:spacing w:beforeLines="50" w:before="156" w:line="360" w:lineRule="auto"/>
              <w:jc w:val="center"/>
              <w:rPr>
                <w:rFonts w:cs="Arial"/>
                <w:szCs w:val="20"/>
              </w:rPr>
            </w:pPr>
            <w:r w:rsidRPr="006602F9">
              <w:rPr>
                <w:rFonts w:cs="Arial"/>
                <w:szCs w:val="20"/>
              </w:rPr>
              <w:t>1.2</w:t>
            </w:r>
            <w:r w:rsidR="00454BD4" w:rsidRPr="006602F9">
              <w:rPr>
                <w:rFonts w:cs="Arial"/>
                <w:szCs w:val="20"/>
              </w:rPr>
              <w:t>52</w:t>
            </w:r>
            <w:r w:rsidRPr="006602F9">
              <w:rPr>
                <w:rFonts w:cs="Arial"/>
                <w:szCs w:val="20"/>
              </w:rPr>
              <w:t xml:space="preserve"> to 1.9</w:t>
            </w:r>
            <w:r w:rsidR="00454BD4" w:rsidRPr="006602F9">
              <w:rPr>
                <w:rFonts w:cs="Arial"/>
                <w:szCs w:val="20"/>
              </w:rPr>
              <w:t>79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14:paraId="4732A246" w14:textId="07BF3867" w:rsidR="00B43E54" w:rsidRPr="006602F9" w:rsidRDefault="00B43E54" w:rsidP="00A0108E">
            <w:pPr>
              <w:spacing w:beforeLines="50" w:before="156" w:line="360" w:lineRule="auto"/>
              <w:jc w:val="center"/>
              <w:rPr>
                <w:rFonts w:cs="Arial"/>
                <w:szCs w:val="20"/>
              </w:rPr>
            </w:pPr>
            <w:r w:rsidRPr="006602F9">
              <w:rPr>
                <w:rFonts w:cs="Arial"/>
                <w:szCs w:val="20"/>
              </w:rPr>
              <w:t>&lt; 0.001</w:t>
            </w:r>
          </w:p>
        </w:tc>
      </w:tr>
      <w:tr w:rsidR="00B43E54" w:rsidRPr="006602F9" w14:paraId="15879B0D" w14:textId="77777777" w:rsidTr="006602F9">
        <w:trPr>
          <w:trHeight w:val="454"/>
          <w:jc w:val="center"/>
        </w:trPr>
        <w:tc>
          <w:tcPr>
            <w:tcW w:w="1574" w:type="dxa"/>
            <w:noWrap/>
          </w:tcPr>
          <w:p w14:paraId="1027721F" w14:textId="2DD133A1" w:rsidR="00B43E54" w:rsidRPr="006602F9" w:rsidRDefault="00B43E54" w:rsidP="00A0108E">
            <w:pPr>
              <w:spacing w:beforeLines="50" w:before="156" w:line="360" w:lineRule="auto"/>
              <w:jc w:val="center"/>
              <w:rPr>
                <w:rFonts w:cs="Arial"/>
                <w:szCs w:val="20"/>
              </w:rPr>
            </w:pPr>
            <w:r w:rsidRPr="006602F9">
              <w:rPr>
                <w:rFonts w:cs="Arial"/>
                <w:szCs w:val="20"/>
              </w:rPr>
              <w:t>Postop 2 h</w:t>
            </w:r>
          </w:p>
        </w:tc>
        <w:tc>
          <w:tcPr>
            <w:tcW w:w="1573" w:type="dxa"/>
            <w:shd w:val="clear" w:color="auto" w:fill="auto"/>
            <w:noWrap/>
            <w:vAlign w:val="bottom"/>
          </w:tcPr>
          <w:p w14:paraId="5451C223" w14:textId="5DCB5ABB" w:rsidR="00B43E54" w:rsidRPr="006602F9" w:rsidRDefault="00B43E54" w:rsidP="00A0108E">
            <w:pPr>
              <w:spacing w:beforeLines="50" w:before="156" w:line="360" w:lineRule="auto"/>
              <w:jc w:val="center"/>
              <w:rPr>
                <w:rFonts w:cs="Arial"/>
                <w:szCs w:val="20"/>
              </w:rPr>
            </w:pPr>
            <w:r w:rsidRPr="006602F9">
              <w:rPr>
                <w:rFonts w:cs="Arial"/>
                <w:szCs w:val="20"/>
              </w:rPr>
              <w:t>1.692</w:t>
            </w:r>
          </w:p>
        </w:tc>
        <w:tc>
          <w:tcPr>
            <w:tcW w:w="1716" w:type="dxa"/>
            <w:shd w:val="clear" w:color="auto" w:fill="auto"/>
            <w:noWrap/>
            <w:vAlign w:val="bottom"/>
          </w:tcPr>
          <w:p w14:paraId="5F919F5D" w14:textId="5D6496B7" w:rsidR="00B43E54" w:rsidRPr="006602F9" w:rsidRDefault="00454BD4" w:rsidP="00A0108E">
            <w:pPr>
              <w:spacing w:beforeLines="50" w:before="156" w:line="360" w:lineRule="auto"/>
              <w:jc w:val="center"/>
              <w:rPr>
                <w:rFonts w:cs="Arial"/>
                <w:szCs w:val="20"/>
              </w:rPr>
            </w:pPr>
            <w:r w:rsidRPr="006602F9">
              <w:rPr>
                <w:rFonts w:cs="Arial"/>
                <w:szCs w:val="20"/>
              </w:rPr>
              <w:t>0.185</w:t>
            </w:r>
          </w:p>
        </w:tc>
        <w:tc>
          <w:tcPr>
            <w:tcW w:w="2003" w:type="dxa"/>
            <w:shd w:val="clear" w:color="auto" w:fill="auto"/>
            <w:noWrap/>
            <w:vAlign w:val="bottom"/>
          </w:tcPr>
          <w:p w14:paraId="709BAD24" w14:textId="7BDEFD1E" w:rsidR="00B43E54" w:rsidRPr="006602F9" w:rsidRDefault="00B43E54" w:rsidP="00A0108E">
            <w:pPr>
              <w:spacing w:beforeLines="50" w:before="156" w:line="360" w:lineRule="auto"/>
              <w:jc w:val="center"/>
              <w:rPr>
                <w:rFonts w:cs="Arial"/>
                <w:szCs w:val="20"/>
              </w:rPr>
            </w:pPr>
            <w:r w:rsidRPr="006602F9">
              <w:rPr>
                <w:rFonts w:cs="Arial"/>
                <w:szCs w:val="20"/>
              </w:rPr>
              <w:t>1.32</w:t>
            </w:r>
            <w:r w:rsidR="00454BD4" w:rsidRPr="006602F9">
              <w:rPr>
                <w:rFonts w:cs="Arial"/>
                <w:szCs w:val="20"/>
              </w:rPr>
              <w:t>9</w:t>
            </w:r>
            <w:r w:rsidRPr="006602F9">
              <w:rPr>
                <w:rFonts w:cs="Arial"/>
                <w:szCs w:val="20"/>
              </w:rPr>
              <w:t xml:space="preserve"> to 2.05</w:t>
            </w:r>
            <w:r w:rsidR="00454BD4" w:rsidRPr="006602F9">
              <w:rPr>
                <w:rFonts w:cs="Arial"/>
                <w:szCs w:val="20"/>
              </w:rPr>
              <w:t>6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14:paraId="1F4E2FAC" w14:textId="376B748B" w:rsidR="00B43E54" w:rsidRPr="006602F9" w:rsidRDefault="00B43E54" w:rsidP="00A0108E">
            <w:pPr>
              <w:spacing w:beforeLines="50" w:before="156" w:line="360" w:lineRule="auto"/>
              <w:jc w:val="center"/>
              <w:rPr>
                <w:rFonts w:cs="Arial"/>
                <w:szCs w:val="20"/>
              </w:rPr>
            </w:pPr>
            <w:r w:rsidRPr="006602F9">
              <w:rPr>
                <w:rFonts w:cs="Arial"/>
                <w:szCs w:val="20"/>
              </w:rPr>
              <w:t>&lt; 0.001</w:t>
            </w:r>
          </w:p>
        </w:tc>
      </w:tr>
      <w:tr w:rsidR="00B43E54" w:rsidRPr="006602F9" w14:paraId="0FA2C94F" w14:textId="77777777" w:rsidTr="006602F9">
        <w:trPr>
          <w:trHeight w:val="454"/>
          <w:jc w:val="center"/>
        </w:trPr>
        <w:tc>
          <w:tcPr>
            <w:tcW w:w="1574" w:type="dxa"/>
            <w:noWrap/>
          </w:tcPr>
          <w:p w14:paraId="0E53F2BB" w14:textId="5AC17830" w:rsidR="00B43E54" w:rsidRPr="006602F9" w:rsidRDefault="00B43E54" w:rsidP="00A0108E">
            <w:pPr>
              <w:spacing w:beforeLines="50" w:before="156" w:line="360" w:lineRule="auto"/>
              <w:jc w:val="center"/>
              <w:rPr>
                <w:rFonts w:cs="Arial"/>
                <w:szCs w:val="20"/>
              </w:rPr>
            </w:pPr>
            <w:r w:rsidRPr="006602F9">
              <w:rPr>
                <w:rFonts w:cs="Arial"/>
                <w:szCs w:val="20"/>
              </w:rPr>
              <w:t>Postop 4 h</w:t>
            </w:r>
          </w:p>
        </w:tc>
        <w:tc>
          <w:tcPr>
            <w:tcW w:w="1573" w:type="dxa"/>
            <w:shd w:val="clear" w:color="auto" w:fill="auto"/>
            <w:noWrap/>
            <w:vAlign w:val="bottom"/>
          </w:tcPr>
          <w:p w14:paraId="45939B78" w14:textId="76F6E210" w:rsidR="00B43E54" w:rsidRPr="006602F9" w:rsidRDefault="00B43E54" w:rsidP="00A0108E">
            <w:pPr>
              <w:spacing w:beforeLines="50" w:before="156" w:line="360" w:lineRule="auto"/>
              <w:jc w:val="center"/>
              <w:rPr>
                <w:rFonts w:cs="Arial"/>
                <w:szCs w:val="20"/>
              </w:rPr>
            </w:pPr>
            <w:r w:rsidRPr="006602F9">
              <w:rPr>
                <w:rFonts w:cs="Arial"/>
                <w:szCs w:val="20"/>
              </w:rPr>
              <w:t>2.154</w:t>
            </w:r>
          </w:p>
        </w:tc>
        <w:tc>
          <w:tcPr>
            <w:tcW w:w="1716" w:type="dxa"/>
            <w:shd w:val="clear" w:color="auto" w:fill="auto"/>
            <w:noWrap/>
            <w:vAlign w:val="bottom"/>
          </w:tcPr>
          <w:p w14:paraId="4AC01286" w14:textId="208878FA" w:rsidR="00B43E54" w:rsidRPr="006602F9" w:rsidRDefault="00454BD4" w:rsidP="00A0108E">
            <w:pPr>
              <w:spacing w:beforeLines="50" w:before="156" w:line="360" w:lineRule="auto"/>
              <w:jc w:val="center"/>
              <w:rPr>
                <w:rFonts w:cs="Arial"/>
                <w:szCs w:val="20"/>
              </w:rPr>
            </w:pPr>
            <w:r w:rsidRPr="006602F9">
              <w:rPr>
                <w:rFonts w:cs="Arial"/>
                <w:szCs w:val="20"/>
              </w:rPr>
              <w:t>0.185</w:t>
            </w:r>
          </w:p>
        </w:tc>
        <w:tc>
          <w:tcPr>
            <w:tcW w:w="2003" w:type="dxa"/>
            <w:shd w:val="clear" w:color="auto" w:fill="auto"/>
            <w:noWrap/>
            <w:vAlign w:val="bottom"/>
          </w:tcPr>
          <w:p w14:paraId="459386E8" w14:textId="67B60179" w:rsidR="00B43E54" w:rsidRPr="006602F9" w:rsidRDefault="00B43E54" w:rsidP="00A0108E">
            <w:pPr>
              <w:spacing w:beforeLines="50" w:before="156" w:line="360" w:lineRule="auto"/>
              <w:jc w:val="center"/>
              <w:rPr>
                <w:rFonts w:cs="Arial"/>
                <w:szCs w:val="20"/>
              </w:rPr>
            </w:pPr>
            <w:r w:rsidRPr="006602F9">
              <w:rPr>
                <w:rFonts w:cs="Arial"/>
                <w:szCs w:val="20"/>
              </w:rPr>
              <w:t>1.7</w:t>
            </w:r>
            <w:r w:rsidR="00454BD4" w:rsidRPr="006602F9">
              <w:rPr>
                <w:rFonts w:cs="Arial"/>
                <w:szCs w:val="20"/>
              </w:rPr>
              <w:t>90</w:t>
            </w:r>
            <w:r w:rsidRPr="006602F9">
              <w:rPr>
                <w:rFonts w:cs="Arial"/>
                <w:szCs w:val="20"/>
              </w:rPr>
              <w:t xml:space="preserve"> to 2.5</w:t>
            </w:r>
            <w:r w:rsidR="00454BD4" w:rsidRPr="006602F9">
              <w:rPr>
                <w:rFonts w:cs="Arial"/>
                <w:szCs w:val="20"/>
              </w:rPr>
              <w:t>17</w:t>
            </w:r>
          </w:p>
        </w:tc>
        <w:tc>
          <w:tcPr>
            <w:tcW w:w="1430" w:type="dxa"/>
            <w:shd w:val="clear" w:color="auto" w:fill="auto"/>
            <w:noWrap/>
          </w:tcPr>
          <w:p w14:paraId="47AB3F28" w14:textId="3419A164" w:rsidR="00B43E54" w:rsidRPr="006602F9" w:rsidRDefault="00B43E54" w:rsidP="00A0108E">
            <w:pPr>
              <w:spacing w:beforeLines="50" w:before="156" w:line="360" w:lineRule="auto"/>
              <w:jc w:val="center"/>
              <w:rPr>
                <w:rFonts w:cs="Arial"/>
                <w:szCs w:val="20"/>
              </w:rPr>
            </w:pPr>
            <w:r w:rsidRPr="006602F9">
              <w:rPr>
                <w:rFonts w:cs="Arial"/>
                <w:szCs w:val="20"/>
              </w:rPr>
              <w:t>&lt; 0.001</w:t>
            </w:r>
          </w:p>
        </w:tc>
      </w:tr>
      <w:tr w:rsidR="00B43E54" w:rsidRPr="006602F9" w14:paraId="67AF7174" w14:textId="77777777" w:rsidTr="006602F9">
        <w:trPr>
          <w:trHeight w:val="454"/>
          <w:jc w:val="center"/>
        </w:trPr>
        <w:tc>
          <w:tcPr>
            <w:tcW w:w="1574" w:type="dxa"/>
            <w:noWrap/>
          </w:tcPr>
          <w:p w14:paraId="7311A520" w14:textId="08BF8C7F" w:rsidR="00B43E54" w:rsidRPr="006602F9" w:rsidRDefault="00B43E54" w:rsidP="00A0108E">
            <w:pPr>
              <w:spacing w:beforeLines="50" w:before="156" w:line="360" w:lineRule="auto"/>
              <w:jc w:val="center"/>
              <w:rPr>
                <w:rFonts w:cs="Arial"/>
                <w:szCs w:val="20"/>
              </w:rPr>
            </w:pPr>
            <w:r w:rsidRPr="006602F9">
              <w:rPr>
                <w:rFonts w:cs="Arial"/>
                <w:szCs w:val="20"/>
              </w:rPr>
              <w:t>Postop 8 h</w:t>
            </w:r>
          </w:p>
        </w:tc>
        <w:tc>
          <w:tcPr>
            <w:tcW w:w="1573" w:type="dxa"/>
            <w:shd w:val="clear" w:color="auto" w:fill="auto"/>
            <w:noWrap/>
            <w:vAlign w:val="bottom"/>
          </w:tcPr>
          <w:p w14:paraId="06F8BD21" w14:textId="784B7C1E" w:rsidR="00B43E54" w:rsidRPr="006602F9" w:rsidRDefault="00B43E54" w:rsidP="00A0108E">
            <w:pPr>
              <w:spacing w:beforeLines="50" w:before="156" w:line="360" w:lineRule="auto"/>
              <w:jc w:val="center"/>
              <w:rPr>
                <w:rFonts w:cs="Arial"/>
                <w:szCs w:val="20"/>
              </w:rPr>
            </w:pPr>
            <w:r w:rsidRPr="006602F9">
              <w:rPr>
                <w:rFonts w:cs="Arial"/>
                <w:szCs w:val="20"/>
              </w:rPr>
              <w:t>2.128</w:t>
            </w:r>
          </w:p>
        </w:tc>
        <w:tc>
          <w:tcPr>
            <w:tcW w:w="1716" w:type="dxa"/>
            <w:shd w:val="clear" w:color="auto" w:fill="auto"/>
            <w:noWrap/>
            <w:vAlign w:val="bottom"/>
          </w:tcPr>
          <w:p w14:paraId="0F7C6240" w14:textId="45F4C51F" w:rsidR="00B43E54" w:rsidRPr="006602F9" w:rsidRDefault="00454BD4" w:rsidP="00A0108E">
            <w:pPr>
              <w:spacing w:beforeLines="50" w:before="156" w:line="360" w:lineRule="auto"/>
              <w:jc w:val="center"/>
              <w:rPr>
                <w:rFonts w:cs="Arial"/>
                <w:szCs w:val="20"/>
              </w:rPr>
            </w:pPr>
            <w:r w:rsidRPr="006602F9">
              <w:rPr>
                <w:rFonts w:cs="Arial"/>
                <w:szCs w:val="20"/>
              </w:rPr>
              <w:t>0.185</w:t>
            </w:r>
          </w:p>
        </w:tc>
        <w:tc>
          <w:tcPr>
            <w:tcW w:w="2003" w:type="dxa"/>
            <w:shd w:val="clear" w:color="auto" w:fill="auto"/>
            <w:noWrap/>
            <w:vAlign w:val="bottom"/>
          </w:tcPr>
          <w:p w14:paraId="31D1DAC3" w14:textId="25FA4D2C" w:rsidR="00B43E54" w:rsidRPr="006602F9" w:rsidRDefault="00B43E54" w:rsidP="00A0108E">
            <w:pPr>
              <w:spacing w:beforeLines="50" w:before="156" w:line="360" w:lineRule="auto"/>
              <w:jc w:val="center"/>
              <w:rPr>
                <w:rFonts w:cs="Arial"/>
                <w:szCs w:val="20"/>
              </w:rPr>
            </w:pPr>
            <w:r w:rsidRPr="006602F9">
              <w:rPr>
                <w:rFonts w:cs="Arial"/>
                <w:szCs w:val="20"/>
              </w:rPr>
              <w:t>1.76</w:t>
            </w:r>
            <w:r w:rsidR="00454BD4" w:rsidRPr="006602F9">
              <w:rPr>
                <w:rFonts w:cs="Arial"/>
                <w:szCs w:val="20"/>
              </w:rPr>
              <w:t>5</w:t>
            </w:r>
            <w:r w:rsidRPr="006602F9">
              <w:rPr>
                <w:rFonts w:cs="Arial"/>
                <w:szCs w:val="20"/>
              </w:rPr>
              <w:t xml:space="preserve"> to 2.49</w:t>
            </w:r>
            <w:r w:rsidR="00454BD4" w:rsidRPr="006602F9">
              <w:rPr>
                <w:rFonts w:cs="Arial"/>
                <w:szCs w:val="20"/>
              </w:rPr>
              <w:t>2</w:t>
            </w:r>
          </w:p>
        </w:tc>
        <w:tc>
          <w:tcPr>
            <w:tcW w:w="1430" w:type="dxa"/>
            <w:shd w:val="clear" w:color="auto" w:fill="auto"/>
            <w:noWrap/>
          </w:tcPr>
          <w:p w14:paraId="5AC23671" w14:textId="41B8C476" w:rsidR="00B43E54" w:rsidRPr="006602F9" w:rsidRDefault="00B43E54" w:rsidP="00A0108E">
            <w:pPr>
              <w:spacing w:beforeLines="50" w:before="156" w:line="360" w:lineRule="auto"/>
              <w:jc w:val="center"/>
              <w:rPr>
                <w:rFonts w:cs="Arial"/>
                <w:szCs w:val="20"/>
              </w:rPr>
            </w:pPr>
            <w:r w:rsidRPr="006602F9">
              <w:rPr>
                <w:rFonts w:cs="Arial"/>
                <w:szCs w:val="20"/>
              </w:rPr>
              <w:t>&lt; 0.001</w:t>
            </w:r>
          </w:p>
        </w:tc>
      </w:tr>
      <w:tr w:rsidR="00454BD4" w:rsidRPr="006602F9" w14:paraId="3E6F2A4A" w14:textId="77777777" w:rsidTr="006602F9">
        <w:trPr>
          <w:trHeight w:val="454"/>
          <w:jc w:val="center"/>
        </w:trPr>
        <w:tc>
          <w:tcPr>
            <w:tcW w:w="1574" w:type="dxa"/>
            <w:noWrap/>
          </w:tcPr>
          <w:p w14:paraId="50A05844" w14:textId="3BB10360" w:rsidR="00454BD4" w:rsidRPr="006602F9" w:rsidRDefault="00454BD4" w:rsidP="00A0108E">
            <w:pPr>
              <w:spacing w:beforeLines="50" w:before="156" w:line="360" w:lineRule="auto"/>
              <w:jc w:val="center"/>
              <w:rPr>
                <w:rFonts w:cs="Arial"/>
                <w:szCs w:val="20"/>
              </w:rPr>
            </w:pPr>
            <w:r w:rsidRPr="006602F9">
              <w:rPr>
                <w:rFonts w:cs="Arial"/>
                <w:szCs w:val="20"/>
              </w:rPr>
              <w:t>Postop 12 h</w:t>
            </w:r>
          </w:p>
        </w:tc>
        <w:tc>
          <w:tcPr>
            <w:tcW w:w="1573" w:type="dxa"/>
            <w:shd w:val="clear" w:color="auto" w:fill="auto"/>
            <w:noWrap/>
            <w:vAlign w:val="bottom"/>
          </w:tcPr>
          <w:p w14:paraId="3266FC79" w14:textId="02E571EE" w:rsidR="00454BD4" w:rsidRPr="006602F9" w:rsidRDefault="00454BD4" w:rsidP="00A0108E">
            <w:pPr>
              <w:spacing w:beforeLines="50" w:before="156" w:line="360" w:lineRule="auto"/>
              <w:jc w:val="center"/>
              <w:rPr>
                <w:rFonts w:cs="Arial"/>
                <w:szCs w:val="20"/>
              </w:rPr>
            </w:pPr>
            <w:r w:rsidRPr="006602F9">
              <w:rPr>
                <w:rFonts w:cs="Arial"/>
                <w:szCs w:val="20"/>
              </w:rPr>
              <w:t>1.385</w:t>
            </w:r>
          </w:p>
        </w:tc>
        <w:tc>
          <w:tcPr>
            <w:tcW w:w="1716" w:type="dxa"/>
            <w:shd w:val="clear" w:color="auto" w:fill="auto"/>
            <w:noWrap/>
            <w:vAlign w:val="bottom"/>
          </w:tcPr>
          <w:p w14:paraId="33F08AA5" w14:textId="22868147" w:rsidR="00454BD4" w:rsidRPr="006602F9" w:rsidRDefault="00454BD4" w:rsidP="00A0108E">
            <w:pPr>
              <w:spacing w:beforeLines="50" w:before="156" w:line="360" w:lineRule="auto"/>
              <w:jc w:val="center"/>
              <w:rPr>
                <w:rFonts w:cs="Arial"/>
                <w:szCs w:val="20"/>
              </w:rPr>
            </w:pPr>
            <w:r w:rsidRPr="006602F9">
              <w:rPr>
                <w:rFonts w:cs="Arial"/>
                <w:szCs w:val="20"/>
              </w:rPr>
              <w:t>0.185</w:t>
            </w:r>
          </w:p>
        </w:tc>
        <w:tc>
          <w:tcPr>
            <w:tcW w:w="2003" w:type="dxa"/>
            <w:shd w:val="clear" w:color="auto" w:fill="auto"/>
            <w:noWrap/>
            <w:vAlign w:val="bottom"/>
          </w:tcPr>
          <w:p w14:paraId="2E03A9DE" w14:textId="7AA2C110" w:rsidR="00454BD4" w:rsidRPr="006602F9" w:rsidRDefault="00454BD4" w:rsidP="00A0108E">
            <w:pPr>
              <w:spacing w:beforeLines="50" w:before="156" w:line="360" w:lineRule="auto"/>
              <w:jc w:val="center"/>
              <w:rPr>
                <w:rFonts w:cs="Arial"/>
                <w:szCs w:val="20"/>
              </w:rPr>
            </w:pPr>
            <w:r w:rsidRPr="006602F9">
              <w:rPr>
                <w:rFonts w:cs="Arial"/>
                <w:szCs w:val="20"/>
              </w:rPr>
              <w:t>1.021 to 1.748</w:t>
            </w:r>
          </w:p>
        </w:tc>
        <w:tc>
          <w:tcPr>
            <w:tcW w:w="1430" w:type="dxa"/>
            <w:shd w:val="clear" w:color="auto" w:fill="auto"/>
            <w:noWrap/>
          </w:tcPr>
          <w:p w14:paraId="5D987FE4" w14:textId="070F3331" w:rsidR="00454BD4" w:rsidRPr="006602F9" w:rsidRDefault="00454BD4" w:rsidP="00A0108E">
            <w:pPr>
              <w:spacing w:beforeLines="50" w:before="156" w:line="360" w:lineRule="auto"/>
              <w:jc w:val="center"/>
              <w:rPr>
                <w:rFonts w:cs="Arial"/>
                <w:szCs w:val="20"/>
              </w:rPr>
            </w:pPr>
            <w:r w:rsidRPr="006602F9">
              <w:rPr>
                <w:rFonts w:cs="Arial"/>
                <w:szCs w:val="20"/>
              </w:rPr>
              <w:t>&lt; 0.001</w:t>
            </w:r>
          </w:p>
        </w:tc>
      </w:tr>
      <w:tr w:rsidR="00454BD4" w:rsidRPr="006602F9" w14:paraId="36DC873E" w14:textId="77777777" w:rsidTr="006602F9">
        <w:trPr>
          <w:trHeight w:val="454"/>
          <w:jc w:val="center"/>
        </w:trPr>
        <w:tc>
          <w:tcPr>
            <w:tcW w:w="1574" w:type="dxa"/>
            <w:noWrap/>
          </w:tcPr>
          <w:p w14:paraId="49B63844" w14:textId="391F1BEB" w:rsidR="00454BD4" w:rsidRPr="006602F9" w:rsidRDefault="00454BD4" w:rsidP="00A0108E">
            <w:pPr>
              <w:spacing w:beforeLines="50" w:before="156" w:line="360" w:lineRule="auto"/>
              <w:jc w:val="center"/>
              <w:rPr>
                <w:rFonts w:cs="Arial"/>
                <w:szCs w:val="20"/>
              </w:rPr>
            </w:pPr>
            <w:r w:rsidRPr="006602F9">
              <w:rPr>
                <w:rFonts w:cs="Arial"/>
                <w:szCs w:val="20"/>
              </w:rPr>
              <w:t>Postop 24 h</w:t>
            </w:r>
          </w:p>
        </w:tc>
        <w:tc>
          <w:tcPr>
            <w:tcW w:w="1573" w:type="dxa"/>
            <w:shd w:val="clear" w:color="auto" w:fill="auto"/>
            <w:noWrap/>
            <w:vAlign w:val="bottom"/>
          </w:tcPr>
          <w:p w14:paraId="6E996B4E" w14:textId="375061A5" w:rsidR="00454BD4" w:rsidRPr="006602F9" w:rsidRDefault="00454BD4" w:rsidP="00A0108E">
            <w:pPr>
              <w:spacing w:beforeLines="50" w:before="156" w:line="360" w:lineRule="auto"/>
              <w:jc w:val="center"/>
              <w:rPr>
                <w:rFonts w:cs="Arial"/>
                <w:szCs w:val="20"/>
              </w:rPr>
            </w:pPr>
            <w:r w:rsidRPr="006602F9">
              <w:rPr>
                <w:rFonts w:cs="Arial"/>
                <w:szCs w:val="20"/>
              </w:rPr>
              <w:t>0.513</w:t>
            </w:r>
          </w:p>
        </w:tc>
        <w:tc>
          <w:tcPr>
            <w:tcW w:w="1716" w:type="dxa"/>
            <w:shd w:val="clear" w:color="auto" w:fill="auto"/>
            <w:noWrap/>
            <w:vAlign w:val="bottom"/>
          </w:tcPr>
          <w:p w14:paraId="0EB6910A" w14:textId="21BEDAE6" w:rsidR="00454BD4" w:rsidRPr="006602F9" w:rsidRDefault="00454BD4" w:rsidP="00A0108E">
            <w:pPr>
              <w:spacing w:beforeLines="50" w:before="156" w:line="360" w:lineRule="auto"/>
              <w:jc w:val="center"/>
              <w:rPr>
                <w:rFonts w:cs="Arial"/>
                <w:szCs w:val="20"/>
              </w:rPr>
            </w:pPr>
            <w:r w:rsidRPr="006602F9">
              <w:rPr>
                <w:rFonts w:cs="Arial"/>
                <w:szCs w:val="20"/>
              </w:rPr>
              <w:t>0.185</w:t>
            </w:r>
          </w:p>
        </w:tc>
        <w:tc>
          <w:tcPr>
            <w:tcW w:w="2003" w:type="dxa"/>
            <w:shd w:val="clear" w:color="auto" w:fill="auto"/>
            <w:noWrap/>
            <w:vAlign w:val="bottom"/>
          </w:tcPr>
          <w:p w14:paraId="0CE6F04C" w14:textId="69EDA3D4" w:rsidR="00454BD4" w:rsidRPr="006602F9" w:rsidRDefault="00454BD4" w:rsidP="00A0108E">
            <w:pPr>
              <w:spacing w:beforeLines="50" w:before="156" w:line="360" w:lineRule="auto"/>
              <w:jc w:val="center"/>
              <w:rPr>
                <w:rFonts w:cs="Arial"/>
                <w:szCs w:val="20"/>
              </w:rPr>
            </w:pPr>
            <w:r w:rsidRPr="006602F9">
              <w:rPr>
                <w:rFonts w:cs="Arial"/>
                <w:szCs w:val="20"/>
              </w:rPr>
              <w:t>0.149 to 0.876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14:paraId="129D47EA" w14:textId="752D629D" w:rsidR="00454BD4" w:rsidRPr="006602F9" w:rsidRDefault="00454BD4" w:rsidP="00A0108E">
            <w:pPr>
              <w:spacing w:beforeLines="50" w:before="156" w:line="360" w:lineRule="auto"/>
              <w:jc w:val="center"/>
              <w:rPr>
                <w:rFonts w:cs="Arial"/>
                <w:szCs w:val="20"/>
              </w:rPr>
            </w:pPr>
            <w:r w:rsidRPr="006602F9">
              <w:rPr>
                <w:rFonts w:cs="Arial"/>
                <w:szCs w:val="20"/>
              </w:rPr>
              <w:t>0.006</w:t>
            </w:r>
          </w:p>
        </w:tc>
      </w:tr>
      <w:tr w:rsidR="00454BD4" w:rsidRPr="006602F9" w14:paraId="34733A5E" w14:textId="77777777" w:rsidTr="006602F9">
        <w:trPr>
          <w:trHeight w:val="454"/>
          <w:jc w:val="center"/>
        </w:trPr>
        <w:tc>
          <w:tcPr>
            <w:tcW w:w="1574" w:type="dxa"/>
            <w:noWrap/>
          </w:tcPr>
          <w:p w14:paraId="453D27F2" w14:textId="5849DDAF" w:rsidR="00454BD4" w:rsidRPr="006602F9" w:rsidRDefault="00454BD4" w:rsidP="00A0108E">
            <w:pPr>
              <w:spacing w:beforeLines="50" w:before="156" w:line="360" w:lineRule="auto"/>
              <w:jc w:val="center"/>
              <w:rPr>
                <w:rFonts w:cs="Arial"/>
                <w:szCs w:val="20"/>
              </w:rPr>
            </w:pPr>
            <w:r w:rsidRPr="006602F9">
              <w:rPr>
                <w:rFonts w:cs="Arial"/>
                <w:szCs w:val="20"/>
              </w:rPr>
              <w:t>Postop 36 h</w:t>
            </w:r>
          </w:p>
        </w:tc>
        <w:tc>
          <w:tcPr>
            <w:tcW w:w="1573" w:type="dxa"/>
            <w:shd w:val="clear" w:color="auto" w:fill="auto"/>
            <w:noWrap/>
            <w:vAlign w:val="bottom"/>
          </w:tcPr>
          <w:p w14:paraId="56324142" w14:textId="09026E22" w:rsidR="00454BD4" w:rsidRPr="006602F9" w:rsidRDefault="00454BD4" w:rsidP="00A0108E">
            <w:pPr>
              <w:spacing w:beforeLines="50" w:before="156" w:line="360" w:lineRule="auto"/>
              <w:jc w:val="center"/>
              <w:rPr>
                <w:rFonts w:cs="Arial"/>
                <w:szCs w:val="20"/>
              </w:rPr>
            </w:pPr>
            <w:r w:rsidRPr="006602F9">
              <w:rPr>
                <w:rFonts w:cs="Arial"/>
                <w:szCs w:val="20"/>
              </w:rPr>
              <w:t>-0.179</w:t>
            </w:r>
          </w:p>
        </w:tc>
        <w:tc>
          <w:tcPr>
            <w:tcW w:w="1716" w:type="dxa"/>
            <w:shd w:val="clear" w:color="auto" w:fill="auto"/>
            <w:noWrap/>
            <w:vAlign w:val="bottom"/>
          </w:tcPr>
          <w:p w14:paraId="60FE72B7" w14:textId="345B07D3" w:rsidR="00454BD4" w:rsidRPr="006602F9" w:rsidRDefault="00454BD4" w:rsidP="00A0108E">
            <w:pPr>
              <w:spacing w:beforeLines="50" w:before="156" w:line="360" w:lineRule="auto"/>
              <w:jc w:val="center"/>
              <w:rPr>
                <w:rFonts w:cs="Arial"/>
                <w:szCs w:val="20"/>
              </w:rPr>
            </w:pPr>
            <w:r w:rsidRPr="006602F9">
              <w:rPr>
                <w:rFonts w:cs="Arial"/>
                <w:szCs w:val="20"/>
              </w:rPr>
              <w:t>0.185</w:t>
            </w:r>
          </w:p>
        </w:tc>
        <w:tc>
          <w:tcPr>
            <w:tcW w:w="2003" w:type="dxa"/>
            <w:shd w:val="clear" w:color="auto" w:fill="auto"/>
            <w:noWrap/>
            <w:vAlign w:val="bottom"/>
          </w:tcPr>
          <w:p w14:paraId="1C83CC58" w14:textId="63C1B9A4" w:rsidR="00454BD4" w:rsidRPr="006602F9" w:rsidRDefault="00454BD4" w:rsidP="00A0108E">
            <w:pPr>
              <w:spacing w:beforeLines="50" w:before="156" w:line="360" w:lineRule="auto"/>
              <w:jc w:val="center"/>
              <w:rPr>
                <w:rFonts w:cs="Arial"/>
                <w:szCs w:val="20"/>
              </w:rPr>
            </w:pPr>
            <w:r w:rsidRPr="006602F9">
              <w:rPr>
                <w:rFonts w:cs="Arial"/>
                <w:szCs w:val="20"/>
              </w:rPr>
              <w:t>-0.543 to 0.184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14:paraId="07431B19" w14:textId="01FDECF6" w:rsidR="00454BD4" w:rsidRPr="006602F9" w:rsidRDefault="00454BD4" w:rsidP="00A0108E">
            <w:pPr>
              <w:spacing w:beforeLines="50" w:before="156" w:line="360" w:lineRule="auto"/>
              <w:jc w:val="center"/>
              <w:rPr>
                <w:rFonts w:cs="Arial"/>
                <w:szCs w:val="20"/>
              </w:rPr>
            </w:pPr>
            <w:r w:rsidRPr="006602F9">
              <w:rPr>
                <w:rFonts w:cs="Arial"/>
                <w:szCs w:val="20"/>
              </w:rPr>
              <w:t>0.332</w:t>
            </w:r>
          </w:p>
        </w:tc>
      </w:tr>
      <w:tr w:rsidR="00454BD4" w:rsidRPr="006602F9" w14:paraId="5AFADCEE" w14:textId="77777777" w:rsidTr="006602F9">
        <w:trPr>
          <w:trHeight w:val="454"/>
          <w:jc w:val="center"/>
        </w:trPr>
        <w:tc>
          <w:tcPr>
            <w:tcW w:w="1574" w:type="dxa"/>
            <w:noWrap/>
          </w:tcPr>
          <w:p w14:paraId="7EB3902F" w14:textId="64FA7997" w:rsidR="00454BD4" w:rsidRPr="006602F9" w:rsidRDefault="00454BD4" w:rsidP="00A0108E">
            <w:pPr>
              <w:spacing w:beforeLines="50" w:before="156" w:line="360" w:lineRule="auto"/>
              <w:jc w:val="center"/>
              <w:rPr>
                <w:rFonts w:cs="Arial"/>
                <w:szCs w:val="20"/>
              </w:rPr>
            </w:pPr>
            <w:r w:rsidRPr="006602F9">
              <w:rPr>
                <w:rFonts w:cs="Arial"/>
                <w:szCs w:val="20"/>
              </w:rPr>
              <w:t>Postop 48 h</w:t>
            </w:r>
          </w:p>
        </w:tc>
        <w:tc>
          <w:tcPr>
            <w:tcW w:w="1573" w:type="dxa"/>
            <w:shd w:val="clear" w:color="auto" w:fill="auto"/>
            <w:noWrap/>
            <w:vAlign w:val="bottom"/>
          </w:tcPr>
          <w:p w14:paraId="49AF64CB" w14:textId="1E804817" w:rsidR="00454BD4" w:rsidRPr="006602F9" w:rsidRDefault="00454BD4" w:rsidP="00A0108E">
            <w:pPr>
              <w:spacing w:beforeLines="50" w:before="156" w:line="360" w:lineRule="auto"/>
              <w:jc w:val="center"/>
              <w:rPr>
                <w:rFonts w:cs="Arial"/>
                <w:szCs w:val="20"/>
              </w:rPr>
            </w:pPr>
            <w:r w:rsidRPr="006602F9">
              <w:rPr>
                <w:rFonts w:cs="Arial"/>
                <w:szCs w:val="20"/>
              </w:rPr>
              <w:t>0.103</w:t>
            </w:r>
          </w:p>
        </w:tc>
        <w:tc>
          <w:tcPr>
            <w:tcW w:w="1716" w:type="dxa"/>
            <w:shd w:val="clear" w:color="auto" w:fill="auto"/>
            <w:noWrap/>
            <w:vAlign w:val="bottom"/>
          </w:tcPr>
          <w:p w14:paraId="68BA9430" w14:textId="1C4D8F5D" w:rsidR="00454BD4" w:rsidRPr="006602F9" w:rsidRDefault="00454BD4" w:rsidP="00A0108E">
            <w:pPr>
              <w:spacing w:beforeLines="50" w:before="156" w:line="360" w:lineRule="auto"/>
              <w:jc w:val="center"/>
              <w:rPr>
                <w:rFonts w:cs="Arial"/>
                <w:szCs w:val="20"/>
              </w:rPr>
            </w:pPr>
            <w:r w:rsidRPr="006602F9">
              <w:rPr>
                <w:rFonts w:cs="Arial"/>
                <w:szCs w:val="20"/>
              </w:rPr>
              <w:t>0.185</w:t>
            </w:r>
          </w:p>
        </w:tc>
        <w:tc>
          <w:tcPr>
            <w:tcW w:w="2003" w:type="dxa"/>
            <w:shd w:val="clear" w:color="auto" w:fill="auto"/>
            <w:noWrap/>
            <w:vAlign w:val="bottom"/>
          </w:tcPr>
          <w:p w14:paraId="58D3EA79" w14:textId="1FBA6E32" w:rsidR="00454BD4" w:rsidRPr="006602F9" w:rsidRDefault="00454BD4" w:rsidP="00A0108E">
            <w:pPr>
              <w:spacing w:beforeLines="50" w:before="156" w:line="360" w:lineRule="auto"/>
              <w:jc w:val="center"/>
              <w:rPr>
                <w:rFonts w:cs="Arial"/>
                <w:szCs w:val="20"/>
              </w:rPr>
            </w:pPr>
            <w:r w:rsidRPr="006602F9">
              <w:rPr>
                <w:rFonts w:cs="Arial"/>
                <w:szCs w:val="20"/>
              </w:rPr>
              <w:t>-0.261 to 0.466</w:t>
            </w:r>
          </w:p>
        </w:tc>
        <w:tc>
          <w:tcPr>
            <w:tcW w:w="1430" w:type="dxa"/>
            <w:shd w:val="clear" w:color="auto" w:fill="auto"/>
            <w:noWrap/>
            <w:vAlign w:val="bottom"/>
          </w:tcPr>
          <w:p w14:paraId="54D71985" w14:textId="2D2AE0FD" w:rsidR="00454BD4" w:rsidRPr="006602F9" w:rsidRDefault="00454BD4" w:rsidP="00A0108E">
            <w:pPr>
              <w:spacing w:beforeLines="50" w:before="156" w:line="360" w:lineRule="auto"/>
              <w:jc w:val="center"/>
              <w:rPr>
                <w:rFonts w:cs="Arial"/>
                <w:szCs w:val="20"/>
              </w:rPr>
            </w:pPr>
            <w:r w:rsidRPr="006602F9">
              <w:rPr>
                <w:rFonts w:cs="Arial"/>
                <w:szCs w:val="20"/>
              </w:rPr>
              <w:t>0.579</w:t>
            </w:r>
          </w:p>
        </w:tc>
      </w:tr>
    </w:tbl>
    <w:p w14:paraId="4392E909" w14:textId="7C0F9C97" w:rsidR="00964C23" w:rsidRDefault="00A273AA" w:rsidP="00526E77">
      <w:pPr>
        <w:spacing w:beforeLines="50" w:before="156" w:line="360" w:lineRule="auto"/>
        <w:jc w:val="both"/>
        <w:rPr>
          <w:rFonts w:cs="Arial"/>
          <w:szCs w:val="20"/>
        </w:rPr>
      </w:pPr>
      <w:r>
        <w:rPr>
          <w:rFonts w:cs="Arial" w:hint="eastAsia"/>
          <w:szCs w:val="20"/>
          <w:lang w:eastAsia="zh-CN"/>
        </w:rPr>
        <w:t xml:space="preserve">Note: </w:t>
      </w:r>
      <w:r w:rsidR="00964C23" w:rsidRPr="006602F9">
        <w:rPr>
          <w:rFonts w:cs="Arial"/>
          <w:szCs w:val="20"/>
        </w:rPr>
        <w:t xml:space="preserve">R package </w:t>
      </w:r>
      <w:r w:rsidR="002168C2" w:rsidRPr="006602F9">
        <w:rPr>
          <w:rFonts w:cs="Arial"/>
          <w:szCs w:val="20"/>
        </w:rPr>
        <w:t>‘</w:t>
      </w:r>
      <w:proofErr w:type="spellStart"/>
      <w:r w:rsidR="00964C23" w:rsidRPr="006602F9">
        <w:rPr>
          <w:rFonts w:cs="Arial"/>
          <w:szCs w:val="20"/>
        </w:rPr>
        <w:t>emmeans</w:t>
      </w:r>
      <w:proofErr w:type="spellEnd"/>
      <w:r w:rsidR="002168C2" w:rsidRPr="006602F9">
        <w:rPr>
          <w:rFonts w:cs="Arial"/>
          <w:szCs w:val="20"/>
        </w:rPr>
        <w:t>’</w:t>
      </w:r>
      <w:r w:rsidR="00964C23" w:rsidRPr="006602F9">
        <w:rPr>
          <w:rFonts w:cs="Arial"/>
          <w:szCs w:val="20"/>
        </w:rPr>
        <w:t> was used to obtain estimated marginal means (EMMs) for the linear mixed model. </w:t>
      </w:r>
    </w:p>
    <w:p w14:paraId="102F2E69" w14:textId="0ECE58F3" w:rsidR="00A273AA" w:rsidRPr="006602F9" w:rsidRDefault="00A273AA" w:rsidP="00A273AA">
      <w:pPr>
        <w:spacing w:line="360" w:lineRule="auto"/>
        <w:jc w:val="both"/>
        <w:rPr>
          <w:rFonts w:cs="Arial"/>
          <w:szCs w:val="20"/>
        </w:rPr>
      </w:pPr>
      <w:r w:rsidRPr="00A273AA">
        <w:rPr>
          <w:rFonts w:cs="Arial"/>
          <w:szCs w:val="20"/>
        </w:rPr>
        <w:t xml:space="preserve">Abbreviations: NRS, </w:t>
      </w:r>
      <w:r w:rsidR="007B1BA1">
        <w:rPr>
          <w:rFonts w:cs="Arial" w:hint="eastAsia"/>
          <w:szCs w:val="20"/>
          <w:lang w:eastAsia="zh-CN"/>
        </w:rPr>
        <w:t>N</w:t>
      </w:r>
      <w:r w:rsidRPr="00A273AA">
        <w:rPr>
          <w:rFonts w:cs="Arial"/>
          <w:szCs w:val="20"/>
        </w:rPr>
        <w:t xml:space="preserve">umeric </w:t>
      </w:r>
      <w:r w:rsidR="007B1BA1">
        <w:rPr>
          <w:rFonts w:cs="Arial" w:hint="eastAsia"/>
          <w:szCs w:val="20"/>
          <w:lang w:eastAsia="zh-CN"/>
        </w:rPr>
        <w:t>R</w:t>
      </w:r>
      <w:r w:rsidRPr="00A273AA">
        <w:rPr>
          <w:rFonts w:cs="Arial"/>
          <w:szCs w:val="20"/>
        </w:rPr>
        <w:t xml:space="preserve">ating </w:t>
      </w:r>
      <w:r w:rsidR="007B1BA1">
        <w:rPr>
          <w:rFonts w:cs="Arial" w:hint="eastAsia"/>
          <w:szCs w:val="20"/>
          <w:lang w:eastAsia="zh-CN"/>
        </w:rPr>
        <w:t>S</w:t>
      </w:r>
      <w:r w:rsidRPr="00A273AA">
        <w:rPr>
          <w:rFonts w:cs="Arial"/>
          <w:szCs w:val="20"/>
        </w:rPr>
        <w:t xml:space="preserve">cale; </w:t>
      </w:r>
      <w:proofErr w:type="spellStart"/>
      <w:r w:rsidRPr="00A273AA">
        <w:rPr>
          <w:rFonts w:cs="Arial"/>
          <w:szCs w:val="20"/>
        </w:rPr>
        <w:t>Emmean</w:t>
      </w:r>
      <w:proofErr w:type="spellEnd"/>
      <w:r w:rsidRPr="00A273AA">
        <w:rPr>
          <w:rFonts w:cs="Arial"/>
          <w:szCs w:val="20"/>
        </w:rPr>
        <w:t xml:space="preserve">, </w:t>
      </w:r>
      <w:r w:rsidR="007B1BA1">
        <w:rPr>
          <w:rFonts w:cs="Arial" w:hint="eastAsia"/>
          <w:szCs w:val="20"/>
          <w:lang w:eastAsia="zh-CN"/>
        </w:rPr>
        <w:t>E</w:t>
      </w:r>
      <w:r w:rsidRPr="00A273AA">
        <w:rPr>
          <w:rFonts w:cs="Arial"/>
          <w:szCs w:val="20"/>
        </w:rPr>
        <w:t xml:space="preserve">stimated </w:t>
      </w:r>
      <w:r w:rsidR="007B1BA1">
        <w:rPr>
          <w:rFonts w:cs="Arial" w:hint="eastAsia"/>
          <w:szCs w:val="20"/>
          <w:lang w:eastAsia="zh-CN"/>
        </w:rPr>
        <w:t>M</w:t>
      </w:r>
      <w:r w:rsidRPr="00A273AA">
        <w:rPr>
          <w:rFonts w:cs="Arial"/>
          <w:szCs w:val="20"/>
        </w:rPr>
        <w:t xml:space="preserve">arginal </w:t>
      </w:r>
      <w:r w:rsidR="007B1BA1">
        <w:rPr>
          <w:rFonts w:cs="Arial" w:hint="eastAsia"/>
          <w:szCs w:val="20"/>
          <w:lang w:eastAsia="zh-CN"/>
        </w:rPr>
        <w:t>M</w:t>
      </w:r>
      <w:r w:rsidRPr="00A273AA">
        <w:rPr>
          <w:rFonts w:cs="Arial"/>
          <w:szCs w:val="20"/>
        </w:rPr>
        <w:t>ean.</w:t>
      </w:r>
    </w:p>
    <w:p w14:paraId="35C9B4AE" w14:textId="77777777" w:rsidR="00964C23" w:rsidRDefault="00964C23">
      <w:pPr>
        <w:spacing w:line="240" w:lineRule="auto"/>
        <w:rPr>
          <w:rFonts w:ascii="Calibri" w:eastAsiaTheme="minorEastAsia" w:hAnsi="Calibri" w:cs="Calibri"/>
          <w:b/>
          <w:bCs/>
          <w:kern w:val="2"/>
          <w:sz w:val="24"/>
          <w:lang w:val="en-US" w:eastAsia="zh-CN"/>
        </w:rPr>
      </w:pPr>
      <w:r>
        <w:rPr>
          <w:rFonts w:ascii="Calibri" w:eastAsiaTheme="minorEastAsia" w:hAnsi="Calibri" w:cs="Calibri"/>
          <w:b/>
          <w:bCs/>
          <w:kern w:val="2"/>
          <w:sz w:val="24"/>
          <w:lang w:val="en-US" w:eastAsia="zh-CN"/>
        </w:rPr>
        <w:br w:type="page"/>
      </w:r>
    </w:p>
    <w:p w14:paraId="256A9716" w14:textId="6D4B5484" w:rsidR="00964C23" w:rsidRPr="00A463AD" w:rsidRDefault="00964C23" w:rsidP="00797664">
      <w:pPr>
        <w:spacing w:beforeLines="25" w:before="78" w:line="360" w:lineRule="auto"/>
        <w:jc w:val="both"/>
        <w:rPr>
          <w:rFonts w:cs="Arial"/>
          <w:szCs w:val="20"/>
          <w:lang w:eastAsia="zh-CN"/>
        </w:rPr>
      </w:pPr>
      <w:r w:rsidRPr="00A463AD">
        <w:rPr>
          <w:rFonts w:cs="Arial"/>
          <w:b/>
          <w:bCs/>
          <w:szCs w:val="20"/>
        </w:rPr>
        <w:lastRenderedPageBreak/>
        <w:t>Table S4</w:t>
      </w:r>
      <w:r w:rsidRPr="00A463AD">
        <w:rPr>
          <w:rFonts w:cs="Arial"/>
          <w:szCs w:val="20"/>
        </w:rPr>
        <w:t xml:space="preserve"> </w:t>
      </w:r>
      <w:bookmarkStart w:id="3" w:name="_Hlk174299854"/>
      <w:r w:rsidRPr="00A463AD">
        <w:rPr>
          <w:rFonts w:cs="Arial"/>
          <w:szCs w:val="20"/>
        </w:rPr>
        <w:t xml:space="preserve">Estimated marginal means of NRS pain scores during </w:t>
      </w:r>
      <w:bookmarkEnd w:id="3"/>
      <w:r w:rsidR="00131F03" w:rsidRPr="00A463AD">
        <w:rPr>
          <w:rFonts w:cs="Arial"/>
          <w:szCs w:val="20"/>
          <w:lang w:eastAsia="zh-CN"/>
        </w:rPr>
        <w:t>coughing</w:t>
      </w:r>
    </w:p>
    <w:tbl>
      <w:tblPr>
        <w:tblStyle w:val="12"/>
        <w:tblW w:w="8222" w:type="dxa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701"/>
        <w:gridCol w:w="1984"/>
        <w:gridCol w:w="1418"/>
      </w:tblGrid>
      <w:tr w:rsidR="00964C23" w:rsidRPr="00A463AD" w14:paraId="4A3AC782" w14:textId="77777777" w:rsidTr="00B76C2C">
        <w:trPr>
          <w:trHeight w:val="439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0532DBBF" w14:textId="6F10E452" w:rsidR="00964C23" w:rsidRPr="00A463AD" w:rsidRDefault="00964C23" w:rsidP="00797664">
            <w:pPr>
              <w:spacing w:line="360" w:lineRule="auto"/>
              <w:rPr>
                <w:rFonts w:cs="Arial"/>
                <w:b/>
                <w:bCs/>
                <w:szCs w:val="20"/>
                <w:lang w:eastAsia="zh-CN"/>
              </w:rPr>
            </w:pPr>
            <w:r w:rsidRPr="00A463AD">
              <w:rPr>
                <w:rFonts w:cs="Arial"/>
                <w:b/>
                <w:bCs/>
                <w:szCs w:val="20"/>
              </w:rPr>
              <w:t>Time</w:t>
            </w:r>
            <w:r w:rsidR="00797664" w:rsidRPr="00A463AD">
              <w:rPr>
                <w:rFonts w:cs="Arial"/>
                <w:b/>
                <w:bCs/>
                <w:szCs w:val="20"/>
                <w:lang w:eastAsia="zh-CN"/>
              </w:rPr>
              <w:t xml:space="preserve"> point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0B24DD12" w14:textId="7DF646D5" w:rsidR="00964C23" w:rsidRPr="00A463AD" w:rsidRDefault="00964C23" w:rsidP="00797664">
            <w:pPr>
              <w:spacing w:line="36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A463AD">
              <w:rPr>
                <w:rFonts w:cs="Arial"/>
                <w:b/>
                <w:bCs/>
                <w:szCs w:val="20"/>
              </w:rPr>
              <w:t>∆</w:t>
            </w:r>
            <w:proofErr w:type="spellStart"/>
            <w:r w:rsidRPr="00A463AD">
              <w:rPr>
                <w:rFonts w:cs="Arial"/>
                <w:b/>
                <w:bCs/>
                <w:szCs w:val="20"/>
              </w:rPr>
              <w:t>Emmean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2041B53C" w14:textId="6C085562" w:rsidR="00964C23" w:rsidRPr="00A463AD" w:rsidRDefault="00964C23" w:rsidP="00797664">
            <w:pPr>
              <w:spacing w:line="36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A463AD">
              <w:rPr>
                <w:rFonts w:cs="Arial"/>
                <w:b/>
                <w:bCs/>
                <w:szCs w:val="20"/>
              </w:rPr>
              <w:t>SE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13D29365" w14:textId="3FBEF92D" w:rsidR="00964C23" w:rsidRPr="00A463AD" w:rsidRDefault="00964C23" w:rsidP="00797664">
            <w:pPr>
              <w:spacing w:line="36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A463AD">
              <w:rPr>
                <w:rFonts w:cs="Arial"/>
                <w:b/>
                <w:bCs/>
                <w:szCs w:val="20"/>
              </w:rPr>
              <w:t>95% CI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106D3FF1" w14:textId="715BA6AD" w:rsidR="00964C23" w:rsidRPr="00A463AD" w:rsidRDefault="0012351C" w:rsidP="00797664">
            <w:pPr>
              <w:spacing w:line="36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A463AD">
              <w:rPr>
                <w:rFonts w:cs="Arial"/>
                <w:b/>
                <w:bCs/>
                <w:szCs w:val="20"/>
              </w:rPr>
              <w:t xml:space="preserve">p </w:t>
            </w:r>
            <w:r w:rsidR="00964C23" w:rsidRPr="00A463AD">
              <w:rPr>
                <w:rFonts w:cs="Arial"/>
                <w:b/>
                <w:bCs/>
                <w:szCs w:val="20"/>
              </w:rPr>
              <w:t>value</w:t>
            </w:r>
          </w:p>
        </w:tc>
      </w:tr>
      <w:tr w:rsidR="00964C23" w:rsidRPr="00A463AD" w14:paraId="3A8A7517" w14:textId="77777777" w:rsidTr="00B76C2C">
        <w:trPr>
          <w:trHeight w:val="345"/>
          <w:jc w:val="center"/>
        </w:trPr>
        <w:tc>
          <w:tcPr>
            <w:tcW w:w="1560" w:type="dxa"/>
            <w:vMerge/>
            <w:noWrap/>
            <w:vAlign w:val="center"/>
          </w:tcPr>
          <w:p w14:paraId="4C04A097" w14:textId="77777777" w:rsidR="00964C23" w:rsidRPr="00A463AD" w:rsidRDefault="00964C23" w:rsidP="00797664">
            <w:pPr>
              <w:spacing w:line="360" w:lineRule="auto"/>
              <w:jc w:val="center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14:paraId="68919CF1" w14:textId="77777777" w:rsidR="00964C23" w:rsidRPr="00A463AD" w:rsidRDefault="00964C23" w:rsidP="00797664">
            <w:pPr>
              <w:spacing w:line="360" w:lineRule="auto"/>
              <w:jc w:val="center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14:paraId="353EAC75" w14:textId="77777777" w:rsidR="00964C23" w:rsidRPr="00A463AD" w:rsidRDefault="00964C23" w:rsidP="00797664">
            <w:pPr>
              <w:spacing w:line="360" w:lineRule="auto"/>
              <w:jc w:val="center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984" w:type="dxa"/>
            <w:vMerge/>
            <w:noWrap/>
            <w:vAlign w:val="center"/>
          </w:tcPr>
          <w:p w14:paraId="406AD55A" w14:textId="77777777" w:rsidR="00964C23" w:rsidRPr="00A463AD" w:rsidRDefault="00964C23" w:rsidP="00797664">
            <w:pPr>
              <w:spacing w:line="360" w:lineRule="auto"/>
              <w:jc w:val="center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14:paraId="5D87B729" w14:textId="77777777" w:rsidR="00964C23" w:rsidRPr="00A463AD" w:rsidRDefault="00964C23" w:rsidP="00797664">
            <w:pPr>
              <w:spacing w:line="360" w:lineRule="auto"/>
              <w:jc w:val="center"/>
              <w:rPr>
                <w:rFonts w:cs="Arial"/>
                <w:b/>
                <w:bCs/>
                <w:szCs w:val="20"/>
              </w:rPr>
            </w:pPr>
          </w:p>
        </w:tc>
      </w:tr>
      <w:tr w:rsidR="00131F03" w:rsidRPr="00A463AD" w14:paraId="2933723C" w14:textId="77777777" w:rsidTr="00B76C2C">
        <w:trPr>
          <w:trHeight w:val="454"/>
          <w:jc w:val="center"/>
        </w:trPr>
        <w:tc>
          <w:tcPr>
            <w:tcW w:w="1560" w:type="dxa"/>
            <w:vAlign w:val="center"/>
            <w:hideMark/>
          </w:tcPr>
          <w:p w14:paraId="6CBABAFC" w14:textId="7CFC560E" w:rsidR="00131F03" w:rsidRPr="00A463AD" w:rsidRDefault="00131F03" w:rsidP="00DA559E">
            <w:pPr>
              <w:spacing w:beforeLines="50" w:before="156" w:line="360" w:lineRule="auto"/>
              <w:jc w:val="center"/>
              <w:rPr>
                <w:rFonts w:cs="Arial"/>
                <w:szCs w:val="20"/>
              </w:rPr>
            </w:pPr>
            <w:r w:rsidRPr="00A463AD">
              <w:rPr>
                <w:rFonts w:cs="Arial"/>
                <w:szCs w:val="20"/>
              </w:rPr>
              <w:t>Postop 0.5 h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52A44843" w14:textId="32D974C3" w:rsidR="00131F03" w:rsidRPr="00A463AD" w:rsidRDefault="00131F03" w:rsidP="00131F03">
            <w:pPr>
              <w:spacing w:beforeLines="50" w:before="156" w:line="360" w:lineRule="auto"/>
              <w:jc w:val="center"/>
              <w:rPr>
                <w:rFonts w:cs="Arial"/>
                <w:szCs w:val="20"/>
              </w:rPr>
            </w:pPr>
            <w:r w:rsidRPr="00A463AD">
              <w:rPr>
                <w:rFonts w:cs="Arial"/>
                <w:szCs w:val="20"/>
              </w:rPr>
              <w:t>2.282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750FC8" w14:textId="5B6133AE" w:rsidR="00131F03" w:rsidRPr="00A463AD" w:rsidRDefault="00131F03" w:rsidP="00131F03">
            <w:pPr>
              <w:spacing w:beforeLines="50" w:before="156" w:line="360" w:lineRule="auto"/>
              <w:jc w:val="center"/>
              <w:rPr>
                <w:rFonts w:cs="Arial"/>
                <w:szCs w:val="20"/>
              </w:rPr>
            </w:pPr>
            <w:r w:rsidRPr="00A463AD">
              <w:rPr>
                <w:rFonts w:cs="Arial"/>
                <w:szCs w:val="20"/>
              </w:rPr>
              <w:t>0.204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3CEB0C2D" w14:textId="2D95D4DC" w:rsidR="00131F03" w:rsidRPr="00A463AD" w:rsidRDefault="00131F03" w:rsidP="00131F03">
            <w:pPr>
              <w:spacing w:beforeLines="50" w:before="156" w:line="360" w:lineRule="auto"/>
              <w:jc w:val="center"/>
              <w:rPr>
                <w:rFonts w:cs="Arial"/>
                <w:szCs w:val="20"/>
              </w:rPr>
            </w:pPr>
            <w:r w:rsidRPr="00A463AD">
              <w:rPr>
                <w:rFonts w:cs="Arial"/>
                <w:szCs w:val="20"/>
              </w:rPr>
              <w:t>1.881 to 2.683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03EEDBF" w14:textId="571CE3A3" w:rsidR="00131F03" w:rsidRPr="00A463AD" w:rsidRDefault="00131F03" w:rsidP="00131F03">
            <w:pPr>
              <w:spacing w:beforeLines="50" w:before="156" w:line="360" w:lineRule="auto"/>
              <w:jc w:val="center"/>
              <w:rPr>
                <w:rFonts w:cs="Arial"/>
                <w:szCs w:val="20"/>
              </w:rPr>
            </w:pPr>
            <w:r w:rsidRPr="00A463AD">
              <w:rPr>
                <w:rFonts w:cs="Arial"/>
                <w:szCs w:val="20"/>
              </w:rPr>
              <w:t>&lt; 0.001</w:t>
            </w:r>
          </w:p>
        </w:tc>
      </w:tr>
      <w:tr w:rsidR="00131F03" w:rsidRPr="00A463AD" w14:paraId="7D30EDF4" w14:textId="77777777" w:rsidTr="00B76C2C">
        <w:trPr>
          <w:trHeight w:val="454"/>
          <w:jc w:val="center"/>
        </w:trPr>
        <w:tc>
          <w:tcPr>
            <w:tcW w:w="1560" w:type="dxa"/>
            <w:noWrap/>
            <w:hideMark/>
          </w:tcPr>
          <w:p w14:paraId="35B223F7" w14:textId="19E9C869" w:rsidR="00131F03" w:rsidRPr="00A463AD" w:rsidRDefault="00131F03" w:rsidP="00DA559E">
            <w:pPr>
              <w:spacing w:beforeLines="50" w:before="156" w:line="360" w:lineRule="auto"/>
              <w:jc w:val="center"/>
              <w:rPr>
                <w:rFonts w:cs="Arial"/>
                <w:szCs w:val="20"/>
              </w:rPr>
            </w:pPr>
            <w:r w:rsidRPr="00A463AD">
              <w:rPr>
                <w:rFonts w:cs="Arial"/>
                <w:szCs w:val="20"/>
              </w:rPr>
              <w:t>Postop 1 h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E1A8F1A" w14:textId="3B08880E" w:rsidR="00131F03" w:rsidRPr="00A463AD" w:rsidRDefault="00131F03" w:rsidP="00DA559E">
            <w:pPr>
              <w:spacing w:beforeLines="50" w:before="156" w:line="360" w:lineRule="auto"/>
              <w:jc w:val="center"/>
              <w:rPr>
                <w:rFonts w:cs="Arial"/>
                <w:szCs w:val="20"/>
              </w:rPr>
            </w:pPr>
            <w:r w:rsidRPr="00A463AD">
              <w:rPr>
                <w:rFonts w:cs="Arial"/>
                <w:szCs w:val="20"/>
              </w:rPr>
              <w:t>2.359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F0A027" w14:textId="515865DD" w:rsidR="00131F03" w:rsidRPr="00A463AD" w:rsidRDefault="00131F03" w:rsidP="00DA559E">
            <w:pPr>
              <w:spacing w:beforeLines="50" w:before="156" w:line="360" w:lineRule="auto"/>
              <w:jc w:val="center"/>
              <w:rPr>
                <w:rFonts w:cs="Arial"/>
                <w:szCs w:val="20"/>
              </w:rPr>
            </w:pPr>
            <w:r w:rsidRPr="00A463AD">
              <w:rPr>
                <w:rFonts w:cs="Arial"/>
                <w:szCs w:val="20"/>
              </w:rPr>
              <w:t>0.204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493CCB7D" w14:textId="68B9D68F" w:rsidR="00131F03" w:rsidRPr="00A463AD" w:rsidRDefault="00131F03" w:rsidP="00DA559E">
            <w:pPr>
              <w:spacing w:beforeLines="50" w:before="156" w:line="360" w:lineRule="auto"/>
              <w:jc w:val="center"/>
              <w:rPr>
                <w:rFonts w:cs="Arial"/>
                <w:szCs w:val="20"/>
              </w:rPr>
            </w:pPr>
            <w:r w:rsidRPr="00A463AD">
              <w:rPr>
                <w:rFonts w:cs="Arial"/>
                <w:szCs w:val="20"/>
              </w:rPr>
              <w:t>1.958 to 2.760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3C5753A6" w14:textId="29CFA5D7" w:rsidR="00131F03" w:rsidRPr="00A463AD" w:rsidRDefault="00131F03" w:rsidP="00DA559E">
            <w:pPr>
              <w:spacing w:beforeLines="50" w:before="156" w:line="360" w:lineRule="auto"/>
              <w:jc w:val="center"/>
              <w:rPr>
                <w:rFonts w:cs="Arial"/>
                <w:szCs w:val="20"/>
              </w:rPr>
            </w:pPr>
            <w:r w:rsidRPr="00A463AD">
              <w:rPr>
                <w:rFonts w:cs="Arial"/>
                <w:szCs w:val="20"/>
              </w:rPr>
              <w:t>&lt; 0.001</w:t>
            </w:r>
          </w:p>
        </w:tc>
      </w:tr>
      <w:tr w:rsidR="00131F03" w:rsidRPr="00A463AD" w14:paraId="4E402683" w14:textId="77777777" w:rsidTr="00B76C2C">
        <w:trPr>
          <w:trHeight w:val="454"/>
          <w:jc w:val="center"/>
        </w:trPr>
        <w:tc>
          <w:tcPr>
            <w:tcW w:w="1560" w:type="dxa"/>
            <w:noWrap/>
          </w:tcPr>
          <w:p w14:paraId="5925A3FF" w14:textId="66DE905C" w:rsidR="00131F03" w:rsidRPr="00A463AD" w:rsidRDefault="00131F03" w:rsidP="00DA559E">
            <w:pPr>
              <w:spacing w:beforeLines="50" w:before="156" w:line="360" w:lineRule="auto"/>
              <w:jc w:val="center"/>
              <w:rPr>
                <w:rFonts w:cs="Arial"/>
                <w:szCs w:val="20"/>
              </w:rPr>
            </w:pPr>
            <w:r w:rsidRPr="00A463AD">
              <w:rPr>
                <w:rFonts w:cs="Arial"/>
                <w:szCs w:val="20"/>
              </w:rPr>
              <w:t>Postop 2 h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4115F4E" w14:textId="4748B4E3" w:rsidR="00131F03" w:rsidRPr="00A463AD" w:rsidRDefault="00131F03" w:rsidP="00DA559E">
            <w:pPr>
              <w:spacing w:beforeLines="50" w:before="156" w:line="360" w:lineRule="auto"/>
              <w:jc w:val="center"/>
              <w:rPr>
                <w:rFonts w:cs="Arial"/>
                <w:szCs w:val="20"/>
              </w:rPr>
            </w:pPr>
            <w:r w:rsidRPr="00A463AD">
              <w:rPr>
                <w:rFonts w:cs="Arial"/>
                <w:szCs w:val="20"/>
              </w:rPr>
              <w:t>2.564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81FBDD" w14:textId="4B504DFE" w:rsidR="00131F03" w:rsidRPr="00A463AD" w:rsidRDefault="00131F03" w:rsidP="00DA559E">
            <w:pPr>
              <w:spacing w:beforeLines="50" w:before="156" w:line="360" w:lineRule="auto"/>
              <w:jc w:val="center"/>
              <w:rPr>
                <w:rFonts w:cs="Arial"/>
                <w:szCs w:val="20"/>
              </w:rPr>
            </w:pPr>
            <w:r w:rsidRPr="00A463AD">
              <w:rPr>
                <w:rFonts w:cs="Arial"/>
                <w:szCs w:val="20"/>
              </w:rPr>
              <w:t>0.204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0AA846E6" w14:textId="100E0828" w:rsidR="00131F03" w:rsidRPr="00A463AD" w:rsidRDefault="00131F03" w:rsidP="00DA559E">
            <w:pPr>
              <w:spacing w:beforeLines="50" w:before="156" w:line="360" w:lineRule="auto"/>
              <w:jc w:val="center"/>
              <w:rPr>
                <w:rFonts w:cs="Arial"/>
                <w:szCs w:val="20"/>
              </w:rPr>
            </w:pPr>
            <w:r w:rsidRPr="00A463AD">
              <w:rPr>
                <w:rFonts w:cs="Arial"/>
                <w:szCs w:val="20"/>
              </w:rPr>
              <w:t>2.163 to 2.965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4B49189" w14:textId="2632F045" w:rsidR="00131F03" w:rsidRPr="00A463AD" w:rsidRDefault="00131F03" w:rsidP="00DA559E">
            <w:pPr>
              <w:spacing w:beforeLines="50" w:before="156" w:line="360" w:lineRule="auto"/>
              <w:jc w:val="center"/>
              <w:rPr>
                <w:rFonts w:cs="Arial"/>
                <w:szCs w:val="20"/>
              </w:rPr>
            </w:pPr>
            <w:r w:rsidRPr="00A463AD">
              <w:rPr>
                <w:rFonts w:cs="Arial"/>
                <w:szCs w:val="20"/>
              </w:rPr>
              <w:t>&lt; 0.001</w:t>
            </w:r>
          </w:p>
        </w:tc>
      </w:tr>
      <w:tr w:rsidR="00131F03" w:rsidRPr="00A463AD" w14:paraId="20ED9675" w14:textId="77777777" w:rsidTr="00B76C2C">
        <w:trPr>
          <w:trHeight w:val="454"/>
          <w:jc w:val="center"/>
        </w:trPr>
        <w:tc>
          <w:tcPr>
            <w:tcW w:w="1560" w:type="dxa"/>
            <w:noWrap/>
          </w:tcPr>
          <w:p w14:paraId="0E123F3E" w14:textId="0C3B1DD8" w:rsidR="00131F03" w:rsidRPr="00A463AD" w:rsidRDefault="00131F03" w:rsidP="00DA559E">
            <w:pPr>
              <w:spacing w:beforeLines="50" w:before="156" w:line="360" w:lineRule="auto"/>
              <w:jc w:val="center"/>
              <w:rPr>
                <w:rFonts w:cs="Arial"/>
                <w:szCs w:val="20"/>
              </w:rPr>
            </w:pPr>
            <w:r w:rsidRPr="00A463AD">
              <w:rPr>
                <w:rFonts w:cs="Arial"/>
                <w:szCs w:val="20"/>
              </w:rPr>
              <w:t>Postop 4 h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D10E438" w14:textId="62CCE7D5" w:rsidR="00131F03" w:rsidRPr="00A463AD" w:rsidRDefault="00131F03" w:rsidP="00DA559E">
            <w:pPr>
              <w:spacing w:beforeLines="50" w:before="156" w:line="360" w:lineRule="auto"/>
              <w:jc w:val="center"/>
              <w:rPr>
                <w:rFonts w:cs="Arial"/>
                <w:szCs w:val="20"/>
              </w:rPr>
            </w:pPr>
            <w:r w:rsidRPr="00A463AD">
              <w:rPr>
                <w:rFonts w:cs="Arial"/>
                <w:szCs w:val="20"/>
              </w:rPr>
              <w:t>2.615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10291D" w14:textId="69E6B90F" w:rsidR="00131F03" w:rsidRPr="00A463AD" w:rsidRDefault="00131F03" w:rsidP="00DA559E">
            <w:pPr>
              <w:spacing w:beforeLines="50" w:before="156" w:line="360" w:lineRule="auto"/>
              <w:jc w:val="center"/>
              <w:rPr>
                <w:rFonts w:cs="Arial"/>
                <w:szCs w:val="20"/>
              </w:rPr>
            </w:pPr>
            <w:r w:rsidRPr="00A463AD">
              <w:rPr>
                <w:rFonts w:cs="Arial"/>
                <w:szCs w:val="20"/>
              </w:rPr>
              <w:t>0.204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5305FF3F" w14:textId="64BB8420" w:rsidR="00131F03" w:rsidRPr="00A463AD" w:rsidRDefault="00131F03" w:rsidP="00DA559E">
            <w:pPr>
              <w:spacing w:beforeLines="50" w:before="156" w:line="360" w:lineRule="auto"/>
              <w:jc w:val="center"/>
              <w:rPr>
                <w:rFonts w:cs="Arial"/>
                <w:szCs w:val="20"/>
              </w:rPr>
            </w:pPr>
            <w:r w:rsidRPr="00A463AD">
              <w:rPr>
                <w:rFonts w:cs="Arial"/>
                <w:szCs w:val="20"/>
              </w:rPr>
              <w:t>2.214 to 3.016</w:t>
            </w:r>
          </w:p>
        </w:tc>
        <w:tc>
          <w:tcPr>
            <w:tcW w:w="1418" w:type="dxa"/>
            <w:shd w:val="clear" w:color="auto" w:fill="auto"/>
            <w:noWrap/>
          </w:tcPr>
          <w:p w14:paraId="281DF931" w14:textId="16CA8CD5" w:rsidR="00131F03" w:rsidRPr="00A463AD" w:rsidRDefault="00131F03" w:rsidP="00DA559E">
            <w:pPr>
              <w:spacing w:beforeLines="50" w:before="156" w:line="360" w:lineRule="auto"/>
              <w:jc w:val="center"/>
              <w:rPr>
                <w:rFonts w:cs="Arial"/>
                <w:szCs w:val="20"/>
              </w:rPr>
            </w:pPr>
            <w:r w:rsidRPr="00A463AD">
              <w:rPr>
                <w:rFonts w:cs="Arial"/>
                <w:szCs w:val="20"/>
              </w:rPr>
              <w:t>&lt; 0.001</w:t>
            </w:r>
          </w:p>
        </w:tc>
      </w:tr>
      <w:tr w:rsidR="00131F03" w:rsidRPr="00A463AD" w14:paraId="641F6CE6" w14:textId="77777777" w:rsidTr="00B76C2C">
        <w:trPr>
          <w:trHeight w:val="454"/>
          <w:jc w:val="center"/>
        </w:trPr>
        <w:tc>
          <w:tcPr>
            <w:tcW w:w="1560" w:type="dxa"/>
            <w:noWrap/>
          </w:tcPr>
          <w:p w14:paraId="55B1CF2F" w14:textId="7B943CBA" w:rsidR="00131F03" w:rsidRPr="00A463AD" w:rsidRDefault="00131F03" w:rsidP="00DA559E">
            <w:pPr>
              <w:spacing w:beforeLines="50" w:before="156" w:line="360" w:lineRule="auto"/>
              <w:jc w:val="center"/>
              <w:rPr>
                <w:rFonts w:cs="Arial"/>
                <w:szCs w:val="20"/>
              </w:rPr>
            </w:pPr>
            <w:r w:rsidRPr="00A463AD">
              <w:rPr>
                <w:rFonts w:cs="Arial"/>
                <w:szCs w:val="20"/>
              </w:rPr>
              <w:t>Postop 8 h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1661F42" w14:textId="535656C1" w:rsidR="00131F03" w:rsidRPr="00A463AD" w:rsidRDefault="00131F03" w:rsidP="00DA559E">
            <w:pPr>
              <w:spacing w:beforeLines="50" w:before="156" w:line="360" w:lineRule="auto"/>
              <w:jc w:val="center"/>
              <w:rPr>
                <w:rFonts w:cs="Arial"/>
                <w:szCs w:val="20"/>
              </w:rPr>
            </w:pPr>
            <w:r w:rsidRPr="00A463AD">
              <w:rPr>
                <w:rFonts w:cs="Arial"/>
                <w:szCs w:val="20"/>
              </w:rPr>
              <w:t>2.590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C9F101" w14:textId="324B0FF1" w:rsidR="00131F03" w:rsidRPr="00A463AD" w:rsidRDefault="00131F03" w:rsidP="00DA559E">
            <w:pPr>
              <w:spacing w:beforeLines="50" w:before="156" w:line="360" w:lineRule="auto"/>
              <w:jc w:val="center"/>
              <w:rPr>
                <w:rFonts w:cs="Arial"/>
                <w:szCs w:val="20"/>
              </w:rPr>
            </w:pPr>
            <w:r w:rsidRPr="00A463AD">
              <w:rPr>
                <w:rFonts w:cs="Arial"/>
                <w:szCs w:val="20"/>
              </w:rPr>
              <w:t>0.204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0F2F9EE4" w14:textId="2EC9C98C" w:rsidR="00131F03" w:rsidRPr="00A463AD" w:rsidRDefault="00131F03" w:rsidP="00DA559E">
            <w:pPr>
              <w:spacing w:beforeLines="50" w:before="156" w:line="360" w:lineRule="auto"/>
              <w:jc w:val="center"/>
              <w:rPr>
                <w:rFonts w:cs="Arial"/>
                <w:szCs w:val="20"/>
              </w:rPr>
            </w:pPr>
            <w:r w:rsidRPr="00A463AD">
              <w:rPr>
                <w:rFonts w:cs="Arial"/>
                <w:szCs w:val="20"/>
              </w:rPr>
              <w:t>2.189 to 2.991</w:t>
            </w:r>
          </w:p>
        </w:tc>
        <w:tc>
          <w:tcPr>
            <w:tcW w:w="1418" w:type="dxa"/>
            <w:shd w:val="clear" w:color="auto" w:fill="auto"/>
            <w:noWrap/>
          </w:tcPr>
          <w:p w14:paraId="30EF370B" w14:textId="2789E78A" w:rsidR="00131F03" w:rsidRPr="00A463AD" w:rsidRDefault="00131F03" w:rsidP="00DA559E">
            <w:pPr>
              <w:spacing w:beforeLines="50" w:before="156" w:line="360" w:lineRule="auto"/>
              <w:jc w:val="center"/>
              <w:rPr>
                <w:rFonts w:cs="Arial"/>
                <w:szCs w:val="20"/>
              </w:rPr>
            </w:pPr>
            <w:r w:rsidRPr="00A463AD">
              <w:rPr>
                <w:rFonts w:cs="Arial"/>
                <w:szCs w:val="20"/>
              </w:rPr>
              <w:t>&lt; 0.001</w:t>
            </w:r>
          </w:p>
        </w:tc>
      </w:tr>
      <w:tr w:rsidR="00131F03" w:rsidRPr="00A463AD" w14:paraId="72CE4A6A" w14:textId="77777777" w:rsidTr="00B76C2C">
        <w:trPr>
          <w:trHeight w:val="454"/>
          <w:jc w:val="center"/>
        </w:trPr>
        <w:tc>
          <w:tcPr>
            <w:tcW w:w="1560" w:type="dxa"/>
            <w:noWrap/>
          </w:tcPr>
          <w:p w14:paraId="24A18D78" w14:textId="2141CE67" w:rsidR="00131F03" w:rsidRPr="00A463AD" w:rsidRDefault="00131F03" w:rsidP="00DA559E">
            <w:pPr>
              <w:spacing w:beforeLines="50" w:before="156" w:line="360" w:lineRule="auto"/>
              <w:jc w:val="center"/>
              <w:rPr>
                <w:rFonts w:cs="Arial"/>
                <w:szCs w:val="20"/>
              </w:rPr>
            </w:pPr>
            <w:r w:rsidRPr="00A463AD">
              <w:rPr>
                <w:rFonts w:cs="Arial"/>
                <w:szCs w:val="20"/>
              </w:rPr>
              <w:t>Postop 12 h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4BD0D3B" w14:textId="04AF64A0" w:rsidR="00131F03" w:rsidRPr="00A463AD" w:rsidRDefault="00131F03" w:rsidP="00DA559E">
            <w:pPr>
              <w:spacing w:beforeLines="50" w:before="156" w:line="360" w:lineRule="auto"/>
              <w:jc w:val="center"/>
              <w:rPr>
                <w:rFonts w:cs="Arial"/>
                <w:szCs w:val="20"/>
              </w:rPr>
            </w:pPr>
            <w:r w:rsidRPr="00A463AD">
              <w:rPr>
                <w:rFonts w:cs="Arial"/>
                <w:szCs w:val="20"/>
              </w:rPr>
              <w:t>1.718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B18C11" w14:textId="57B3F9F5" w:rsidR="00131F03" w:rsidRPr="00A463AD" w:rsidRDefault="00131F03" w:rsidP="00DA559E">
            <w:pPr>
              <w:spacing w:beforeLines="50" w:before="156" w:line="360" w:lineRule="auto"/>
              <w:jc w:val="center"/>
              <w:rPr>
                <w:rFonts w:cs="Arial"/>
                <w:szCs w:val="20"/>
              </w:rPr>
            </w:pPr>
            <w:r w:rsidRPr="00A463AD">
              <w:rPr>
                <w:rFonts w:cs="Arial"/>
                <w:szCs w:val="20"/>
              </w:rPr>
              <w:t>0.204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0D5736C7" w14:textId="66F4B51D" w:rsidR="00131F03" w:rsidRPr="00A463AD" w:rsidRDefault="00131F03" w:rsidP="00DA559E">
            <w:pPr>
              <w:spacing w:beforeLines="50" w:before="156" w:line="360" w:lineRule="auto"/>
              <w:jc w:val="center"/>
              <w:rPr>
                <w:rFonts w:cs="Arial"/>
                <w:szCs w:val="20"/>
              </w:rPr>
            </w:pPr>
            <w:r w:rsidRPr="00A463AD">
              <w:rPr>
                <w:rFonts w:cs="Arial"/>
                <w:szCs w:val="20"/>
              </w:rPr>
              <w:t>1.317 to 2.119</w:t>
            </w:r>
          </w:p>
        </w:tc>
        <w:tc>
          <w:tcPr>
            <w:tcW w:w="1418" w:type="dxa"/>
            <w:shd w:val="clear" w:color="auto" w:fill="auto"/>
            <w:noWrap/>
          </w:tcPr>
          <w:p w14:paraId="65DD3886" w14:textId="0C0A5333" w:rsidR="00131F03" w:rsidRPr="00A463AD" w:rsidRDefault="00131F03" w:rsidP="00DA559E">
            <w:pPr>
              <w:spacing w:beforeLines="50" w:before="156" w:line="360" w:lineRule="auto"/>
              <w:jc w:val="center"/>
              <w:rPr>
                <w:rFonts w:cs="Arial"/>
                <w:szCs w:val="20"/>
              </w:rPr>
            </w:pPr>
            <w:r w:rsidRPr="00A463AD">
              <w:rPr>
                <w:rFonts w:cs="Arial"/>
                <w:szCs w:val="20"/>
              </w:rPr>
              <w:t>&lt; 0.001</w:t>
            </w:r>
          </w:p>
        </w:tc>
      </w:tr>
      <w:tr w:rsidR="00131F03" w:rsidRPr="00A463AD" w14:paraId="2B220235" w14:textId="77777777" w:rsidTr="00B76C2C">
        <w:trPr>
          <w:trHeight w:val="454"/>
          <w:jc w:val="center"/>
        </w:trPr>
        <w:tc>
          <w:tcPr>
            <w:tcW w:w="1560" w:type="dxa"/>
            <w:noWrap/>
          </w:tcPr>
          <w:p w14:paraId="6F09A743" w14:textId="799ABBBC" w:rsidR="00131F03" w:rsidRPr="00A463AD" w:rsidRDefault="00131F03" w:rsidP="00DA559E">
            <w:pPr>
              <w:spacing w:beforeLines="50" w:before="156" w:line="360" w:lineRule="auto"/>
              <w:jc w:val="center"/>
              <w:rPr>
                <w:rFonts w:cs="Arial"/>
                <w:szCs w:val="20"/>
              </w:rPr>
            </w:pPr>
            <w:r w:rsidRPr="00A463AD">
              <w:rPr>
                <w:rFonts w:cs="Arial"/>
                <w:szCs w:val="20"/>
              </w:rPr>
              <w:t>Postop 24 h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0629EC3" w14:textId="2E890FCF" w:rsidR="00131F03" w:rsidRPr="00A463AD" w:rsidRDefault="00131F03" w:rsidP="00DA559E">
            <w:pPr>
              <w:spacing w:beforeLines="50" w:before="156" w:line="360" w:lineRule="auto"/>
              <w:jc w:val="center"/>
              <w:rPr>
                <w:rFonts w:cs="Arial"/>
                <w:szCs w:val="20"/>
              </w:rPr>
            </w:pPr>
            <w:r w:rsidRPr="00A463AD">
              <w:rPr>
                <w:rFonts w:cs="Arial"/>
                <w:szCs w:val="20"/>
              </w:rPr>
              <w:t>0.026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718E8F" w14:textId="5B304FF0" w:rsidR="00131F03" w:rsidRPr="00A463AD" w:rsidRDefault="00131F03" w:rsidP="00DA559E">
            <w:pPr>
              <w:spacing w:beforeLines="50" w:before="156" w:line="360" w:lineRule="auto"/>
              <w:jc w:val="center"/>
              <w:rPr>
                <w:rFonts w:cs="Arial"/>
                <w:szCs w:val="20"/>
              </w:rPr>
            </w:pPr>
            <w:r w:rsidRPr="00A463AD">
              <w:rPr>
                <w:rFonts w:cs="Arial"/>
                <w:szCs w:val="20"/>
              </w:rPr>
              <w:t>0.204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1976D71F" w14:textId="0E808509" w:rsidR="00131F03" w:rsidRPr="00A463AD" w:rsidRDefault="00131F03" w:rsidP="00DA559E">
            <w:pPr>
              <w:spacing w:beforeLines="50" w:before="156" w:line="360" w:lineRule="auto"/>
              <w:jc w:val="center"/>
              <w:rPr>
                <w:rFonts w:cs="Arial"/>
                <w:szCs w:val="20"/>
              </w:rPr>
            </w:pPr>
            <w:r w:rsidRPr="00A463AD">
              <w:rPr>
                <w:rFonts w:cs="Arial"/>
                <w:szCs w:val="20"/>
              </w:rPr>
              <w:t>-0.375 to 0.427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7F278B90" w14:textId="0513FAD7" w:rsidR="00131F03" w:rsidRPr="00A463AD" w:rsidRDefault="00131F03" w:rsidP="00DA559E">
            <w:pPr>
              <w:spacing w:beforeLines="50" w:before="156" w:line="360" w:lineRule="auto"/>
              <w:jc w:val="center"/>
              <w:rPr>
                <w:rFonts w:cs="Arial"/>
                <w:szCs w:val="20"/>
              </w:rPr>
            </w:pPr>
            <w:r w:rsidRPr="00A463AD">
              <w:rPr>
                <w:rFonts w:cs="Arial"/>
                <w:szCs w:val="20"/>
              </w:rPr>
              <w:t>0.900</w:t>
            </w:r>
          </w:p>
        </w:tc>
      </w:tr>
      <w:tr w:rsidR="00131F03" w:rsidRPr="00A463AD" w14:paraId="44233659" w14:textId="77777777" w:rsidTr="00B76C2C">
        <w:trPr>
          <w:trHeight w:val="454"/>
          <w:jc w:val="center"/>
        </w:trPr>
        <w:tc>
          <w:tcPr>
            <w:tcW w:w="1560" w:type="dxa"/>
            <w:noWrap/>
          </w:tcPr>
          <w:p w14:paraId="52BB7E80" w14:textId="657B671D" w:rsidR="00131F03" w:rsidRPr="00A463AD" w:rsidRDefault="00131F03" w:rsidP="00DA559E">
            <w:pPr>
              <w:spacing w:beforeLines="50" w:before="156" w:line="360" w:lineRule="auto"/>
              <w:jc w:val="center"/>
              <w:rPr>
                <w:rFonts w:cs="Arial"/>
                <w:szCs w:val="20"/>
              </w:rPr>
            </w:pPr>
            <w:r w:rsidRPr="00A463AD">
              <w:rPr>
                <w:rFonts w:cs="Arial"/>
                <w:szCs w:val="20"/>
              </w:rPr>
              <w:t>Postop 36 h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DF0C6C5" w14:textId="67779EEC" w:rsidR="00131F03" w:rsidRPr="00A463AD" w:rsidRDefault="00131F03" w:rsidP="00DA559E">
            <w:pPr>
              <w:spacing w:beforeLines="50" w:before="156" w:line="360" w:lineRule="auto"/>
              <w:jc w:val="center"/>
              <w:rPr>
                <w:rFonts w:cs="Arial"/>
                <w:szCs w:val="20"/>
              </w:rPr>
            </w:pPr>
            <w:r w:rsidRPr="00A463AD">
              <w:rPr>
                <w:rFonts w:cs="Arial"/>
                <w:szCs w:val="20"/>
              </w:rPr>
              <w:t>-0.282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065E58" w14:textId="7318C3C9" w:rsidR="00131F03" w:rsidRPr="00A463AD" w:rsidRDefault="00131F03" w:rsidP="00DA559E">
            <w:pPr>
              <w:spacing w:beforeLines="50" w:before="156" w:line="360" w:lineRule="auto"/>
              <w:jc w:val="center"/>
              <w:rPr>
                <w:rFonts w:cs="Arial"/>
                <w:szCs w:val="20"/>
              </w:rPr>
            </w:pPr>
            <w:r w:rsidRPr="00A463AD">
              <w:rPr>
                <w:rFonts w:cs="Arial"/>
                <w:szCs w:val="20"/>
              </w:rPr>
              <w:t>0.204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245E034D" w14:textId="6FCFB815" w:rsidR="00131F03" w:rsidRPr="00A463AD" w:rsidRDefault="00131F03" w:rsidP="00DA559E">
            <w:pPr>
              <w:spacing w:beforeLines="50" w:before="156" w:line="360" w:lineRule="auto"/>
              <w:jc w:val="center"/>
              <w:rPr>
                <w:rFonts w:cs="Arial"/>
                <w:szCs w:val="20"/>
              </w:rPr>
            </w:pPr>
            <w:r w:rsidRPr="00A463AD">
              <w:rPr>
                <w:rFonts w:cs="Arial"/>
                <w:szCs w:val="20"/>
              </w:rPr>
              <w:t>-0.683 to 0.119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45B176B1" w14:textId="412A3521" w:rsidR="00131F03" w:rsidRPr="00A463AD" w:rsidRDefault="00131F03" w:rsidP="00DA559E">
            <w:pPr>
              <w:spacing w:beforeLines="50" w:before="156" w:line="360" w:lineRule="auto"/>
              <w:jc w:val="center"/>
              <w:rPr>
                <w:rFonts w:cs="Arial"/>
                <w:szCs w:val="20"/>
              </w:rPr>
            </w:pPr>
            <w:r w:rsidRPr="00A463AD">
              <w:rPr>
                <w:rFonts w:cs="Arial"/>
                <w:szCs w:val="20"/>
              </w:rPr>
              <w:t>0.167</w:t>
            </w:r>
          </w:p>
        </w:tc>
      </w:tr>
      <w:tr w:rsidR="00131F03" w:rsidRPr="00A463AD" w14:paraId="646192D2" w14:textId="77777777" w:rsidTr="00B76C2C">
        <w:trPr>
          <w:trHeight w:val="454"/>
          <w:jc w:val="center"/>
        </w:trPr>
        <w:tc>
          <w:tcPr>
            <w:tcW w:w="1560" w:type="dxa"/>
            <w:noWrap/>
          </w:tcPr>
          <w:p w14:paraId="49781B22" w14:textId="1BD0DECE" w:rsidR="00131F03" w:rsidRPr="00A463AD" w:rsidRDefault="00131F03" w:rsidP="00DA559E">
            <w:pPr>
              <w:spacing w:beforeLines="50" w:before="156" w:line="360" w:lineRule="auto"/>
              <w:jc w:val="center"/>
              <w:rPr>
                <w:rFonts w:cs="Arial"/>
                <w:szCs w:val="20"/>
              </w:rPr>
            </w:pPr>
            <w:r w:rsidRPr="00A463AD">
              <w:rPr>
                <w:rFonts w:cs="Arial"/>
                <w:szCs w:val="20"/>
              </w:rPr>
              <w:t>Postop 48 h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1FB5D0DA" w14:textId="181BE01F" w:rsidR="00131F03" w:rsidRPr="00A463AD" w:rsidRDefault="00131F03" w:rsidP="00DA559E">
            <w:pPr>
              <w:spacing w:beforeLines="50" w:before="156" w:line="360" w:lineRule="auto"/>
              <w:jc w:val="center"/>
              <w:rPr>
                <w:rFonts w:cs="Arial"/>
                <w:szCs w:val="20"/>
              </w:rPr>
            </w:pPr>
            <w:r w:rsidRPr="00A463AD">
              <w:rPr>
                <w:rFonts w:cs="Arial"/>
                <w:szCs w:val="20"/>
              </w:rPr>
              <w:t>-0.103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1A0B72" w14:textId="0071C089" w:rsidR="00131F03" w:rsidRPr="00A463AD" w:rsidRDefault="00131F03" w:rsidP="00DA559E">
            <w:pPr>
              <w:spacing w:beforeLines="50" w:before="156" w:line="360" w:lineRule="auto"/>
              <w:jc w:val="center"/>
              <w:rPr>
                <w:rFonts w:cs="Arial"/>
                <w:szCs w:val="20"/>
              </w:rPr>
            </w:pPr>
            <w:r w:rsidRPr="00A463AD">
              <w:rPr>
                <w:rFonts w:cs="Arial"/>
                <w:szCs w:val="20"/>
              </w:rPr>
              <w:t>0.204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14:paraId="0B35DC80" w14:textId="5B79DCF1" w:rsidR="00131F03" w:rsidRPr="00A463AD" w:rsidRDefault="00131F03" w:rsidP="00DA559E">
            <w:pPr>
              <w:spacing w:beforeLines="50" w:before="156" w:line="360" w:lineRule="auto"/>
              <w:jc w:val="center"/>
              <w:rPr>
                <w:rFonts w:cs="Arial"/>
                <w:szCs w:val="20"/>
              </w:rPr>
            </w:pPr>
            <w:r w:rsidRPr="00A463AD">
              <w:rPr>
                <w:rFonts w:cs="Arial"/>
                <w:szCs w:val="20"/>
              </w:rPr>
              <w:t>-0.503 to 0.298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14:paraId="2C58C3F0" w14:textId="6D1DFF56" w:rsidR="00131F03" w:rsidRPr="00A463AD" w:rsidRDefault="00131F03" w:rsidP="00DA559E">
            <w:pPr>
              <w:spacing w:beforeLines="50" w:before="156" w:line="360" w:lineRule="auto"/>
              <w:jc w:val="center"/>
              <w:rPr>
                <w:rFonts w:cs="Arial"/>
                <w:szCs w:val="20"/>
              </w:rPr>
            </w:pPr>
            <w:r w:rsidRPr="00A463AD">
              <w:rPr>
                <w:rFonts w:cs="Arial"/>
                <w:szCs w:val="20"/>
              </w:rPr>
              <w:t>0.615</w:t>
            </w:r>
          </w:p>
        </w:tc>
      </w:tr>
    </w:tbl>
    <w:p w14:paraId="15E8CA34" w14:textId="4567CCE3" w:rsidR="00964C23" w:rsidRDefault="00A273AA" w:rsidP="00526E77">
      <w:pPr>
        <w:spacing w:beforeLines="50" w:before="156" w:line="360" w:lineRule="auto"/>
        <w:jc w:val="both"/>
        <w:rPr>
          <w:rFonts w:cs="Arial"/>
          <w:szCs w:val="20"/>
        </w:rPr>
      </w:pPr>
      <w:r>
        <w:rPr>
          <w:rFonts w:cs="Arial" w:hint="eastAsia"/>
          <w:szCs w:val="20"/>
          <w:lang w:eastAsia="zh-CN"/>
        </w:rPr>
        <w:t xml:space="preserve">Note: </w:t>
      </w:r>
      <w:r w:rsidR="00964C23" w:rsidRPr="00A463AD">
        <w:rPr>
          <w:rFonts w:cs="Arial"/>
          <w:szCs w:val="20"/>
        </w:rPr>
        <w:t xml:space="preserve">R package </w:t>
      </w:r>
      <w:r w:rsidR="002168C2" w:rsidRPr="00A463AD">
        <w:rPr>
          <w:rFonts w:cs="Arial"/>
          <w:szCs w:val="20"/>
          <w:lang w:eastAsia="zh-CN"/>
        </w:rPr>
        <w:t>‘</w:t>
      </w:r>
      <w:proofErr w:type="spellStart"/>
      <w:r w:rsidR="00964C23" w:rsidRPr="00A463AD">
        <w:rPr>
          <w:rFonts w:cs="Arial"/>
          <w:szCs w:val="20"/>
        </w:rPr>
        <w:t>emmeans</w:t>
      </w:r>
      <w:proofErr w:type="spellEnd"/>
      <w:r w:rsidR="002168C2" w:rsidRPr="00A463AD">
        <w:rPr>
          <w:rFonts w:cs="Arial"/>
          <w:szCs w:val="20"/>
          <w:lang w:eastAsia="zh-CN"/>
        </w:rPr>
        <w:t>’</w:t>
      </w:r>
      <w:r w:rsidR="00964C23" w:rsidRPr="00A463AD">
        <w:rPr>
          <w:rFonts w:cs="Arial"/>
          <w:szCs w:val="20"/>
        </w:rPr>
        <w:t> was used to obtain estimated marginal means (EMMs) for the linear mixed model. </w:t>
      </w:r>
    </w:p>
    <w:p w14:paraId="440615D2" w14:textId="7675B664" w:rsidR="00A273AA" w:rsidRPr="00A463AD" w:rsidRDefault="00A273AA" w:rsidP="00A273AA">
      <w:pPr>
        <w:spacing w:line="360" w:lineRule="auto"/>
        <w:jc w:val="both"/>
        <w:rPr>
          <w:rFonts w:cs="Arial"/>
          <w:szCs w:val="20"/>
        </w:rPr>
      </w:pPr>
      <w:r w:rsidRPr="00A273AA">
        <w:rPr>
          <w:rFonts w:cs="Arial"/>
          <w:szCs w:val="20"/>
        </w:rPr>
        <w:t xml:space="preserve">Abbreviations: NRS, </w:t>
      </w:r>
      <w:r w:rsidR="007B1BA1">
        <w:rPr>
          <w:rFonts w:cs="Arial" w:hint="eastAsia"/>
          <w:szCs w:val="20"/>
          <w:lang w:eastAsia="zh-CN"/>
        </w:rPr>
        <w:t>N</w:t>
      </w:r>
      <w:r w:rsidRPr="00A273AA">
        <w:rPr>
          <w:rFonts w:cs="Arial"/>
          <w:szCs w:val="20"/>
        </w:rPr>
        <w:t xml:space="preserve">umeric </w:t>
      </w:r>
      <w:r w:rsidR="007B1BA1">
        <w:rPr>
          <w:rFonts w:cs="Arial" w:hint="eastAsia"/>
          <w:szCs w:val="20"/>
          <w:lang w:eastAsia="zh-CN"/>
        </w:rPr>
        <w:t>R</w:t>
      </w:r>
      <w:r w:rsidRPr="00A273AA">
        <w:rPr>
          <w:rFonts w:cs="Arial"/>
          <w:szCs w:val="20"/>
        </w:rPr>
        <w:t xml:space="preserve">ating </w:t>
      </w:r>
      <w:r w:rsidR="007B1BA1">
        <w:rPr>
          <w:rFonts w:cs="Arial" w:hint="eastAsia"/>
          <w:szCs w:val="20"/>
          <w:lang w:eastAsia="zh-CN"/>
        </w:rPr>
        <w:t>S</w:t>
      </w:r>
      <w:r w:rsidRPr="00A273AA">
        <w:rPr>
          <w:rFonts w:cs="Arial"/>
          <w:szCs w:val="20"/>
        </w:rPr>
        <w:t xml:space="preserve">cale; </w:t>
      </w:r>
      <w:proofErr w:type="spellStart"/>
      <w:r w:rsidRPr="00A273AA">
        <w:rPr>
          <w:rFonts w:cs="Arial"/>
          <w:szCs w:val="20"/>
        </w:rPr>
        <w:t>Emmean</w:t>
      </w:r>
      <w:proofErr w:type="spellEnd"/>
      <w:r w:rsidRPr="00A273AA">
        <w:rPr>
          <w:rFonts w:cs="Arial"/>
          <w:szCs w:val="20"/>
        </w:rPr>
        <w:t xml:space="preserve">, </w:t>
      </w:r>
      <w:r w:rsidR="007B1BA1">
        <w:rPr>
          <w:rFonts w:cs="Arial" w:hint="eastAsia"/>
          <w:szCs w:val="20"/>
          <w:lang w:eastAsia="zh-CN"/>
        </w:rPr>
        <w:t>E</w:t>
      </w:r>
      <w:r w:rsidRPr="00A273AA">
        <w:rPr>
          <w:rFonts w:cs="Arial"/>
          <w:szCs w:val="20"/>
        </w:rPr>
        <w:t xml:space="preserve">stimated </w:t>
      </w:r>
      <w:r w:rsidR="007B1BA1">
        <w:rPr>
          <w:rFonts w:cs="Arial" w:hint="eastAsia"/>
          <w:szCs w:val="20"/>
          <w:lang w:eastAsia="zh-CN"/>
        </w:rPr>
        <w:t>M</w:t>
      </w:r>
      <w:r w:rsidRPr="00A273AA">
        <w:rPr>
          <w:rFonts w:cs="Arial"/>
          <w:szCs w:val="20"/>
        </w:rPr>
        <w:t xml:space="preserve">arginal </w:t>
      </w:r>
      <w:r w:rsidR="007B1BA1">
        <w:rPr>
          <w:rFonts w:cs="Arial" w:hint="eastAsia"/>
          <w:szCs w:val="20"/>
          <w:lang w:eastAsia="zh-CN"/>
        </w:rPr>
        <w:t>M</w:t>
      </w:r>
      <w:r w:rsidRPr="00A273AA">
        <w:rPr>
          <w:rFonts w:cs="Arial"/>
          <w:szCs w:val="20"/>
        </w:rPr>
        <w:t>ean.</w:t>
      </w:r>
    </w:p>
    <w:p w14:paraId="2D6756A4" w14:textId="77777777" w:rsidR="00964C23" w:rsidRDefault="00964C23">
      <w:pPr>
        <w:spacing w:line="240" w:lineRule="auto"/>
        <w:rPr>
          <w:rFonts w:ascii="Calibri" w:eastAsiaTheme="minorEastAsia" w:hAnsi="Calibri" w:cs="Calibri"/>
          <w:b/>
          <w:bCs/>
          <w:kern w:val="2"/>
          <w:sz w:val="24"/>
          <w:lang w:val="en-US" w:eastAsia="zh-CN"/>
        </w:rPr>
      </w:pPr>
      <w:r>
        <w:rPr>
          <w:rFonts w:ascii="Calibri" w:eastAsiaTheme="minorEastAsia" w:hAnsi="Calibri" w:cs="Calibri"/>
          <w:b/>
          <w:bCs/>
          <w:kern w:val="2"/>
          <w:sz w:val="24"/>
          <w:lang w:val="en-US" w:eastAsia="zh-CN"/>
        </w:rPr>
        <w:br w:type="page"/>
      </w:r>
    </w:p>
    <w:p w14:paraId="3074A03B" w14:textId="16253B79" w:rsidR="00780C75" w:rsidRDefault="00911F80" w:rsidP="001A224C">
      <w:pPr>
        <w:autoSpaceDE w:val="0"/>
        <w:autoSpaceDN w:val="0"/>
        <w:adjustRightInd w:val="0"/>
        <w:snapToGrid w:val="0"/>
        <w:spacing w:beforeLines="150" w:before="468" w:line="360" w:lineRule="auto"/>
        <w:jc w:val="center"/>
        <w:rPr>
          <w:rFonts w:ascii="Calibri" w:eastAsiaTheme="minorEastAsia" w:hAnsi="Calibri" w:cs="Calibri"/>
          <w:b/>
          <w:bCs/>
          <w:kern w:val="2"/>
          <w:sz w:val="24"/>
          <w:lang w:val="en-US" w:eastAsia="zh-CN"/>
        </w:rPr>
      </w:pPr>
      <w:r>
        <w:rPr>
          <w:noProof/>
        </w:rPr>
        <w:lastRenderedPageBreak/>
        <w:drawing>
          <wp:inline distT="0" distB="0" distL="0" distR="0" wp14:anchorId="1AAE9937" wp14:editId="663042B8">
            <wp:extent cx="4333875" cy="3246107"/>
            <wp:effectExtent l="0" t="0" r="0" b="0"/>
            <wp:docPr id="114047603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132" cy="3315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89B73" w14:textId="77777777" w:rsidR="00E5059F" w:rsidRPr="00E5059F" w:rsidRDefault="00E5059F" w:rsidP="00A92216">
      <w:pPr>
        <w:spacing w:beforeLines="50" w:before="156" w:line="360" w:lineRule="auto"/>
        <w:jc w:val="both"/>
        <w:rPr>
          <w:rFonts w:cs="Arial"/>
          <w:szCs w:val="20"/>
          <w:lang w:val="en-US" w:eastAsia="zh-CN"/>
        </w:rPr>
      </w:pPr>
      <w:r w:rsidRPr="00E5059F">
        <w:rPr>
          <w:rFonts w:cs="Arial"/>
          <w:b/>
          <w:bCs/>
          <w:szCs w:val="20"/>
          <w:lang w:val="en-US" w:eastAsia="zh-CN"/>
        </w:rPr>
        <w:t>Figure S1.</w:t>
      </w:r>
      <w:r w:rsidRPr="00E5059F">
        <w:rPr>
          <w:rFonts w:cs="Arial"/>
          <w:szCs w:val="20"/>
          <w:lang w:val="en-US" w:eastAsia="zh-CN"/>
        </w:rPr>
        <w:t xml:space="preserve"> Per-protocol analysis of Quality of Recovery-15 (QoR-15) scores over time.</w:t>
      </w:r>
    </w:p>
    <w:p w14:paraId="652064C4" w14:textId="77777777" w:rsidR="00E5059F" w:rsidRPr="00E5059F" w:rsidRDefault="00E5059F" w:rsidP="00A92216">
      <w:pPr>
        <w:spacing w:beforeLines="25" w:before="78" w:line="360" w:lineRule="auto"/>
        <w:jc w:val="both"/>
        <w:rPr>
          <w:rFonts w:cs="Arial"/>
          <w:lang w:val="en-US" w:eastAsia="zh-CN"/>
        </w:rPr>
      </w:pPr>
      <w:proofErr w:type="spellStart"/>
      <w:r w:rsidRPr="00E5059F">
        <w:rPr>
          <w:rFonts w:cs="Arial"/>
          <w:lang w:val="en-US" w:eastAsia="zh-CN"/>
        </w:rPr>
        <w:t>Beeswarm</w:t>
      </w:r>
      <w:proofErr w:type="spellEnd"/>
      <w:r w:rsidRPr="00E5059F">
        <w:rPr>
          <w:rFonts w:cs="Arial"/>
          <w:lang w:val="en-US" w:eastAsia="zh-CN"/>
        </w:rPr>
        <w:t>-violin plots display QoR-15 score distributions for control (blue) and intrathecal (orange) groups at pre-operative, 24</w:t>
      </w:r>
      <w:r w:rsidRPr="00E5059F">
        <w:rPr>
          <w:rFonts w:cs="Arial" w:hint="eastAsia"/>
          <w:lang w:val="en-US" w:eastAsia="zh-CN"/>
        </w:rPr>
        <w:t xml:space="preserve"> </w:t>
      </w:r>
      <w:r w:rsidRPr="00E5059F">
        <w:rPr>
          <w:rFonts w:cs="Arial"/>
          <w:lang w:val="en-US" w:eastAsia="zh-CN"/>
        </w:rPr>
        <w:t>h (POD 1), and 48</w:t>
      </w:r>
      <w:r w:rsidRPr="00E5059F">
        <w:rPr>
          <w:rFonts w:cs="Arial" w:hint="eastAsia"/>
          <w:lang w:val="en-US" w:eastAsia="zh-CN"/>
        </w:rPr>
        <w:t xml:space="preserve"> </w:t>
      </w:r>
      <w:r w:rsidRPr="00E5059F">
        <w:rPr>
          <w:rFonts w:cs="Arial"/>
          <w:lang w:val="en-US" w:eastAsia="zh-CN"/>
        </w:rPr>
        <w:t>h (POD 2) timepoints. Individual data points appear as circles, with median values (horizontal line), interquartile ranges (box), and distribution boundaries (whiskers, 1.5 times IQR). Per-protocol analysis demonstrated significantly higher QoR-15 scores in the intrathecal group at 24h post-surgery (122 [109–128] vs 111 [101–117], p &lt; 0.001; difference: 10 [95% CI 5–15]). This difference decreased and lost statistical significance at 48h (126 [116–131] vs 122 [113–127], p = 0.062; difference: 4 [95% CI 0–9]).</w:t>
      </w:r>
    </w:p>
    <w:p w14:paraId="26C692D0" w14:textId="77777777" w:rsidR="00E5059F" w:rsidRPr="00E5059F" w:rsidRDefault="00E5059F" w:rsidP="00E5059F">
      <w:pPr>
        <w:adjustRightInd w:val="0"/>
        <w:snapToGrid w:val="0"/>
        <w:jc w:val="both"/>
        <w:rPr>
          <w:rFonts w:cs="Arial"/>
          <w:lang w:val="en-US" w:eastAsia="zh-CN"/>
        </w:rPr>
      </w:pPr>
      <w:r w:rsidRPr="00E5059F">
        <w:rPr>
          <w:rFonts w:cs="Arial"/>
          <w:lang w:val="en-US" w:eastAsia="zh-CN"/>
        </w:rPr>
        <w:t>Abbreviations: QoR-15: Quality of Recovery-15; POD: Postoperative Day; CI: Confidence Interval.</w:t>
      </w:r>
    </w:p>
    <w:p w14:paraId="73925C78" w14:textId="14C7AEDA" w:rsidR="001A224C" w:rsidRDefault="00E5059F" w:rsidP="00780C75">
      <w:pPr>
        <w:autoSpaceDE w:val="0"/>
        <w:autoSpaceDN w:val="0"/>
        <w:adjustRightInd w:val="0"/>
        <w:snapToGrid w:val="0"/>
        <w:spacing w:beforeLines="50" w:before="156" w:line="360" w:lineRule="auto"/>
        <w:jc w:val="both"/>
        <w:rPr>
          <w:rFonts w:ascii="Calibri" w:eastAsiaTheme="minorEastAsia" w:hAnsi="Calibri" w:cs="Calibri"/>
          <w:b/>
          <w:bCs/>
          <w:kern w:val="2"/>
          <w:sz w:val="24"/>
          <w:lang w:val="en-US" w:eastAsia="zh-CN"/>
        </w:rPr>
      </w:pPr>
      <w:r w:rsidRPr="00E5059F">
        <w:rPr>
          <w:rFonts w:ascii="Calibri" w:eastAsiaTheme="minorEastAsia" w:hAnsi="Calibri" w:cs="Calibri"/>
          <w:b/>
          <w:bCs/>
          <w:noProof/>
          <w:kern w:val="2"/>
          <w:sz w:val="24"/>
          <w:lang w:val="en-US" w:eastAsia="zh-CN"/>
        </w:rPr>
        <w:lastRenderedPageBreak/>
        <w:drawing>
          <wp:inline distT="0" distB="0" distL="0" distR="0" wp14:anchorId="44252CBE" wp14:editId="221C0E38">
            <wp:extent cx="5274310" cy="2125980"/>
            <wp:effectExtent l="0" t="0" r="2540" b="7620"/>
            <wp:docPr id="131842521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2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8610DB" w14:textId="77777777" w:rsidR="00E5059F" w:rsidRPr="00E5059F" w:rsidRDefault="00E5059F" w:rsidP="00E5059F">
      <w:pPr>
        <w:autoSpaceDE w:val="0"/>
        <w:autoSpaceDN w:val="0"/>
        <w:spacing w:beforeLines="50" w:before="156" w:line="360" w:lineRule="auto"/>
        <w:jc w:val="both"/>
        <w:rPr>
          <w:rFonts w:eastAsiaTheme="minorEastAsia" w:cs="Arial"/>
          <w:kern w:val="2"/>
          <w:szCs w:val="20"/>
          <w:lang w:val="en-US" w:eastAsia="zh-CN"/>
        </w:rPr>
      </w:pPr>
      <w:r w:rsidRPr="00E5059F">
        <w:rPr>
          <w:rFonts w:eastAsiaTheme="minorEastAsia" w:cs="Arial"/>
          <w:b/>
          <w:bCs/>
          <w:kern w:val="2"/>
          <w:szCs w:val="20"/>
          <w:lang w:val="en-US" w:eastAsia="zh-CN"/>
        </w:rPr>
        <w:t>Figure S2</w:t>
      </w:r>
      <w:r w:rsidRPr="00E5059F">
        <w:rPr>
          <w:rFonts w:eastAsiaTheme="minorEastAsia" w:cs="Arial" w:hint="eastAsia"/>
          <w:b/>
          <w:bCs/>
          <w:kern w:val="2"/>
          <w:szCs w:val="20"/>
          <w:lang w:val="en-US" w:eastAsia="zh-CN"/>
        </w:rPr>
        <w:t>.</w:t>
      </w:r>
      <w:r w:rsidRPr="00E5059F">
        <w:rPr>
          <w:rFonts w:eastAsiaTheme="minorEastAsia" w:cs="Arial"/>
          <w:b/>
          <w:bCs/>
          <w:kern w:val="2"/>
          <w:szCs w:val="20"/>
          <w:lang w:val="en-US" w:eastAsia="zh-CN"/>
        </w:rPr>
        <w:t xml:space="preserve"> </w:t>
      </w:r>
      <w:r w:rsidRPr="00E5059F">
        <w:rPr>
          <w:rFonts w:eastAsiaTheme="minorEastAsia" w:cs="Arial"/>
          <w:kern w:val="2"/>
          <w:szCs w:val="20"/>
          <w:lang w:val="en-US" w:eastAsia="zh-CN"/>
        </w:rPr>
        <w:t>Quality of Recovery-15 (QoR-15) dimensional analysis at 24 and 48 hours postoperatively.</w:t>
      </w:r>
    </w:p>
    <w:p w14:paraId="41417EFF" w14:textId="651F859E" w:rsidR="00E5059F" w:rsidRPr="00E5059F" w:rsidRDefault="00E5059F" w:rsidP="00E5059F">
      <w:pPr>
        <w:autoSpaceDE w:val="0"/>
        <w:autoSpaceDN w:val="0"/>
        <w:spacing w:beforeLines="25" w:before="78" w:line="360" w:lineRule="auto"/>
        <w:jc w:val="both"/>
        <w:rPr>
          <w:rFonts w:eastAsiaTheme="minorEastAsia" w:cs="Arial"/>
          <w:kern w:val="2"/>
          <w:szCs w:val="20"/>
          <w:lang w:val="en-US" w:eastAsia="zh-CN"/>
        </w:rPr>
      </w:pPr>
      <w:r w:rsidRPr="00E5059F">
        <w:rPr>
          <w:rFonts w:eastAsiaTheme="minorEastAsia" w:cs="Arial"/>
          <w:kern w:val="2"/>
          <w:szCs w:val="20"/>
          <w:lang w:val="en-US" w:eastAsia="zh-CN"/>
        </w:rPr>
        <w:t>Forest plots illustrate median differences and 95% confidence intervals between intrathecal and control groups for each QoR-15 dimension at 24 hours (A) and 48 hours (B) post-surgery. The vertical zero line represents no between-group difference, with points to the right indicating higher intrathecal group scores. At 24 hours, the intrathecal group demonstrated significantly higher scores in pain, physical comfort, and physical independence dimensions (</w:t>
      </w:r>
      <w:r w:rsidR="00217462">
        <w:rPr>
          <w:rFonts w:eastAsiaTheme="minorEastAsia" w:cs="Arial" w:hint="eastAsia"/>
          <w:kern w:val="2"/>
          <w:szCs w:val="20"/>
          <w:lang w:val="en-US" w:eastAsia="zh-CN"/>
        </w:rPr>
        <w:t xml:space="preserve">all </w:t>
      </w:r>
      <w:r w:rsidRPr="00E5059F">
        <w:rPr>
          <w:rFonts w:eastAsiaTheme="minorEastAsia" w:cs="Arial"/>
          <w:kern w:val="2"/>
          <w:szCs w:val="20"/>
          <w:lang w:val="en-US" w:eastAsia="zh-CN"/>
        </w:rPr>
        <w:t>p &lt; 0.05), with pain showing the largest improvement. By 48 hours, these differences had diminished, though a positive trend persisted in the pain dimension.</w:t>
      </w:r>
    </w:p>
    <w:p w14:paraId="08B1C386" w14:textId="77777777" w:rsidR="00E5059F" w:rsidRPr="00E5059F" w:rsidRDefault="00E5059F" w:rsidP="00E5059F">
      <w:pPr>
        <w:autoSpaceDE w:val="0"/>
        <w:autoSpaceDN w:val="0"/>
        <w:spacing w:line="360" w:lineRule="auto"/>
        <w:jc w:val="both"/>
        <w:rPr>
          <w:rFonts w:eastAsiaTheme="minorEastAsia" w:cs="Arial"/>
          <w:kern w:val="2"/>
          <w:szCs w:val="20"/>
          <w:lang w:val="en-US" w:eastAsia="zh-CN"/>
        </w:rPr>
      </w:pPr>
      <w:r w:rsidRPr="00E5059F">
        <w:rPr>
          <w:rFonts w:eastAsiaTheme="minorEastAsia" w:cs="Arial"/>
          <w:kern w:val="2"/>
          <w:szCs w:val="20"/>
          <w:lang w:val="en-US" w:eastAsia="zh-CN"/>
        </w:rPr>
        <w:t>Abbreviations: QoR-15: Quality of Recovery-15; CI: Confidence Interval.</w:t>
      </w:r>
    </w:p>
    <w:p w14:paraId="7F1AF753" w14:textId="0FBCDD64" w:rsidR="00797664" w:rsidRPr="00D03285" w:rsidRDefault="00797664" w:rsidP="00D03285">
      <w:pPr>
        <w:autoSpaceDE w:val="0"/>
        <w:autoSpaceDN w:val="0"/>
        <w:spacing w:line="360" w:lineRule="auto"/>
        <w:jc w:val="both"/>
        <w:rPr>
          <w:rFonts w:eastAsiaTheme="minorEastAsia" w:cs="Arial"/>
          <w:kern w:val="2"/>
          <w:szCs w:val="20"/>
          <w:lang w:val="en-US" w:eastAsia="zh-CN"/>
        </w:rPr>
      </w:pPr>
      <w:r w:rsidRPr="00D03285">
        <w:rPr>
          <w:rFonts w:eastAsiaTheme="minorEastAsia" w:cs="Arial"/>
          <w:kern w:val="2"/>
          <w:szCs w:val="20"/>
          <w:lang w:val="en-US" w:eastAsia="zh-CN"/>
        </w:rPr>
        <w:br w:type="page"/>
      </w:r>
    </w:p>
    <w:p w14:paraId="026C1AC8" w14:textId="7DF048DF" w:rsidR="001A224C" w:rsidRDefault="001A224C" w:rsidP="00780C75">
      <w:pPr>
        <w:autoSpaceDE w:val="0"/>
        <w:autoSpaceDN w:val="0"/>
        <w:adjustRightInd w:val="0"/>
        <w:snapToGrid w:val="0"/>
        <w:spacing w:beforeLines="150" w:before="468" w:line="360" w:lineRule="auto"/>
        <w:jc w:val="both"/>
        <w:rPr>
          <w:rFonts w:ascii="Calibri" w:eastAsiaTheme="minorEastAsia" w:hAnsi="Calibri" w:cs="Calibri"/>
          <w:b/>
          <w:bCs/>
          <w:kern w:val="2"/>
          <w:sz w:val="24"/>
          <w:lang w:val="en-US" w:eastAsia="zh-CN"/>
        </w:rPr>
      </w:pPr>
      <w:r>
        <w:rPr>
          <w:noProof/>
        </w:rPr>
        <w:lastRenderedPageBreak/>
        <w:drawing>
          <wp:inline distT="0" distB="0" distL="0" distR="0" wp14:anchorId="0C7EF18A" wp14:editId="4D07BBBD">
            <wp:extent cx="5269858" cy="3839613"/>
            <wp:effectExtent l="0" t="0" r="7620" b="8890"/>
            <wp:docPr id="76129150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811" cy="385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50EF4A" w14:textId="77777777" w:rsidR="00E5059F" w:rsidRPr="00E5059F" w:rsidRDefault="00E5059F" w:rsidP="00E5059F">
      <w:pPr>
        <w:autoSpaceDE w:val="0"/>
        <w:autoSpaceDN w:val="0"/>
        <w:spacing w:beforeLines="50" w:before="156" w:line="360" w:lineRule="auto"/>
        <w:jc w:val="both"/>
        <w:rPr>
          <w:rFonts w:eastAsiaTheme="minorEastAsia" w:cs="Arial"/>
          <w:kern w:val="2"/>
          <w:szCs w:val="20"/>
          <w:lang w:val="en-US" w:eastAsia="zh-CN"/>
        </w:rPr>
      </w:pPr>
      <w:r w:rsidRPr="00E5059F">
        <w:rPr>
          <w:rFonts w:eastAsiaTheme="minorEastAsia" w:cs="Arial"/>
          <w:b/>
          <w:bCs/>
          <w:kern w:val="2"/>
          <w:szCs w:val="20"/>
          <w:lang w:val="en-US" w:eastAsia="zh-CN"/>
        </w:rPr>
        <w:t>Figure S3.</w:t>
      </w:r>
      <w:r w:rsidRPr="00E5059F">
        <w:rPr>
          <w:rFonts w:eastAsiaTheme="minorEastAsia" w:cs="Arial"/>
          <w:kern w:val="2"/>
          <w:szCs w:val="20"/>
          <w:lang w:val="en-US" w:eastAsia="zh-CN"/>
        </w:rPr>
        <w:t xml:space="preserve"> Time to first rescue analgesia requirement between study groups.</w:t>
      </w:r>
    </w:p>
    <w:p w14:paraId="76F8D7CD" w14:textId="77777777" w:rsidR="00E5059F" w:rsidRPr="00E5059F" w:rsidRDefault="00E5059F" w:rsidP="00E5059F">
      <w:pPr>
        <w:autoSpaceDE w:val="0"/>
        <w:autoSpaceDN w:val="0"/>
        <w:spacing w:beforeLines="25" w:before="78" w:line="360" w:lineRule="auto"/>
        <w:jc w:val="both"/>
        <w:rPr>
          <w:rFonts w:eastAsiaTheme="minorEastAsia" w:cs="Arial"/>
          <w:kern w:val="2"/>
          <w:szCs w:val="20"/>
          <w:lang w:val="en-US" w:eastAsia="zh-CN"/>
        </w:rPr>
      </w:pPr>
      <w:r w:rsidRPr="00E5059F">
        <w:rPr>
          <w:rFonts w:eastAsiaTheme="minorEastAsia" w:cs="Arial"/>
          <w:kern w:val="2"/>
          <w:szCs w:val="20"/>
          <w:lang w:val="en-US" w:eastAsia="zh-CN"/>
        </w:rPr>
        <w:t>Kaplan-Meier curves demonstrate cumulative incidence of rescue analgesia requirement over 48 hours post-surgery for control (blue) and intrathecal (orange) groups. The analysis reveals significantly lower rescue analgesia needs in the intrathecal group (hazard ratio: 0.18, 95% CI 0.10–0.32; p &lt; 0.001). Censored observations (+) indicate patients who did not require rescue analgesia during follow-up, with the intrathecal group maintaining a higher proportion of analgesia-free patients throughout the observation period.</w:t>
      </w:r>
    </w:p>
    <w:p w14:paraId="780F1336" w14:textId="437BBF4B" w:rsidR="001A224C" w:rsidRPr="009B638A" w:rsidRDefault="00E5059F" w:rsidP="00E5059F">
      <w:pPr>
        <w:autoSpaceDE w:val="0"/>
        <w:autoSpaceDN w:val="0"/>
        <w:spacing w:line="360" w:lineRule="auto"/>
        <w:jc w:val="both"/>
        <w:rPr>
          <w:rFonts w:eastAsiaTheme="minorEastAsia" w:cs="Arial"/>
          <w:kern w:val="2"/>
          <w:szCs w:val="20"/>
          <w:lang w:eastAsia="zh-CN"/>
        </w:rPr>
      </w:pPr>
      <w:r w:rsidRPr="00E5059F">
        <w:rPr>
          <w:rFonts w:eastAsiaTheme="minorEastAsia" w:cs="Arial"/>
          <w:kern w:val="2"/>
          <w:szCs w:val="20"/>
          <w:lang w:val="en-US" w:eastAsia="zh-CN"/>
        </w:rPr>
        <w:t>Abbreviations: CI: Confidence Interval.</w:t>
      </w:r>
      <w:r w:rsidR="001A224C" w:rsidRPr="009B638A">
        <w:rPr>
          <w:rFonts w:eastAsiaTheme="minorEastAsia" w:cs="Arial"/>
          <w:kern w:val="2"/>
          <w:szCs w:val="20"/>
          <w:lang w:eastAsia="zh-CN"/>
        </w:rPr>
        <w:br w:type="page"/>
      </w:r>
    </w:p>
    <w:p w14:paraId="7724AC17" w14:textId="77777777" w:rsidR="001A224C" w:rsidRDefault="001A224C" w:rsidP="00780C75">
      <w:pPr>
        <w:autoSpaceDE w:val="0"/>
        <w:autoSpaceDN w:val="0"/>
        <w:adjustRightInd w:val="0"/>
        <w:snapToGrid w:val="0"/>
        <w:spacing w:beforeLines="150" w:before="468" w:line="360" w:lineRule="auto"/>
        <w:jc w:val="both"/>
        <w:rPr>
          <w:rFonts w:ascii="Calibri" w:eastAsiaTheme="minorEastAsia" w:hAnsi="Calibri" w:cs="Calibri"/>
          <w:b/>
          <w:bCs/>
          <w:kern w:val="2"/>
          <w:sz w:val="24"/>
          <w:lang w:eastAsia="zh-CN"/>
        </w:rPr>
      </w:pPr>
      <w:r>
        <w:rPr>
          <w:noProof/>
        </w:rPr>
        <w:lastRenderedPageBreak/>
        <w:drawing>
          <wp:inline distT="0" distB="0" distL="0" distR="0" wp14:anchorId="35E06B83" wp14:editId="24BBA077">
            <wp:extent cx="5256717" cy="3824139"/>
            <wp:effectExtent l="0" t="0" r="1270" b="5080"/>
            <wp:docPr id="212593192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535" cy="3840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2504EE" w14:textId="77777777" w:rsidR="00E5059F" w:rsidRPr="00E5059F" w:rsidRDefault="00E5059F" w:rsidP="00E5059F">
      <w:pPr>
        <w:autoSpaceDE w:val="0"/>
        <w:autoSpaceDN w:val="0"/>
        <w:spacing w:beforeLines="50" w:before="156" w:line="360" w:lineRule="auto"/>
        <w:jc w:val="both"/>
        <w:rPr>
          <w:rFonts w:eastAsiaTheme="minorEastAsia" w:cs="Arial"/>
          <w:kern w:val="2"/>
          <w:szCs w:val="20"/>
          <w:lang w:eastAsia="zh-CN"/>
        </w:rPr>
      </w:pPr>
      <w:r w:rsidRPr="00E5059F">
        <w:rPr>
          <w:rFonts w:eastAsiaTheme="minorEastAsia" w:cs="Arial"/>
          <w:b/>
          <w:bCs/>
          <w:kern w:val="2"/>
          <w:szCs w:val="20"/>
          <w:lang w:eastAsia="zh-CN"/>
        </w:rPr>
        <w:t xml:space="preserve">Figure S4. </w:t>
      </w:r>
      <w:r w:rsidRPr="00E5059F">
        <w:rPr>
          <w:rFonts w:eastAsiaTheme="minorEastAsia" w:cs="Arial"/>
          <w:kern w:val="2"/>
          <w:szCs w:val="20"/>
          <w:lang w:eastAsia="zh-CN"/>
        </w:rPr>
        <w:t>Time to diet resumption comparison between study groups.</w:t>
      </w:r>
    </w:p>
    <w:p w14:paraId="1A0EBF83" w14:textId="671AB923" w:rsidR="00FD283F" w:rsidRPr="00E5059F" w:rsidRDefault="00E5059F" w:rsidP="00E5059F">
      <w:pPr>
        <w:autoSpaceDE w:val="0"/>
        <w:autoSpaceDN w:val="0"/>
        <w:spacing w:beforeLines="25" w:before="78" w:line="360" w:lineRule="auto"/>
        <w:jc w:val="both"/>
        <w:rPr>
          <w:rFonts w:eastAsiaTheme="minorEastAsia" w:cs="Arial"/>
          <w:kern w:val="2"/>
          <w:szCs w:val="20"/>
          <w:lang w:eastAsia="zh-CN"/>
        </w:rPr>
      </w:pPr>
      <w:r w:rsidRPr="00E5059F">
        <w:rPr>
          <w:rFonts w:eastAsiaTheme="minorEastAsia" w:cs="Arial"/>
          <w:kern w:val="2"/>
          <w:szCs w:val="20"/>
          <w:lang w:eastAsia="zh-CN"/>
        </w:rPr>
        <w:t xml:space="preserve">Kaplan-Meier curves illustrate cumulative incidence of diet resumption over 72 hours post-surgery for control (blue) and intrathecal (orange) groups. The analysis shows no significant difference between groups in time to diet resumption (log-rank test, p </w:t>
      </w:r>
      <w:r w:rsidR="00217462">
        <w:rPr>
          <w:rFonts w:eastAsiaTheme="minorEastAsia" w:cs="Arial" w:hint="eastAsia"/>
          <w:kern w:val="2"/>
          <w:szCs w:val="20"/>
          <w:lang w:eastAsia="zh-CN"/>
        </w:rPr>
        <w:t>=</w:t>
      </w:r>
      <w:r w:rsidRPr="00E5059F">
        <w:rPr>
          <w:rFonts w:eastAsiaTheme="minorEastAsia" w:cs="Arial"/>
          <w:kern w:val="2"/>
          <w:szCs w:val="20"/>
          <w:lang w:eastAsia="zh-CN"/>
        </w:rPr>
        <w:t xml:space="preserve"> 0.</w:t>
      </w:r>
      <w:r w:rsidR="00217462">
        <w:rPr>
          <w:rFonts w:eastAsiaTheme="minorEastAsia" w:cs="Arial" w:hint="eastAsia"/>
          <w:kern w:val="2"/>
          <w:szCs w:val="20"/>
          <w:lang w:eastAsia="zh-CN"/>
        </w:rPr>
        <w:t>797</w:t>
      </w:r>
      <w:r w:rsidRPr="00E5059F">
        <w:rPr>
          <w:rFonts w:eastAsiaTheme="minorEastAsia" w:cs="Arial"/>
          <w:kern w:val="2"/>
          <w:szCs w:val="20"/>
          <w:lang w:eastAsia="zh-CN"/>
        </w:rPr>
        <w:t>). Similar trajectory patterns suggest that intrathecal morphine intervention did not influence this recovery milestone. Censored observations (+) represent patients who had not resumed diet during the follow-up period.</w:t>
      </w:r>
      <w:r w:rsidR="00FD283F" w:rsidRPr="00E5059F">
        <w:rPr>
          <w:rFonts w:eastAsiaTheme="minorEastAsia" w:cs="Arial"/>
          <w:kern w:val="2"/>
          <w:szCs w:val="20"/>
          <w:lang w:eastAsia="zh-CN"/>
        </w:rPr>
        <w:t xml:space="preserve"> </w:t>
      </w:r>
    </w:p>
    <w:p w14:paraId="7198D052" w14:textId="4285976B" w:rsidR="001A224C" w:rsidRDefault="001A224C" w:rsidP="00147792">
      <w:pPr>
        <w:autoSpaceDE w:val="0"/>
        <w:autoSpaceDN w:val="0"/>
        <w:spacing w:beforeLines="50" w:before="156" w:line="360" w:lineRule="auto"/>
        <w:jc w:val="both"/>
        <w:rPr>
          <w:rFonts w:ascii="Calibri" w:eastAsiaTheme="minorEastAsia" w:hAnsi="Calibri" w:cs="Calibri"/>
          <w:kern w:val="2"/>
          <w:sz w:val="24"/>
          <w:lang w:eastAsia="zh-CN"/>
        </w:rPr>
      </w:pPr>
      <w:r>
        <w:rPr>
          <w:rFonts w:ascii="Calibri" w:eastAsiaTheme="minorEastAsia" w:hAnsi="Calibri" w:cs="Calibri"/>
          <w:kern w:val="2"/>
          <w:sz w:val="24"/>
          <w:lang w:eastAsia="zh-CN"/>
        </w:rPr>
        <w:br w:type="page"/>
      </w:r>
    </w:p>
    <w:p w14:paraId="79D775B4" w14:textId="73506FD9" w:rsidR="00780C75" w:rsidRPr="00E3122B" w:rsidRDefault="001A224C" w:rsidP="00780C75">
      <w:pPr>
        <w:autoSpaceDE w:val="0"/>
        <w:autoSpaceDN w:val="0"/>
        <w:adjustRightInd w:val="0"/>
        <w:snapToGrid w:val="0"/>
        <w:spacing w:beforeLines="50" w:before="156" w:line="360" w:lineRule="auto"/>
        <w:jc w:val="both"/>
        <w:rPr>
          <w:rFonts w:ascii="Calibri" w:eastAsiaTheme="minorEastAsia" w:hAnsi="Calibri" w:cs="Calibri"/>
          <w:kern w:val="2"/>
          <w:sz w:val="24"/>
          <w:lang w:val="en-US" w:eastAsia="zh-CN"/>
        </w:rPr>
      </w:pPr>
      <w:r>
        <w:rPr>
          <w:noProof/>
        </w:rPr>
        <w:lastRenderedPageBreak/>
        <w:drawing>
          <wp:inline distT="0" distB="0" distL="0" distR="0" wp14:anchorId="483AE78B" wp14:editId="7DC90B18">
            <wp:extent cx="5260116" cy="3826612"/>
            <wp:effectExtent l="0" t="0" r="0" b="2540"/>
            <wp:docPr id="79072337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440" cy="3834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515B6" w14:textId="77777777" w:rsidR="00E5059F" w:rsidRPr="00E5059F" w:rsidRDefault="00E5059F" w:rsidP="00E5059F">
      <w:pPr>
        <w:autoSpaceDE w:val="0"/>
        <w:autoSpaceDN w:val="0"/>
        <w:spacing w:beforeLines="50" w:before="156" w:line="360" w:lineRule="auto"/>
        <w:jc w:val="both"/>
        <w:rPr>
          <w:rFonts w:eastAsiaTheme="minorEastAsia" w:cs="Arial"/>
          <w:kern w:val="2"/>
          <w:szCs w:val="20"/>
          <w:lang w:val="en-US" w:eastAsia="zh-CN"/>
        </w:rPr>
      </w:pPr>
      <w:r w:rsidRPr="00E5059F">
        <w:rPr>
          <w:rFonts w:eastAsiaTheme="minorEastAsia" w:cs="Arial"/>
          <w:b/>
          <w:bCs/>
          <w:kern w:val="2"/>
          <w:szCs w:val="20"/>
          <w:lang w:val="en-US" w:eastAsia="zh-CN"/>
        </w:rPr>
        <w:t xml:space="preserve">Figure S5. </w:t>
      </w:r>
      <w:r w:rsidRPr="00E5059F">
        <w:rPr>
          <w:rFonts w:eastAsiaTheme="minorEastAsia" w:cs="Arial"/>
          <w:kern w:val="2"/>
          <w:szCs w:val="20"/>
          <w:lang w:val="en-US" w:eastAsia="zh-CN"/>
        </w:rPr>
        <w:t>Time to first ambulation comparison between study groups.</w:t>
      </w:r>
    </w:p>
    <w:p w14:paraId="6725729F" w14:textId="170524F7" w:rsidR="001A224C" w:rsidRPr="00FD283F" w:rsidRDefault="00E5059F" w:rsidP="00E5059F">
      <w:pPr>
        <w:autoSpaceDE w:val="0"/>
        <w:autoSpaceDN w:val="0"/>
        <w:spacing w:beforeLines="25" w:before="78" w:line="360" w:lineRule="auto"/>
        <w:jc w:val="both"/>
        <w:rPr>
          <w:rFonts w:eastAsiaTheme="minorEastAsia" w:cs="Arial"/>
          <w:kern w:val="2"/>
          <w:szCs w:val="20"/>
          <w:lang w:val="en-US" w:eastAsia="zh-CN"/>
        </w:rPr>
      </w:pPr>
      <w:r w:rsidRPr="00E5059F">
        <w:rPr>
          <w:rFonts w:eastAsiaTheme="minorEastAsia" w:cs="Arial"/>
          <w:kern w:val="2"/>
          <w:szCs w:val="20"/>
          <w:lang w:val="en-US" w:eastAsia="zh-CN"/>
        </w:rPr>
        <w:t xml:space="preserve">Kaplan-Meier curves demonstrate cumulative incidence of first ambulation over 72 hours post-surgery for control (blue) and intrathecal (orange) groups. Analysis reveals no significant difference between groups (log-rank test, p </w:t>
      </w:r>
      <w:r w:rsidR="00217462">
        <w:rPr>
          <w:rFonts w:eastAsiaTheme="minorEastAsia" w:cs="Arial" w:hint="eastAsia"/>
          <w:kern w:val="2"/>
          <w:szCs w:val="20"/>
          <w:lang w:val="en-US" w:eastAsia="zh-CN"/>
        </w:rPr>
        <w:t>=</w:t>
      </w:r>
      <w:r w:rsidRPr="00E5059F">
        <w:rPr>
          <w:rFonts w:eastAsiaTheme="minorEastAsia" w:cs="Arial"/>
          <w:kern w:val="2"/>
          <w:szCs w:val="20"/>
          <w:lang w:val="en-US" w:eastAsia="zh-CN"/>
        </w:rPr>
        <w:t xml:space="preserve"> 0.</w:t>
      </w:r>
      <w:r w:rsidR="00217462">
        <w:rPr>
          <w:rFonts w:eastAsiaTheme="minorEastAsia" w:cs="Arial" w:hint="eastAsia"/>
          <w:kern w:val="2"/>
          <w:szCs w:val="20"/>
          <w:lang w:val="en-US" w:eastAsia="zh-CN"/>
        </w:rPr>
        <w:t>59</w:t>
      </w:r>
      <w:r w:rsidRPr="00E5059F">
        <w:rPr>
          <w:rFonts w:eastAsiaTheme="minorEastAsia" w:cs="Arial"/>
          <w:kern w:val="2"/>
          <w:szCs w:val="20"/>
          <w:lang w:val="en-US" w:eastAsia="zh-CN"/>
        </w:rPr>
        <w:t>5). Similar trajectory patterns indicate that intrathecal morphine intervention did not affect timing of this key recovery milestone. Censored observations (+) represent patients who had not achieved ambulation during the follow-up period.</w:t>
      </w:r>
      <w:r w:rsidR="001A224C" w:rsidRPr="00FD283F">
        <w:rPr>
          <w:rFonts w:eastAsiaTheme="minorEastAsia" w:cs="Arial"/>
          <w:kern w:val="2"/>
          <w:szCs w:val="20"/>
          <w:lang w:val="en-US" w:eastAsia="zh-CN"/>
        </w:rPr>
        <w:br w:type="page"/>
      </w:r>
    </w:p>
    <w:p w14:paraId="7F63E19A" w14:textId="635154A8" w:rsidR="00780C75" w:rsidRPr="001746E3" w:rsidRDefault="001A224C" w:rsidP="00780C75">
      <w:pPr>
        <w:autoSpaceDE w:val="0"/>
        <w:autoSpaceDN w:val="0"/>
        <w:adjustRightInd w:val="0"/>
        <w:snapToGrid w:val="0"/>
        <w:spacing w:beforeLines="50" w:before="156" w:line="360" w:lineRule="auto"/>
        <w:jc w:val="both"/>
        <w:rPr>
          <w:rFonts w:ascii="Calibri" w:eastAsiaTheme="minorEastAsia" w:hAnsi="Calibri" w:cs="Calibri"/>
          <w:kern w:val="2"/>
          <w:sz w:val="24"/>
          <w:lang w:val="en-US" w:eastAsia="zh-CN"/>
        </w:rPr>
      </w:pPr>
      <w:r>
        <w:rPr>
          <w:noProof/>
        </w:rPr>
        <w:lastRenderedPageBreak/>
        <w:drawing>
          <wp:inline distT="0" distB="0" distL="0" distR="0" wp14:anchorId="371E10E2" wp14:editId="472BFE56">
            <wp:extent cx="5254160" cy="3822279"/>
            <wp:effectExtent l="0" t="0" r="3810" b="6985"/>
            <wp:docPr id="123787855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039" cy="3831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D828B" w14:textId="78F06BDB" w:rsidR="00E5059F" w:rsidRPr="00E5059F" w:rsidRDefault="00780C75" w:rsidP="00E5059F">
      <w:pPr>
        <w:autoSpaceDE w:val="0"/>
        <w:autoSpaceDN w:val="0"/>
        <w:spacing w:beforeLines="50" w:before="156" w:line="360" w:lineRule="auto"/>
        <w:jc w:val="both"/>
        <w:rPr>
          <w:rFonts w:eastAsiaTheme="minorEastAsia" w:cs="Arial"/>
          <w:b/>
          <w:kern w:val="2"/>
          <w:szCs w:val="20"/>
          <w:lang w:val="en-US" w:eastAsia="zh-CN"/>
        </w:rPr>
      </w:pPr>
      <w:r w:rsidRPr="00526E77">
        <w:rPr>
          <w:rFonts w:eastAsiaTheme="minorEastAsia" w:cs="Arial"/>
          <w:b/>
          <w:bCs/>
          <w:kern w:val="2"/>
          <w:szCs w:val="20"/>
          <w:lang w:val="en-US" w:eastAsia="zh-CN"/>
        </w:rPr>
        <w:t>Figure S6</w:t>
      </w:r>
      <w:r w:rsidR="00E5059F" w:rsidRPr="00E5059F">
        <w:rPr>
          <w:rFonts w:eastAsiaTheme="minorEastAsia" w:cs="Arial"/>
          <w:b/>
          <w:kern w:val="2"/>
          <w:szCs w:val="20"/>
          <w:lang w:val="en-US" w:eastAsia="zh-CN"/>
        </w:rPr>
        <w:t xml:space="preserve">. </w:t>
      </w:r>
      <w:r w:rsidR="00E5059F" w:rsidRPr="00E5059F">
        <w:rPr>
          <w:rFonts w:eastAsiaTheme="minorEastAsia" w:cs="Arial"/>
          <w:bCs/>
          <w:kern w:val="2"/>
          <w:szCs w:val="20"/>
          <w:lang w:val="en-US" w:eastAsia="zh-CN"/>
        </w:rPr>
        <w:t>Time to first flatus comparison between study groups.</w:t>
      </w:r>
    </w:p>
    <w:p w14:paraId="1BAEFE59" w14:textId="59870872" w:rsidR="001A224C" w:rsidRDefault="00E5059F" w:rsidP="00E5059F">
      <w:pPr>
        <w:autoSpaceDE w:val="0"/>
        <w:autoSpaceDN w:val="0"/>
        <w:spacing w:beforeLines="25" w:before="78" w:line="360" w:lineRule="auto"/>
        <w:jc w:val="both"/>
        <w:rPr>
          <w:rFonts w:ascii="Calibri" w:eastAsiaTheme="minorEastAsia" w:hAnsi="Calibri" w:cs="Calibri"/>
          <w:kern w:val="2"/>
          <w:sz w:val="24"/>
          <w:lang w:val="en-US" w:eastAsia="zh-CN"/>
        </w:rPr>
      </w:pPr>
      <w:r w:rsidRPr="00E5059F">
        <w:rPr>
          <w:rFonts w:eastAsiaTheme="minorEastAsia" w:cs="Arial"/>
          <w:bCs/>
          <w:kern w:val="2"/>
          <w:szCs w:val="20"/>
          <w:lang w:val="en-US" w:eastAsia="zh-CN"/>
        </w:rPr>
        <w:t xml:space="preserve">Kaplan-Meier curves illustrate cumulative incidence of first flatus over 72 hours post-surgery for control (blue) and intrathecal (orange) groups. Analysis shows no significant difference between groups (log-rank test, p </w:t>
      </w:r>
      <w:r w:rsidR="00217462">
        <w:rPr>
          <w:rFonts w:eastAsiaTheme="minorEastAsia" w:cs="Arial" w:hint="eastAsia"/>
          <w:bCs/>
          <w:kern w:val="2"/>
          <w:szCs w:val="20"/>
          <w:lang w:val="en-US" w:eastAsia="zh-CN"/>
        </w:rPr>
        <w:t>=</w:t>
      </w:r>
      <w:r w:rsidRPr="00E5059F">
        <w:rPr>
          <w:rFonts w:eastAsiaTheme="minorEastAsia" w:cs="Arial"/>
          <w:bCs/>
          <w:kern w:val="2"/>
          <w:szCs w:val="20"/>
          <w:lang w:val="en-US" w:eastAsia="zh-CN"/>
        </w:rPr>
        <w:t xml:space="preserve"> 0.</w:t>
      </w:r>
      <w:r w:rsidR="00217462">
        <w:rPr>
          <w:rFonts w:eastAsiaTheme="minorEastAsia" w:cs="Arial" w:hint="eastAsia"/>
          <w:bCs/>
          <w:kern w:val="2"/>
          <w:szCs w:val="20"/>
          <w:lang w:val="en-US" w:eastAsia="zh-CN"/>
        </w:rPr>
        <w:t>794</w:t>
      </w:r>
      <w:r w:rsidRPr="00E5059F">
        <w:rPr>
          <w:rFonts w:eastAsiaTheme="minorEastAsia" w:cs="Arial"/>
          <w:bCs/>
          <w:kern w:val="2"/>
          <w:szCs w:val="20"/>
          <w:lang w:val="en-US" w:eastAsia="zh-CN"/>
        </w:rPr>
        <w:t>). Similar trajectory patterns indicate that intrathecal morphine intervention did not influence bowel function recovery timing. Censored observations (+) represent patients who had not experienced first flatus during the follow-up period.</w:t>
      </w:r>
      <w:r w:rsidR="001A224C">
        <w:rPr>
          <w:rFonts w:ascii="Calibri" w:eastAsiaTheme="minorEastAsia" w:hAnsi="Calibri" w:cs="Calibri"/>
          <w:kern w:val="2"/>
          <w:sz w:val="24"/>
          <w:lang w:val="en-US" w:eastAsia="zh-CN"/>
        </w:rPr>
        <w:br w:type="page"/>
      </w:r>
    </w:p>
    <w:p w14:paraId="42940A1D" w14:textId="7F9B2D72" w:rsidR="00780C75" w:rsidRPr="00AB1EB5" w:rsidRDefault="001A224C" w:rsidP="00780C75">
      <w:pPr>
        <w:autoSpaceDE w:val="0"/>
        <w:autoSpaceDN w:val="0"/>
        <w:adjustRightInd w:val="0"/>
        <w:snapToGrid w:val="0"/>
        <w:spacing w:beforeLines="50" w:before="156" w:line="360" w:lineRule="auto"/>
        <w:jc w:val="both"/>
        <w:rPr>
          <w:rFonts w:ascii="Calibri" w:eastAsiaTheme="minorEastAsia" w:hAnsi="Calibri" w:cs="Calibri"/>
          <w:kern w:val="2"/>
          <w:sz w:val="24"/>
          <w:lang w:val="en-US" w:eastAsia="zh-CN"/>
        </w:rPr>
      </w:pPr>
      <w:r>
        <w:rPr>
          <w:noProof/>
        </w:rPr>
        <w:lastRenderedPageBreak/>
        <w:drawing>
          <wp:inline distT="0" distB="0" distL="0" distR="0" wp14:anchorId="34F1B4EC" wp14:editId="0851DA2F">
            <wp:extent cx="5235049" cy="3808376"/>
            <wp:effectExtent l="0" t="0" r="3810" b="1905"/>
            <wp:docPr id="168764766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703" cy="3832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65F537" w14:textId="77777777" w:rsidR="00E5059F" w:rsidRPr="00E5059F" w:rsidRDefault="00E5059F" w:rsidP="00E5059F">
      <w:pPr>
        <w:autoSpaceDE w:val="0"/>
        <w:autoSpaceDN w:val="0"/>
        <w:spacing w:beforeLines="50" w:before="156" w:line="360" w:lineRule="auto"/>
        <w:jc w:val="both"/>
        <w:rPr>
          <w:rFonts w:eastAsiaTheme="minorEastAsia" w:cs="Arial"/>
          <w:kern w:val="2"/>
          <w:szCs w:val="20"/>
          <w:lang w:val="en-US" w:eastAsia="zh-CN"/>
        </w:rPr>
      </w:pPr>
      <w:r w:rsidRPr="00E5059F">
        <w:rPr>
          <w:rFonts w:eastAsiaTheme="minorEastAsia" w:cs="Arial"/>
          <w:b/>
          <w:bCs/>
          <w:kern w:val="2"/>
          <w:szCs w:val="20"/>
          <w:lang w:val="en-US" w:eastAsia="zh-CN"/>
        </w:rPr>
        <w:t xml:space="preserve">Figure S7. </w:t>
      </w:r>
      <w:r w:rsidRPr="00E5059F">
        <w:rPr>
          <w:rFonts w:eastAsiaTheme="minorEastAsia" w:cs="Arial"/>
          <w:kern w:val="2"/>
          <w:szCs w:val="20"/>
          <w:lang w:val="en-US" w:eastAsia="zh-CN"/>
        </w:rPr>
        <w:t>Time to urinary catheter removal comparison between study groups.</w:t>
      </w:r>
    </w:p>
    <w:p w14:paraId="4DE522D0" w14:textId="5B206777" w:rsidR="00E5059F" w:rsidRPr="00E5059F" w:rsidRDefault="00E5059F" w:rsidP="00E5059F">
      <w:pPr>
        <w:autoSpaceDE w:val="0"/>
        <w:autoSpaceDN w:val="0"/>
        <w:spacing w:beforeLines="25" w:before="78" w:line="360" w:lineRule="auto"/>
        <w:jc w:val="both"/>
        <w:rPr>
          <w:rFonts w:eastAsiaTheme="minorEastAsia" w:cs="Arial"/>
          <w:kern w:val="2"/>
          <w:szCs w:val="20"/>
          <w:lang w:val="en-US" w:eastAsia="zh-CN"/>
        </w:rPr>
      </w:pPr>
      <w:r w:rsidRPr="00E5059F">
        <w:rPr>
          <w:rFonts w:eastAsiaTheme="minorEastAsia" w:cs="Arial"/>
          <w:kern w:val="2"/>
          <w:szCs w:val="20"/>
          <w:lang w:val="en-US" w:eastAsia="zh-CN"/>
        </w:rPr>
        <w:t xml:space="preserve">Kaplan-Meier curves demonstrate cumulative incidence of urinary catheter removal over 72 hours post-surgery for control (blue) and intrathecal (orange) groups. Analysis reveals no significant difference between groups (log-rank test, p </w:t>
      </w:r>
      <w:r w:rsidR="00660654">
        <w:rPr>
          <w:rFonts w:eastAsiaTheme="minorEastAsia" w:cs="Arial" w:hint="eastAsia"/>
          <w:kern w:val="2"/>
          <w:szCs w:val="20"/>
          <w:lang w:val="en-US" w:eastAsia="zh-CN"/>
        </w:rPr>
        <w:t>=</w:t>
      </w:r>
      <w:r w:rsidRPr="00E5059F">
        <w:rPr>
          <w:rFonts w:eastAsiaTheme="minorEastAsia" w:cs="Arial"/>
          <w:kern w:val="2"/>
          <w:szCs w:val="20"/>
          <w:lang w:val="en-US" w:eastAsia="zh-CN"/>
        </w:rPr>
        <w:t xml:space="preserve"> 0.</w:t>
      </w:r>
      <w:r w:rsidR="00660654">
        <w:rPr>
          <w:rFonts w:eastAsiaTheme="minorEastAsia" w:cs="Arial" w:hint="eastAsia"/>
          <w:kern w:val="2"/>
          <w:szCs w:val="20"/>
          <w:lang w:val="en-US" w:eastAsia="zh-CN"/>
        </w:rPr>
        <w:t>91</w:t>
      </w:r>
      <w:r w:rsidR="00C6582E">
        <w:rPr>
          <w:rFonts w:eastAsiaTheme="minorEastAsia" w:cs="Arial" w:hint="eastAsia"/>
          <w:kern w:val="2"/>
          <w:szCs w:val="20"/>
          <w:lang w:val="en-US" w:eastAsia="zh-CN"/>
        </w:rPr>
        <w:t>0</w:t>
      </w:r>
      <w:r w:rsidRPr="00E5059F">
        <w:rPr>
          <w:rFonts w:eastAsiaTheme="minorEastAsia" w:cs="Arial"/>
          <w:kern w:val="2"/>
          <w:szCs w:val="20"/>
          <w:lang w:val="en-US" w:eastAsia="zh-CN"/>
        </w:rPr>
        <w:t>). Similar trajectory patterns indicate that intrathecal morphine intervention did not affect catheter removal timing during postoperative recovery. Censored observations (+) represent patients whose catheters remained in place during the follow-up period.</w:t>
      </w:r>
    </w:p>
    <w:sectPr w:rsidR="00E5059F" w:rsidRPr="00E505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D6BE38" w14:textId="77777777" w:rsidR="00E63117" w:rsidRDefault="00E63117" w:rsidP="003722DB">
      <w:pPr>
        <w:spacing w:line="240" w:lineRule="auto"/>
      </w:pPr>
      <w:r>
        <w:separator/>
      </w:r>
    </w:p>
  </w:endnote>
  <w:endnote w:type="continuationSeparator" w:id="0">
    <w:p w14:paraId="4FD25CE7" w14:textId="77777777" w:rsidR="00E63117" w:rsidRDefault="00E63117" w:rsidP="003722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FD02BA" w14:textId="77777777" w:rsidR="00E63117" w:rsidRDefault="00E63117" w:rsidP="003722DB">
      <w:pPr>
        <w:spacing w:line="240" w:lineRule="auto"/>
      </w:pPr>
      <w:r>
        <w:separator/>
      </w:r>
    </w:p>
  </w:footnote>
  <w:footnote w:type="continuationSeparator" w:id="0">
    <w:p w14:paraId="4ECB9A4E" w14:textId="77777777" w:rsidR="00E63117" w:rsidRDefault="00E63117" w:rsidP="003722D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13889"/>
    <w:multiLevelType w:val="multilevel"/>
    <w:tmpl w:val="C114927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615010FD"/>
    <w:multiLevelType w:val="hybridMultilevel"/>
    <w:tmpl w:val="52666EEE"/>
    <w:lvl w:ilvl="0" w:tplc="81B68C3C">
      <w:start w:val="1"/>
      <w:numFmt w:val="upperLetter"/>
      <w:lvlText w:val="(%1)"/>
      <w:lvlJc w:val="left"/>
      <w:pPr>
        <w:ind w:left="36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80238837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2635213">
    <w:abstractNumId w:val="0"/>
  </w:num>
  <w:num w:numId="3" w16cid:durableId="1828469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czM7Q0MjE3NTcyNbdU0lEKTi0uzszPAykwNqoFADx6LuwtAAAA"/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Numbered&lt;/Style&gt;&lt;LeftDelim&gt;{&lt;/LeftDelim&gt;&lt;RightDelim&gt;}&lt;/RightDelim&gt;&lt;FontName&gt;Arial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rtvrrz58pxp2uefe06psseyfar9frv99prv&quot;&gt;My EndNote Library&lt;record-ids&gt;&lt;item&gt;43&lt;/item&gt;&lt;item&gt;44&lt;/item&gt;&lt;item&gt;45&lt;/item&gt;&lt;item&gt;47&lt;/item&gt;&lt;item&gt;49&lt;/item&gt;&lt;item&gt;50&lt;/item&gt;&lt;item&gt;51&lt;/item&gt;&lt;item&gt;52&lt;/item&gt;&lt;item&gt;55&lt;/item&gt;&lt;item&gt;58&lt;/item&gt;&lt;item&gt;59&lt;/item&gt;&lt;item&gt;60&lt;/item&gt;&lt;item&gt;61&lt;/item&gt;&lt;item&gt;64&lt;/item&gt;&lt;item&gt;65&lt;/item&gt;&lt;item&gt;72&lt;/item&gt;&lt;item&gt;73&lt;/item&gt;&lt;item&gt;74&lt;/item&gt;&lt;item&gt;75&lt;/item&gt;&lt;item&gt;76&lt;/item&gt;&lt;item&gt;77&lt;/item&gt;&lt;/record-ids&gt;&lt;/item&gt;&lt;/Libraries&gt;"/>
  </w:docVars>
  <w:rsids>
    <w:rsidRoot w:val="00AA22F6"/>
    <w:rsid w:val="000010C8"/>
    <w:rsid w:val="000016AB"/>
    <w:rsid w:val="0000486F"/>
    <w:rsid w:val="000063D7"/>
    <w:rsid w:val="00011408"/>
    <w:rsid w:val="00011756"/>
    <w:rsid w:val="00012D25"/>
    <w:rsid w:val="00013AC2"/>
    <w:rsid w:val="0001458D"/>
    <w:rsid w:val="00021F13"/>
    <w:rsid w:val="00022840"/>
    <w:rsid w:val="00024269"/>
    <w:rsid w:val="00024B5B"/>
    <w:rsid w:val="000277D9"/>
    <w:rsid w:val="00030BB9"/>
    <w:rsid w:val="000314B6"/>
    <w:rsid w:val="00032EEF"/>
    <w:rsid w:val="00035297"/>
    <w:rsid w:val="0004129F"/>
    <w:rsid w:val="00043053"/>
    <w:rsid w:val="000448A6"/>
    <w:rsid w:val="0004732A"/>
    <w:rsid w:val="00051AEC"/>
    <w:rsid w:val="0005349E"/>
    <w:rsid w:val="00053DD0"/>
    <w:rsid w:val="000626BD"/>
    <w:rsid w:val="00064212"/>
    <w:rsid w:val="00065CC8"/>
    <w:rsid w:val="00071100"/>
    <w:rsid w:val="000721CC"/>
    <w:rsid w:val="00072D34"/>
    <w:rsid w:val="000733A3"/>
    <w:rsid w:val="000734A8"/>
    <w:rsid w:val="000753DE"/>
    <w:rsid w:val="0007598C"/>
    <w:rsid w:val="00076B96"/>
    <w:rsid w:val="0007710C"/>
    <w:rsid w:val="000773C0"/>
    <w:rsid w:val="00080981"/>
    <w:rsid w:val="0008223C"/>
    <w:rsid w:val="00082508"/>
    <w:rsid w:val="00083A37"/>
    <w:rsid w:val="00083A83"/>
    <w:rsid w:val="00084C78"/>
    <w:rsid w:val="000851DF"/>
    <w:rsid w:val="00086652"/>
    <w:rsid w:val="00086FE3"/>
    <w:rsid w:val="00092101"/>
    <w:rsid w:val="00092772"/>
    <w:rsid w:val="000932C4"/>
    <w:rsid w:val="00096582"/>
    <w:rsid w:val="00096627"/>
    <w:rsid w:val="000A013B"/>
    <w:rsid w:val="000A037C"/>
    <w:rsid w:val="000A410A"/>
    <w:rsid w:val="000A4D1E"/>
    <w:rsid w:val="000A5905"/>
    <w:rsid w:val="000A5E3C"/>
    <w:rsid w:val="000A63B9"/>
    <w:rsid w:val="000A6559"/>
    <w:rsid w:val="000A678A"/>
    <w:rsid w:val="000A6FF6"/>
    <w:rsid w:val="000B00AC"/>
    <w:rsid w:val="000B0EBB"/>
    <w:rsid w:val="000B10F6"/>
    <w:rsid w:val="000B1690"/>
    <w:rsid w:val="000B1EF4"/>
    <w:rsid w:val="000B2E17"/>
    <w:rsid w:val="000B4358"/>
    <w:rsid w:val="000B6A7B"/>
    <w:rsid w:val="000B6D80"/>
    <w:rsid w:val="000B6D81"/>
    <w:rsid w:val="000B71A0"/>
    <w:rsid w:val="000B7A32"/>
    <w:rsid w:val="000C39F5"/>
    <w:rsid w:val="000C4F49"/>
    <w:rsid w:val="000C5395"/>
    <w:rsid w:val="000C56C2"/>
    <w:rsid w:val="000C6D0D"/>
    <w:rsid w:val="000C7B9D"/>
    <w:rsid w:val="000D0DB8"/>
    <w:rsid w:val="000D0F4D"/>
    <w:rsid w:val="000D19CA"/>
    <w:rsid w:val="000D2362"/>
    <w:rsid w:val="000D302B"/>
    <w:rsid w:val="000D39F3"/>
    <w:rsid w:val="000D3A70"/>
    <w:rsid w:val="000D428D"/>
    <w:rsid w:val="000D557E"/>
    <w:rsid w:val="000D6CC4"/>
    <w:rsid w:val="000D7347"/>
    <w:rsid w:val="000E0916"/>
    <w:rsid w:val="000E3CDF"/>
    <w:rsid w:val="000E5EAB"/>
    <w:rsid w:val="000F083A"/>
    <w:rsid w:val="000F11F3"/>
    <w:rsid w:val="000F458E"/>
    <w:rsid w:val="000F758F"/>
    <w:rsid w:val="000F7713"/>
    <w:rsid w:val="000F79DC"/>
    <w:rsid w:val="0010141B"/>
    <w:rsid w:val="001026F3"/>
    <w:rsid w:val="0010290F"/>
    <w:rsid w:val="00102AA1"/>
    <w:rsid w:val="00103A0F"/>
    <w:rsid w:val="00105D6C"/>
    <w:rsid w:val="001062A9"/>
    <w:rsid w:val="00106D94"/>
    <w:rsid w:val="00107076"/>
    <w:rsid w:val="001109A6"/>
    <w:rsid w:val="00110EA4"/>
    <w:rsid w:val="00111537"/>
    <w:rsid w:val="001141D8"/>
    <w:rsid w:val="0011435B"/>
    <w:rsid w:val="00121F4A"/>
    <w:rsid w:val="001232DF"/>
    <w:rsid w:val="0012351C"/>
    <w:rsid w:val="00123DBD"/>
    <w:rsid w:val="0012445F"/>
    <w:rsid w:val="0012480D"/>
    <w:rsid w:val="001250AD"/>
    <w:rsid w:val="00126AC0"/>
    <w:rsid w:val="00127A81"/>
    <w:rsid w:val="00127F10"/>
    <w:rsid w:val="001305A9"/>
    <w:rsid w:val="00130D76"/>
    <w:rsid w:val="00131F03"/>
    <w:rsid w:val="001323B8"/>
    <w:rsid w:val="00132D4E"/>
    <w:rsid w:val="00134FFB"/>
    <w:rsid w:val="0013505C"/>
    <w:rsid w:val="0013591D"/>
    <w:rsid w:val="00135DF6"/>
    <w:rsid w:val="0013631A"/>
    <w:rsid w:val="00136799"/>
    <w:rsid w:val="00136BAD"/>
    <w:rsid w:val="001407E0"/>
    <w:rsid w:val="0014239A"/>
    <w:rsid w:val="00142839"/>
    <w:rsid w:val="00145B50"/>
    <w:rsid w:val="001471CE"/>
    <w:rsid w:val="00147792"/>
    <w:rsid w:val="0015089C"/>
    <w:rsid w:val="00151239"/>
    <w:rsid w:val="00151D5B"/>
    <w:rsid w:val="00151E9D"/>
    <w:rsid w:val="00153DD6"/>
    <w:rsid w:val="00154291"/>
    <w:rsid w:val="0015474C"/>
    <w:rsid w:val="00155EDC"/>
    <w:rsid w:val="00160FAD"/>
    <w:rsid w:val="00161564"/>
    <w:rsid w:val="00161A9B"/>
    <w:rsid w:val="00162073"/>
    <w:rsid w:val="00162DDC"/>
    <w:rsid w:val="00164CAD"/>
    <w:rsid w:val="00164E53"/>
    <w:rsid w:val="001650A6"/>
    <w:rsid w:val="001654AF"/>
    <w:rsid w:val="00170F25"/>
    <w:rsid w:val="00172189"/>
    <w:rsid w:val="00173D3E"/>
    <w:rsid w:val="001751AD"/>
    <w:rsid w:val="00175B81"/>
    <w:rsid w:val="001768AF"/>
    <w:rsid w:val="00176BD4"/>
    <w:rsid w:val="00177A2F"/>
    <w:rsid w:val="00177D88"/>
    <w:rsid w:val="00180B13"/>
    <w:rsid w:val="00181B35"/>
    <w:rsid w:val="001823A7"/>
    <w:rsid w:val="001842D6"/>
    <w:rsid w:val="0018441A"/>
    <w:rsid w:val="001854AD"/>
    <w:rsid w:val="001855E5"/>
    <w:rsid w:val="00187747"/>
    <w:rsid w:val="00190286"/>
    <w:rsid w:val="00192C4F"/>
    <w:rsid w:val="00193914"/>
    <w:rsid w:val="00195C09"/>
    <w:rsid w:val="001969FA"/>
    <w:rsid w:val="00197C09"/>
    <w:rsid w:val="001A224C"/>
    <w:rsid w:val="001A22D5"/>
    <w:rsid w:val="001A2CFB"/>
    <w:rsid w:val="001A3D7E"/>
    <w:rsid w:val="001A4466"/>
    <w:rsid w:val="001A4FF0"/>
    <w:rsid w:val="001A68CF"/>
    <w:rsid w:val="001A6923"/>
    <w:rsid w:val="001A6CC3"/>
    <w:rsid w:val="001A739B"/>
    <w:rsid w:val="001A7604"/>
    <w:rsid w:val="001A7CD1"/>
    <w:rsid w:val="001B33B4"/>
    <w:rsid w:val="001B3BC9"/>
    <w:rsid w:val="001B43AB"/>
    <w:rsid w:val="001B47E0"/>
    <w:rsid w:val="001B5A4D"/>
    <w:rsid w:val="001B6A2B"/>
    <w:rsid w:val="001B6C10"/>
    <w:rsid w:val="001C0166"/>
    <w:rsid w:val="001C0A66"/>
    <w:rsid w:val="001C17EE"/>
    <w:rsid w:val="001C1A39"/>
    <w:rsid w:val="001C20B4"/>
    <w:rsid w:val="001C329D"/>
    <w:rsid w:val="001C5433"/>
    <w:rsid w:val="001C57AE"/>
    <w:rsid w:val="001C65F5"/>
    <w:rsid w:val="001C6C99"/>
    <w:rsid w:val="001C70C4"/>
    <w:rsid w:val="001C70C6"/>
    <w:rsid w:val="001C743C"/>
    <w:rsid w:val="001C7F8F"/>
    <w:rsid w:val="001D0E30"/>
    <w:rsid w:val="001D3AA2"/>
    <w:rsid w:val="001D4F91"/>
    <w:rsid w:val="001D5C62"/>
    <w:rsid w:val="001D6644"/>
    <w:rsid w:val="001D7A9F"/>
    <w:rsid w:val="001D7ECD"/>
    <w:rsid w:val="001E25C8"/>
    <w:rsid w:val="001E2810"/>
    <w:rsid w:val="001E6327"/>
    <w:rsid w:val="001E7E32"/>
    <w:rsid w:val="001E7E48"/>
    <w:rsid w:val="001F14BE"/>
    <w:rsid w:val="001F2E3C"/>
    <w:rsid w:val="001F3178"/>
    <w:rsid w:val="001F31BA"/>
    <w:rsid w:val="001F4D3B"/>
    <w:rsid w:val="001F5032"/>
    <w:rsid w:val="001F6C4A"/>
    <w:rsid w:val="001F774E"/>
    <w:rsid w:val="00200936"/>
    <w:rsid w:val="00200962"/>
    <w:rsid w:val="0020106E"/>
    <w:rsid w:val="00202455"/>
    <w:rsid w:val="00202ECB"/>
    <w:rsid w:val="00203134"/>
    <w:rsid w:val="00203399"/>
    <w:rsid w:val="00203498"/>
    <w:rsid w:val="0020419A"/>
    <w:rsid w:val="0020477D"/>
    <w:rsid w:val="0020479A"/>
    <w:rsid w:val="00204A64"/>
    <w:rsid w:val="0020566C"/>
    <w:rsid w:val="0020592A"/>
    <w:rsid w:val="00206132"/>
    <w:rsid w:val="00207A26"/>
    <w:rsid w:val="002105E2"/>
    <w:rsid w:val="00210FE6"/>
    <w:rsid w:val="0021277C"/>
    <w:rsid w:val="00213278"/>
    <w:rsid w:val="00213792"/>
    <w:rsid w:val="00215001"/>
    <w:rsid w:val="002168C2"/>
    <w:rsid w:val="00217462"/>
    <w:rsid w:val="00217497"/>
    <w:rsid w:val="00217513"/>
    <w:rsid w:val="00220B85"/>
    <w:rsid w:val="00221732"/>
    <w:rsid w:val="002236F0"/>
    <w:rsid w:val="00223A63"/>
    <w:rsid w:val="002267F7"/>
    <w:rsid w:val="002275B3"/>
    <w:rsid w:val="00230B6E"/>
    <w:rsid w:val="00233D6D"/>
    <w:rsid w:val="00234716"/>
    <w:rsid w:val="00236463"/>
    <w:rsid w:val="00240BA6"/>
    <w:rsid w:val="00240F04"/>
    <w:rsid w:val="002410ED"/>
    <w:rsid w:val="002426F6"/>
    <w:rsid w:val="00242BD8"/>
    <w:rsid w:val="0024314A"/>
    <w:rsid w:val="00244A59"/>
    <w:rsid w:val="0024532A"/>
    <w:rsid w:val="00246476"/>
    <w:rsid w:val="002468EC"/>
    <w:rsid w:val="002469A7"/>
    <w:rsid w:val="002476AE"/>
    <w:rsid w:val="00252568"/>
    <w:rsid w:val="0025338C"/>
    <w:rsid w:val="0025533A"/>
    <w:rsid w:val="00260985"/>
    <w:rsid w:val="0026289A"/>
    <w:rsid w:val="002636EA"/>
    <w:rsid w:val="0026415C"/>
    <w:rsid w:val="002642E5"/>
    <w:rsid w:val="0026495F"/>
    <w:rsid w:val="00266291"/>
    <w:rsid w:val="002673C5"/>
    <w:rsid w:val="00271480"/>
    <w:rsid w:val="002717EF"/>
    <w:rsid w:val="00271AEA"/>
    <w:rsid w:val="00271F28"/>
    <w:rsid w:val="00272972"/>
    <w:rsid w:val="0027319C"/>
    <w:rsid w:val="00274FD6"/>
    <w:rsid w:val="00275F15"/>
    <w:rsid w:val="002762C8"/>
    <w:rsid w:val="002768F4"/>
    <w:rsid w:val="00277CA6"/>
    <w:rsid w:val="00280B27"/>
    <w:rsid w:val="0028398B"/>
    <w:rsid w:val="00285775"/>
    <w:rsid w:val="00285E06"/>
    <w:rsid w:val="002862A5"/>
    <w:rsid w:val="002865B9"/>
    <w:rsid w:val="002869DD"/>
    <w:rsid w:val="00286B90"/>
    <w:rsid w:val="00286E74"/>
    <w:rsid w:val="002875C0"/>
    <w:rsid w:val="00290D64"/>
    <w:rsid w:val="002913A6"/>
    <w:rsid w:val="00293354"/>
    <w:rsid w:val="002943E8"/>
    <w:rsid w:val="00294BCF"/>
    <w:rsid w:val="0029584C"/>
    <w:rsid w:val="00295F62"/>
    <w:rsid w:val="002A0CDD"/>
    <w:rsid w:val="002A48A3"/>
    <w:rsid w:val="002A67A5"/>
    <w:rsid w:val="002A67A7"/>
    <w:rsid w:val="002B15B9"/>
    <w:rsid w:val="002B17EE"/>
    <w:rsid w:val="002B1D80"/>
    <w:rsid w:val="002B6E37"/>
    <w:rsid w:val="002C006E"/>
    <w:rsid w:val="002C0CE3"/>
    <w:rsid w:val="002C0FEF"/>
    <w:rsid w:val="002C1295"/>
    <w:rsid w:val="002C237D"/>
    <w:rsid w:val="002C3140"/>
    <w:rsid w:val="002C74CC"/>
    <w:rsid w:val="002C7510"/>
    <w:rsid w:val="002D0C70"/>
    <w:rsid w:val="002D21EA"/>
    <w:rsid w:val="002D34AA"/>
    <w:rsid w:val="002D42C6"/>
    <w:rsid w:val="002D4745"/>
    <w:rsid w:val="002D53BC"/>
    <w:rsid w:val="002D5646"/>
    <w:rsid w:val="002D56CA"/>
    <w:rsid w:val="002D5E3A"/>
    <w:rsid w:val="002E275A"/>
    <w:rsid w:val="002E5A5A"/>
    <w:rsid w:val="002E5D3C"/>
    <w:rsid w:val="002F026A"/>
    <w:rsid w:val="002F0942"/>
    <w:rsid w:val="002F1094"/>
    <w:rsid w:val="002F26F4"/>
    <w:rsid w:val="002F4C63"/>
    <w:rsid w:val="003004C6"/>
    <w:rsid w:val="00300E58"/>
    <w:rsid w:val="00302607"/>
    <w:rsid w:val="0030300A"/>
    <w:rsid w:val="0030381A"/>
    <w:rsid w:val="00304501"/>
    <w:rsid w:val="00306521"/>
    <w:rsid w:val="003067E1"/>
    <w:rsid w:val="003075B1"/>
    <w:rsid w:val="00307F95"/>
    <w:rsid w:val="00315A89"/>
    <w:rsid w:val="003178E5"/>
    <w:rsid w:val="0032049C"/>
    <w:rsid w:val="00320B6A"/>
    <w:rsid w:val="00321735"/>
    <w:rsid w:val="00321C48"/>
    <w:rsid w:val="003220A6"/>
    <w:rsid w:val="00322DC2"/>
    <w:rsid w:val="00323E46"/>
    <w:rsid w:val="0032435F"/>
    <w:rsid w:val="00326396"/>
    <w:rsid w:val="003302D6"/>
    <w:rsid w:val="00330FBF"/>
    <w:rsid w:val="00331AE3"/>
    <w:rsid w:val="00332B96"/>
    <w:rsid w:val="00336B73"/>
    <w:rsid w:val="0033722B"/>
    <w:rsid w:val="00340A3B"/>
    <w:rsid w:val="0034120C"/>
    <w:rsid w:val="00342BF7"/>
    <w:rsid w:val="00343FB7"/>
    <w:rsid w:val="0034499B"/>
    <w:rsid w:val="003459FE"/>
    <w:rsid w:val="00346FD3"/>
    <w:rsid w:val="00347EAF"/>
    <w:rsid w:val="0035509B"/>
    <w:rsid w:val="0035726C"/>
    <w:rsid w:val="0035792F"/>
    <w:rsid w:val="003609A6"/>
    <w:rsid w:val="0036105E"/>
    <w:rsid w:val="00362A1B"/>
    <w:rsid w:val="00365C80"/>
    <w:rsid w:val="00365DA3"/>
    <w:rsid w:val="003664AF"/>
    <w:rsid w:val="00367ECC"/>
    <w:rsid w:val="00370D93"/>
    <w:rsid w:val="003722DB"/>
    <w:rsid w:val="00372D59"/>
    <w:rsid w:val="00376489"/>
    <w:rsid w:val="00377BF5"/>
    <w:rsid w:val="00380540"/>
    <w:rsid w:val="00381896"/>
    <w:rsid w:val="003849B2"/>
    <w:rsid w:val="00385B22"/>
    <w:rsid w:val="003906E5"/>
    <w:rsid w:val="0039133E"/>
    <w:rsid w:val="0039338D"/>
    <w:rsid w:val="003934EC"/>
    <w:rsid w:val="003937DA"/>
    <w:rsid w:val="00393839"/>
    <w:rsid w:val="00394D82"/>
    <w:rsid w:val="00394E26"/>
    <w:rsid w:val="00394EC9"/>
    <w:rsid w:val="00396A15"/>
    <w:rsid w:val="003A02F8"/>
    <w:rsid w:val="003A06BF"/>
    <w:rsid w:val="003A06F9"/>
    <w:rsid w:val="003A08DD"/>
    <w:rsid w:val="003A3BA3"/>
    <w:rsid w:val="003A423A"/>
    <w:rsid w:val="003A4B09"/>
    <w:rsid w:val="003A55F8"/>
    <w:rsid w:val="003A5695"/>
    <w:rsid w:val="003A6526"/>
    <w:rsid w:val="003B0D6D"/>
    <w:rsid w:val="003B403C"/>
    <w:rsid w:val="003B5578"/>
    <w:rsid w:val="003B59DA"/>
    <w:rsid w:val="003B5A48"/>
    <w:rsid w:val="003B5D02"/>
    <w:rsid w:val="003B65B1"/>
    <w:rsid w:val="003B71A8"/>
    <w:rsid w:val="003B7FBF"/>
    <w:rsid w:val="003C0CCC"/>
    <w:rsid w:val="003C1394"/>
    <w:rsid w:val="003C143F"/>
    <w:rsid w:val="003C2F5F"/>
    <w:rsid w:val="003C3B53"/>
    <w:rsid w:val="003C3B72"/>
    <w:rsid w:val="003C4CA9"/>
    <w:rsid w:val="003C5C4B"/>
    <w:rsid w:val="003C713A"/>
    <w:rsid w:val="003D0453"/>
    <w:rsid w:val="003D214A"/>
    <w:rsid w:val="003D396C"/>
    <w:rsid w:val="003D3B41"/>
    <w:rsid w:val="003D3EB5"/>
    <w:rsid w:val="003D4E9F"/>
    <w:rsid w:val="003D688C"/>
    <w:rsid w:val="003D6E1B"/>
    <w:rsid w:val="003D73A9"/>
    <w:rsid w:val="003D74CD"/>
    <w:rsid w:val="003E0A54"/>
    <w:rsid w:val="003E15E0"/>
    <w:rsid w:val="003E3922"/>
    <w:rsid w:val="003E3989"/>
    <w:rsid w:val="003E47DB"/>
    <w:rsid w:val="003E5B83"/>
    <w:rsid w:val="003F2B2B"/>
    <w:rsid w:val="003F2C33"/>
    <w:rsid w:val="003F2F0F"/>
    <w:rsid w:val="003F5241"/>
    <w:rsid w:val="003F5DF0"/>
    <w:rsid w:val="003F6317"/>
    <w:rsid w:val="003F7D6A"/>
    <w:rsid w:val="00400AB5"/>
    <w:rsid w:val="00400DEB"/>
    <w:rsid w:val="00401508"/>
    <w:rsid w:val="00401624"/>
    <w:rsid w:val="00403C54"/>
    <w:rsid w:val="00403CC0"/>
    <w:rsid w:val="0040413F"/>
    <w:rsid w:val="0040614A"/>
    <w:rsid w:val="00406FE9"/>
    <w:rsid w:val="00410C6F"/>
    <w:rsid w:val="004117A8"/>
    <w:rsid w:val="00412002"/>
    <w:rsid w:val="0041246E"/>
    <w:rsid w:val="00413322"/>
    <w:rsid w:val="0041412D"/>
    <w:rsid w:val="00415134"/>
    <w:rsid w:val="00416875"/>
    <w:rsid w:val="004168A4"/>
    <w:rsid w:val="00417A87"/>
    <w:rsid w:val="00417F13"/>
    <w:rsid w:val="0042052E"/>
    <w:rsid w:val="004207E9"/>
    <w:rsid w:val="0042158F"/>
    <w:rsid w:val="0042273C"/>
    <w:rsid w:val="00423449"/>
    <w:rsid w:val="004234F7"/>
    <w:rsid w:val="00423AEE"/>
    <w:rsid w:val="0042463C"/>
    <w:rsid w:val="00425B53"/>
    <w:rsid w:val="004260C0"/>
    <w:rsid w:val="0043015E"/>
    <w:rsid w:val="004316C8"/>
    <w:rsid w:val="00431A9D"/>
    <w:rsid w:val="00432C3C"/>
    <w:rsid w:val="0043419E"/>
    <w:rsid w:val="00435237"/>
    <w:rsid w:val="00435A75"/>
    <w:rsid w:val="00436BDC"/>
    <w:rsid w:val="004377F5"/>
    <w:rsid w:val="00440D27"/>
    <w:rsid w:val="00441B5A"/>
    <w:rsid w:val="0044205C"/>
    <w:rsid w:val="0044227D"/>
    <w:rsid w:val="004428E7"/>
    <w:rsid w:val="00442FA8"/>
    <w:rsid w:val="004445B7"/>
    <w:rsid w:val="00444774"/>
    <w:rsid w:val="00444960"/>
    <w:rsid w:val="004450D2"/>
    <w:rsid w:val="004472F5"/>
    <w:rsid w:val="00447B1E"/>
    <w:rsid w:val="0045108F"/>
    <w:rsid w:val="0045207E"/>
    <w:rsid w:val="00453D57"/>
    <w:rsid w:val="004543FA"/>
    <w:rsid w:val="00454BD4"/>
    <w:rsid w:val="00456466"/>
    <w:rsid w:val="004576E7"/>
    <w:rsid w:val="00461A55"/>
    <w:rsid w:val="00461BA1"/>
    <w:rsid w:val="00461F64"/>
    <w:rsid w:val="00462187"/>
    <w:rsid w:val="004637CE"/>
    <w:rsid w:val="0046425E"/>
    <w:rsid w:val="00466A20"/>
    <w:rsid w:val="00467249"/>
    <w:rsid w:val="00470FBE"/>
    <w:rsid w:val="00471D77"/>
    <w:rsid w:val="0047209F"/>
    <w:rsid w:val="00475069"/>
    <w:rsid w:val="00475523"/>
    <w:rsid w:val="00475E8B"/>
    <w:rsid w:val="0047690C"/>
    <w:rsid w:val="00476A02"/>
    <w:rsid w:val="00477980"/>
    <w:rsid w:val="00480A5C"/>
    <w:rsid w:val="004812E9"/>
    <w:rsid w:val="0048150E"/>
    <w:rsid w:val="00481EA9"/>
    <w:rsid w:val="004829CC"/>
    <w:rsid w:val="00485AFE"/>
    <w:rsid w:val="00486854"/>
    <w:rsid w:val="00487ED6"/>
    <w:rsid w:val="0049089A"/>
    <w:rsid w:val="00490ABA"/>
    <w:rsid w:val="00490F6F"/>
    <w:rsid w:val="00491984"/>
    <w:rsid w:val="00493159"/>
    <w:rsid w:val="00493351"/>
    <w:rsid w:val="00497086"/>
    <w:rsid w:val="00497BF3"/>
    <w:rsid w:val="004A0F0C"/>
    <w:rsid w:val="004A178C"/>
    <w:rsid w:val="004A1D93"/>
    <w:rsid w:val="004A1FA6"/>
    <w:rsid w:val="004A2292"/>
    <w:rsid w:val="004A3E16"/>
    <w:rsid w:val="004A4489"/>
    <w:rsid w:val="004A4FDC"/>
    <w:rsid w:val="004A667D"/>
    <w:rsid w:val="004A74CC"/>
    <w:rsid w:val="004B0310"/>
    <w:rsid w:val="004B0542"/>
    <w:rsid w:val="004B1F94"/>
    <w:rsid w:val="004B2EED"/>
    <w:rsid w:val="004B3E4B"/>
    <w:rsid w:val="004B541A"/>
    <w:rsid w:val="004B7479"/>
    <w:rsid w:val="004B77C0"/>
    <w:rsid w:val="004B7DB8"/>
    <w:rsid w:val="004C0692"/>
    <w:rsid w:val="004C2CF2"/>
    <w:rsid w:val="004C2F70"/>
    <w:rsid w:val="004C4485"/>
    <w:rsid w:val="004C66A1"/>
    <w:rsid w:val="004C7150"/>
    <w:rsid w:val="004C740A"/>
    <w:rsid w:val="004C7594"/>
    <w:rsid w:val="004C7CC3"/>
    <w:rsid w:val="004D039C"/>
    <w:rsid w:val="004D0E26"/>
    <w:rsid w:val="004D2A72"/>
    <w:rsid w:val="004D2B22"/>
    <w:rsid w:val="004D3B68"/>
    <w:rsid w:val="004D4AE0"/>
    <w:rsid w:val="004D61A3"/>
    <w:rsid w:val="004D628A"/>
    <w:rsid w:val="004D7833"/>
    <w:rsid w:val="004E04F2"/>
    <w:rsid w:val="004E0C0D"/>
    <w:rsid w:val="004E2214"/>
    <w:rsid w:val="004E25EB"/>
    <w:rsid w:val="004E44E1"/>
    <w:rsid w:val="004E47B3"/>
    <w:rsid w:val="004E51B0"/>
    <w:rsid w:val="004E52F8"/>
    <w:rsid w:val="004E5858"/>
    <w:rsid w:val="004E5CD7"/>
    <w:rsid w:val="004E7E81"/>
    <w:rsid w:val="004F07E7"/>
    <w:rsid w:val="004F2366"/>
    <w:rsid w:val="004F3E26"/>
    <w:rsid w:val="004F529F"/>
    <w:rsid w:val="004F5427"/>
    <w:rsid w:val="004F5A4E"/>
    <w:rsid w:val="004F5C7E"/>
    <w:rsid w:val="004F5EFE"/>
    <w:rsid w:val="004F6AB5"/>
    <w:rsid w:val="004F7A43"/>
    <w:rsid w:val="0050010F"/>
    <w:rsid w:val="00500AD4"/>
    <w:rsid w:val="00500D31"/>
    <w:rsid w:val="005015B3"/>
    <w:rsid w:val="00501FDF"/>
    <w:rsid w:val="005023AD"/>
    <w:rsid w:val="00502F8B"/>
    <w:rsid w:val="00503B22"/>
    <w:rsid w:val="005044CE"/>
    <w:rsid w:val="005050AA"/>
    <w:rsid w:val="00506229"/>
    <w:rsid w:val="00506DF1"/>
    <w:rsid w:val="00511344"/>
    <w:rsid w:val="0051196B"/>
    <w:rsid w:val="00513107"/>
    <w:rsid w:val="00513288"/>
    <w:rsid w:val="00513ACD"/>
    <w:rsid w:val="00513CAC"/>
    <w:rsid w:val="005158C1"/>
    <w:rsid w:val="0051719E"/>
    <w:rsid w:val="00521F38"/>
    <w:rsid w:val="00522115"/>
    <w:rsid w:val="005222D5"/>
    <w:rsid w:val="005228D4"/>
    <w:rsid w:val="0052364F"/>
    <w:rsid w:val="0052379D"/>
    <w:rsid w:val="005245E0"/>
    <w:rsid w:val="00525134"/>
    <w:rsid w:val="00525EC6"/>
    <w:rsid w:val="00526C1D"/>
    <w:rsid w:val="00526E77"/>
    <w:rsid w:val="00527D35"/>
    <w:rsid w:val="00527E4C"/>
    <w:rsid w:val="00531F3C"/>
    <w:rsid w:val="00533ED4"/>
    <w:rsid w:val="00537916"/>
    <w:rsid w:val="0054241E"/>
    <w:rsid w:val="00542669"/>
    <w:rsid w:val="00542684"/>
    <w:rsid w:val="00542A13"/>
    <w:rsid w:val="0054364A"/>
    <w:rsid w:val="00545802"/>
    <w:rsid w:val="0054729E"/>
    <w:rsid w:val="00547B26"/>
    <w:rsid w:val="00550442"/>
    <w:rsid w:val="00550905"/>
    <w:rsid w:val="00551204"/>
    <w:rsid w:val="00551DDA"/>
    <w:rsid w:val="00551F30"/>
    <w:rsid w:val="005527D0"/>
    <w:rsid w:val="00552929"/>
    <w:rsid w:val="00552C8B"/>
    <w:rsid w:val="00554BF5"/>
    <w:rsid w:val="00555062"/>
    <w:rsid w:val="0055705D"/>
    <w:rsid w:val="005570BB"/>
    <w:rsid w:val="005605D3"/>
    <w:rsid w:val="0056153D"/>
    <w:rsid w:val="00562EE7"/>
    <w:rsid w:val="00563136"/>
    <w:rsid w:val="0056333F"/>
    <w:rsid w:val="00564E58"/>
    <w:rsid w:val="00565251"/>
    <w:rsid w:val="00566624"/>
    <w:rsid w:val="00567A4E"/>
    <w:rsid w:val="00571307"/>
    <w:rsid w:val="00571CCB"/>
    <w:rsid w:val="00575043"/>
    <w:rsid w:val="0057566F"/>
    <w:rsid w:val="00575812"/>
    <w:rsid w:val="00575A92"/>
    <w:rsid w:val="005764CB"/>
    <w:rsid w:val="00576689"/>
    <w:rsid w:val="0057672D"/>
    <w:rsid w:val="00576C06"/>
    <w:rsid w:val="00577049"/>
    <w:rsid w:val="005812AA"/>
    <w:rsid w:val="00581AA2"/>
    <w:rsid w:val="00582164"/>
    <w:rsid w:val="005826D7"/>
    <w:rsid w:val="005833CA"/>
    <w:rsid w:val="00583C53"/>
    <w:rsid w:val="00587196"/>
    <w:rsid w:val="005873C0"/>
    <w:rsid w:val="00587D42"/>
    <w:rsid w:val="00590180"/>
    <w:rsid w:val="005901D3"/>
    <w:rsid w:val="005917D6"/>
    <w:rsid w:val="00591A39"/>
    <w:rsid w:val="005937F3"/>
    <w:rsid w:val="00596BE2"/>
    <w:rsid w:val="00596C8B"/>
    <w:rsid w:val="005A29DF"/>
    <w:rsid w:val="005A3A9C"/>
    <w:rsid w:val="005A4671"/>
    <w:rsid w:val="005A65AB"/>
    <w:rsid w:val="005A66EE"/>
    <w:rsid w:val="005B18BF"/>
    <w:rsid w:val="005B2210"/>
    <w:rsid w:val="005B40F2"/>
    <w:rsid w:val="005B418F"/>
    <w:rsid w:val="005B56FE"/>
    <w:rsid w:val="005B5A6D"/>
    <w:rsid w:val="005B6F20"/>
    <w:rsid w:val="005C283B"/>
    <w:rsid w:val="005C3E89"/>
    <w:rsid w:val="005C47AE"/>
    <w:rsid w:val="005C4DCD"/>
    <w:rsid w:val="005C55B5"/>
    <w:rsid w:val="005C6071"/>
    <w:rsid w:val="005C7C97"/>
    <w:rsid w:val="005D02ED"/>
    <w:rsid w:val="005D034D"/>
    <w:rsid w:val="005D1319"/>
    <w:rsid w:val="005D154D"/>
    <w:rsid w:val="005D4B6D"/>
    <w:rsid w:val="005D6C71"/>
    <w:rsid w:val="005D6D1D"/>
    <w:rsid w:val="005D79EA"/>
    <w:rsid w:val="005E0F75"/>
    <w:rsid w:val="005E3ED5"/>
    <w:rsid w:val="005E3F52"/>
    <w:rsid w:val="005E68B6"/>
    <w:rsid w:val="005E6D02"/>
    <w:rsid w:val="005E794F"/>
    <w:rsid w:val="005F226A"/>
    <w:rsid w:val="005F2CC5"/>
    <w:rsid w:val="005F4E28"/>
    <w:rsid w:val="005F534E"/>
    <w:rsid w:val="005F7452"/>
    <w:rsid w:val="00601570"/>
    <w:rsid w:val="006022BE"/>
    <w:rsid w:val="006023F5"/>
    <w:rsid w:val="0060262B"/>
    <w:rsid w:val="00605C2B"/>
    <w:rsid w:val="00606091"/>
    <w:rsid w:val="00606F12"/>
    <w:rsid w:val="0061096C"/>
    <w:rsid w:val="006114B2"/>
    <w:rsid w:val="00612741"/>
    <w:rsid w:val="006144CC"/>
    <w:rsid w:val="00614EC4"/>
    <w:rsid w:val="00614F1B"/>
    <w:rsid w:val="00616004"/>
    <w:rsid w:val="006162A4"/>
    <w:rsid w:val="006175BD"/>
    <w:rsid w:val="006175E5"/>
    <w:rsid w:val="006200F5"/>
    <w:rsid w:val="0062010C"/>
    <w:rsid w:val="00622177"/>
    <w:rsid w:val="00622DE6"/>
    <w:rsid w:val="00622F34"/>
    <w:rsid w:val="00622FBE"/>
    <w:rsid w:val="00624325"/>
    <w:rsid w:val="0062474A"/>
    <w:rsid w:val="00626CB8"/>
    <w:rsid w:val="0063197C"/>
    <w:rsid w:val="00631A03"/>
    <w:rsid w:val="006336F8"/>
    <w:rsid w:val="00633E9A"/>
    <w:rsid w:val="006341FE"/>
    <w:rsid w:val="00634954"/>
    <w:rsid w:val="00634F81"/>
    <w:rsid w:val="0063537E"/>
    <w:rsid w:val="0064262A"/>
    <w:rsid w:val="00643314"/>
    <w:rsid w:val="00643C24"/>
    <w:rsid w:val="00643E3B"/>
    <w:rsid w:val="00645E51"/>
    <w:rsid w:val="00646E1A"/>
    <w:rsid w:val="0065021A"/>
    <w:rsid w:val="00650366"/>
    <w:rsid w:val="00650E87"/>
    <w:rsid w:val="00652879"/>
    <w:rsid w:val="00653101"/>
    <w:rsid w:val="00654814"/>
    <w:rsid w:val="00654BBB"/>
    <w:rsid w:val="00655C76"/>
    <w:rsid w:val="00656381"/>
    <w:rsid w:val="006602F9"/>
    <w:rsid w:val="00660654"/>
    <w:rsid w:val="00660721"/>
    <w:rsid w:val="0066198E"/>
    <w:rsid w:val="00663897"/>
    <w:rsid w:val="00666C95"/>
    <w:rsid w:val="00667413"/>
    <w:rsid w:val="0066750F"/>
    <w:rsid w:val="00670C20"/>
    <w:rsid w:val="00672D72"/>
    <w:rsid w:val="00673156"/>
    <w:rsid w:val="00673FF7"/>
    <w:rsid w:val="006746FE"/>
    <w:rsid w:val="00675550"/>
    <w:rsid w:val="00676C0C"/>
    <w:rsid w:val="00676C38"/>
    <w:rsid w:val="00677496"/>
    <w:rsid w:val="00677EF5"/>
    <w:rsid w:val="006820E3"/>
    <w:rsid w:val="006822B2"/>
    <w:rsid w:val="00682A6F"/>
    <w:rsid w:val="00682BDD"/>
    <w:rsid w:val="00684AAC"/>
    <w:rsid w:val="006850B0"/>
    <w:rsid w:val="00685375"/>
    <w:rsid w:val="006869B6"/>
    <w:rsid w:val="006908C7"/>
    <w:rsid w:val="00690A7E"/>
    <w:rsid w:val="00691332"/>
    <w:rsid w:val="0069195A"/>
    <w:rsid w:val="006938D5"/>
    <w:rsid w:val="006939EC"/>
    <w:rsid w:val="0069444C"/>
    <w:rsid w:val="00694BFD"/>
    <w:rsid w:val="00695545"/>
    <w:rsid w:val="00695B84"/>
    <w:rsid w:val="00695E1E"/>
    <w:rsid w:val="006966A7"/>
    <w:rsid w:val="00697631"/>
    <w:rsid w:val="006A02F0"/>
    <w:rsid w:val="006A4F2B"/>
    <w:rsid w:val="006A6F64"/>
    <w:rsid w:val="006A71D4"/>
    <w:rsid w:val="006A7A76"/>
    <w:rsid w:val="006A7C20"/>
    <w:rsid w:val="006B0B27"/>
    <w:rsid w:val="006B1620"/>
    <w:rsid w:val="006B1A98"/>
    <w:rsid w:val="006B2247"/>
    <w:rsid w:val="006B36F9"/>
    <w:rsid w:val="006B3D69"/>
    <w:rsid w:val="006B6047"/>
    <w:rsid w:val="006B6B6B"/>
    <w:rsid w:val="006B715C"/>
    <w:rsid w:val="006C0BD3"/>
    <w:rsid w:val="006C0C54"/>
    <w:rsid w:val="006C203D"/>
    <w:rsid w:val="006C3FE9"/>
    <w:rsid w:val="006C46FC"/>
    <w:rsid w:val="006C5C48"/>
    <w:rsid w:val="006D0E6A"/>
    <w:rsid w:val="006D1ED2"/>
    <w:rsid w:val="006D25C0"/>
    <w:rsid w:val="006D264D"/>
    <w:rsid w:val="006D2674"/>
    <w:rsid w:val="006D26AF"/>
    <w:rsid w:val="006D438A"/>
    <w:rsid w:val="006D4DBE"/>
    <w:rsid w:val="006D681A"/>
    <w:rsid w:val="006E29A6"/>
    <w:rsid w:val="006E4083"/>
    <w:rsid w:val="006E5121"/>
    <w:rsid w:val="006E563F"/>
    <w:rsid w:val="006E7B34"/>
    <w:rsid w:val="006F06B5"/>
    <w:rsid w:val="006F09EC"/>
    <w:rsid w:val="006F31DA"/>
    <w:rsid w:val="006F4A9F"/>
    <w:rsid w:val="006F5A6F"/>
    <w:rsid w:val="007010F6"/>
    <w:rsid w:val="00701367"/>
    <w:rsid w:val="00701515"/>
    <w:rsid w:val="00702C58"/>
    <w:rsid w:val="00703104"/>
    <w:rsid w:val="007033CA"/>
    <w:rsid w:val="00704CEF"/>
    <w:rsid w:val="00705479"/>
    <w:rsid w:val="0070633D"/>
    <w:rsid w:val="007074F4"/>
    <w:rsid w:val="00707D7A"/>
    <w:rsid w:val="0071211D"/>
    <w:rsid w:val="007152C3"/>
    <w:rsid w:val="007208B2"/>
    <w:rsid w:val="00721206"/>
    <w:rsid w:val="00723A72"/>
    <w:rsid w:val="0072578D"/>
    <w:rsid w:val="00725DEF"/>
    <w:rsid w:val="00725FB7"/>
    <w:rsid w:val="007308A8"/>
    <w:rsid w:val="00730BBF"/>
    <w:rsid w:val="00731BD9"/>
    <w:rsid w:val="00732324"/>
    <w:rsid w:val="007324BE"/>
    <w:rsid w:val="00733630"/>
    <w:rsid w:val="00735852"/>
    <w:rsid w:val="00741960"/>
    <w:rsid w:val="00741EED"/>
    <w:rsid w:val="00742F42"/>
    <w:rsid w:val="00743238"/>
    <w:rsid w:val="00744396"/>
    <w:rsid w:val="00744B56"/>
    <w:rsid w:val="00744C00"/>
    <w:rsid w:val="00745A2D"/>
    <w:rsid w:val="0074771F"/>
    <w:rsid w:val="00750849"/>
    <w:rsid w:val="00750BD6"/>
    <w:rsid w:val="00753250"/>
    <w:rsid w:val="007532AF"/>
    <w:rsid w:val="007542DA"/>
    <w:rsid w:val="00755722"/>
    <w:rsid w:val="007568C5"/>
    <w:rsid w:val="00756E00"/>
    <w:rsid w:val="0076172F"/>
    <w:rsid w:val="007617D5"/>
    <w:rsid w:val="00762A35"/>
    <w:rsid w:val="00763412"/>
    <w:rsid w:val="00763794"/>
    <w:rsid w:val="007649AB"/>
    <w:rsid w:val="00766554"/>
    <w:rsid w:val="00766F27"/>
    <w:rsid w:val="0077021A"/>
    <w:rsid w:val="00770A0A"/>
    <w:rsid w:val="00770BC9"/>
    <w:rsid w:val="00771B4B"/>
    <w:rsid w:val="007728F3"/>
    <w:rsid w:val="00776203"/>
    <w:rsid w:val="00776DC2"/>
    <w:rsid w:val="00777116"/>
    <w:rsid w:val="0077760E"/>
    <w:rsid w:val="00777A96"/>
    <w:rsid w:val="00780C75"/>
    <w:rsid w:val="007841B5"/>
    <w:rsid w:val="00784762"/>
    <w:rsid w:val="00786ADB"/>
    <w:rsid w:val="00787BAB"/>
    <w:rsid w:val="00794B36"/>
    <w:rsid w:val="0079556E"/>
    <w:rsid w:val="00796E0A"/>
    <w:rsid w:val="00797664"/>
    <w:rsid w:val="007A19F3"/>
    <w:rsid w:val="007A23F1"/>
    <w:rsid w:val="007A3BF6"/>
    <w:rsid w:val="007A547F"/>
    <w:rsid w:val="007A561E"/>
    <w:rsid w:val="007A5847"/>
    <w:rsid w:val="007A5BB6"/>
    <w:rsid w:val="007A647E"/>
    <w:rsid w:val="007A7936"/>
    <w:rsid w:val="007A7CF3"/>
    <w:rsid w:val="007B0108"/>
    <w:rsid w:val="007B01BD"/>
    <w:rsid w:val="007B0C74"/>
    <w:rsid w:val="007B1BA1"/>
    <w:rsid w:val="007B3A67"/>
    <w:rsid w:val="007B3C84"/>
    <w:rsid w:val="007B6765"/>
    <w:rsid w:val="007B6BAC"/>
    <w:rsid w:val="007B710E"/>
    <w:rsid w:val="007C1D23"/>
    <w:rsid w:val="007C3F9F"/>
    <w:rsid w:val="007C4198"/>
    <w:rsid w:val="007C5175"/>
    <w:rsid w:val="007C60E6"/>
    <w:rsid w:val="007C60F0"/>
    <w:rsid w:val="007C642F"/>
    <w:rsid w:val="007C6F28"/>
    <w:rsid w:val="007C76D9"/>
    <w:rsid w:val="007C78F5"/>
    <w:rsid w:val="007D0EB6"/>
    <w:rsid w:val="007D1B5D"/>
    <w:rsid w:val="007D2B8A"/>
    <w:rsid w:val="007D3A10"/>
    <w:rsid w:val="007D3A29"/>
    <w:rsid w:val="007D4906"/>
    <w:rsid w:val="007D5D40"/>
    <w:rsid w:val="007D689A"/>
    <w:rsid w:val="007D69E4"/>
    <w:rsid w:val="007D6C59"/>
    <w:rsid w:val="007D7896"/>
    <w:rsid w:val="007E09ED"/>
    <w:rsid w:val="007E22F1"/>
    <w:rsid w:val="007E24BE"/>
    <w:rsid w:val="007E283D"/>
    <w:rsid w:val="007E3E6F"/>
    <w:rsid w:val="007E62BF"/>
    <w:rsid w:val="007E68C5"/>
    <w:rsid w:val="007F03B0"/>
    <w:rsid w:val="007F0886"/>
    <w:rsid w:val="007F0A4B"/>
    <w:rsid w:val="007F0CF2"/>
    <w:rsid w:val="007F2393"/>
    <w:rsid w:val="007F2403"/>
    <w:rsid w:val="007F2D27"/>
    <w:rsid w:val="007F2E70"/>
    <w:rsid w:val="007F38D2"/>
    <w:rsid w:val="007F68ED"/>
    <w:rsid w:val="007F6A0B"/>
    <w:rsid w:val="007F6E18"/>
    <w:rsid w:val="007F754F"/>
    <w:rsid w:val="008018E6"/>
    <w:rsid w:val="008020F3"/>
    <w:rsid w:val="008023BF"/>
    <w:rsid w:val="008118BA"/>
    <w:rsid w:val="00813034"/>
    <w:rsid w:val="00813183"/>
    <w:rsid w:val="00814E5D"/>
    <w:rsid w:val="008155D1"/>
    <w:rsid w:val="00815B2B"/>
    <w:rsid w:val="00815C06"/>
    <w:rsid w:val="00815CE6"/>
    <w:rsid w:val="008164E5"/>
    <w:rsid w:val="00820CD5"/>
    <w:rsid w:val="00821D01"/>
    <w:rsid w:val="0082258F"/>
    <w:rsid w:val="00823576"/>
    <w:rsid w:val="008237C3"/>
    <w:rsid w:val="008245CF"/>
    <w:rsid w:val="00824B90"/>
    <w:rsid w:val="00825479"/>
    <w:rsid w:val="00825D91"/>
    <w:rsid w:val="00826A86"/>
    <w:rsid w:val="00826AA4"/>
    <w:rsid w:val="0082794C"/>
    <w:rsid w:val="00830230"/>
    <w:rsid w:val="00830BD1"/>
    <w:rsid w:val="00831304"/>
    <w:rsid w:val="00831600"/>
    <w:rsid w:val="00831D2B"/>
    <w:rsid w:val="00832327"/>
    <w:rsid w:val="00832D8D"/>
    <w:rsid w:val="00832E89"/>
    <w:rsid w:val="00833E9D"/>
    <w:rsid w:val="00834091"/>
    <w:rsid w:val="008344FB"/>
    <w:rsid w:val="008353E2"/>
    <w:rsid w:val="008361B3"/>
    <w:rsid w:val="008365FB"/>
    <w:rsid w:val="0083729D"/>
    <w:rsid w:val="0083774A"/>
    <w:rsid w:val="008423A8"/>
    <w:rsid w:val="00842DDC"/>
    <w:rsid w:val="00844192"/>
    <w:rsid w:val="00845791"/>
    <w:rsid w:val="00845C56"/>
    <w:rsid w:val="00845CEC"/>
    <w:rsid w:val="008461BE"/>
    <w:rsid w:val="00847765"/>
    <w:rsid w:val="00847DD1"/>
    <w:rsid w:val="008505F6"/>
    <w:rsid w:val="00850C18"/>
    <w:rsid w:val="0085392C"/>
    <w:rsid w:val="0085403E"/>
    <w:rsid w:val="008548BB"/>
    <w:rsid w:val="00854B79"/>
    <w:rsid w:val="00856228"/>
    <w:rsid w:val="00856448"/>
    <w:rsid w:val="00857383"/>
    <w:rsid w:val="008614C4"/>
    <w:rsid w:val="0086217F"/>
    <w:rsid w:val="00862707"/>
    <w:rsid w:val="00862DA8"/>
    <w:rsid w:val="008632C0"/>
    <w:rsid w:val="008633A1"/>
    <w:rsid w:val="00866ED4"/>
    <w:rsid w:val="00867757"/>
    <w:rsid w:val="008705C9"/>
    <w:rsid w:val="00870E6D"/>
    <w:rsid w:val="0087485D"/>
    <w:rsid w:val="00874B63"/>
    <w:rsid w:val="00875940"/>
    <w:rsid w:val="00876411"/>
    <w:rsid w:val="00876417"/>
    <w:rsid w:val="0087761D"/>
    <w:rsid w:val="00877AE7"/>
    <w:rsid w:val="00883012"/>
    <w:rsid w:val="00883D35"/>
    <w:rsid w:val="008847E8"/>
    <w:rsid w:val="00886CF1"/>
    <w:rsid w:val="008877CA"/>
    <w:rsid w:val="00887A6A"/>
    <w:rsid w:val="00890228"/>
    <w:rsid w:val="00890366"/>
    <w:rsid w:val="008913D1"/>
    <w:rsid w:val="00891632"/>
    <w:rsid w:val="008921F8"/>
    <w:rsid w:val="0089686D"/>
    <w:rsid w:val="0089689B"/>
    <w:rsid w:val="008968E6"/>
    <w:rsid w:val="00896977"/>
    <w:rsid w:val="00897461"/>
    <w:rsid w:val="00897976"/>
    <w:rsid w:val="00897B07"/>
    <w:rsid w:val="00897C01"/>
    <w:rsid w:val="008A2C1B"/>
    <w:rsid w:val="008A3622"/>
    <w:rsid w:val="008A44CC"/>
    <w:rsid w:val="008B3D8A"/>
    <w:rsid w:val="008B426F"/>
    <w:rsid w:val="008B6BDF"/>
    <w:rsid w:val="008C0473"/>
    <w:rsid w:val="008C174C"/>
    <w:rsid w:val="008C2058"/>
    <w:rsid w:val="008C3B23"/>
    <w:rsid w:val="008C43A5"/>
    <w:rsid w:val="008C48FE"/>
    <w:rsid w:val="008C52AA"/>
    <w:rsid w:val="008C5F06"/>
    <w:rsid w:val="008C6419"/>
    <w:rsid w:val="008C72CC"/>
    <w:rsid w:val="008D06D0"/>
    <w:rsid w:val="008D0E74"/>
    <w:rsid w:val="008D1EB8"/>
    <w:rsid w:val="008D2B7A"/>
    <w:rsid w:val="008D2BC7"/>
    <w:rsid w:val="008D3C34"/>
    <w:rsid w:val="008D57D4"/>
    <w:rsid w:val="008D5ED7"/>
    <w:rsid w:val="008D7437"/>
    <w:rsid w:val="008E06FF"/>
    <w:rsid w:val="008E2364"/>
    <w:rsid w:val="008E26BB"/>
    <w:rsid w:val="008E2D4E"/>
    <w:rsid w:val="008E333F"/>
    <w:rsid w:val="008E3521"/>
    <w:rsid w:val="008E3B35"/>
    <w:rsid w:val="008E411D"/>
    <w:rsid w:val="008E721C"/>
    <w:rsid w:val="008E7BBF"/>
    <w:rsid w:val="008F0918"/>
    <w:rsid w:val="008F1720"/>
    <w:rsid w:val="008F2A52"/>
    <w:rsid w:val="008F4875"/>
    <w:rsid w:val="008F4B87"/>
    <w:rsid w:val="008F5EAA"/>
    <w:rsid w:val="008F60D9"/>
    <w:rsid w:val="008F6949"/>
    <w:rsid w:val="008F6B94"/>
    <w:rsid w:val="0090075A"/>
    <w:rsid w:val="0090082C"/>
    <w:rsid w:val="00902910"/>
    <w:rsid w:val="0090301F"/>
    <w:rsid w:val="00903D14"/>
    <w:rsid w:val="00904188"/>
    <w:rsid w:val="009069B4"/>
    <w:rsid w:val="00906D9E"/>
    <w:rsid w:val="009102E8"/>
    <w:rsid w:val="0091030C"/>
    <w:rsid w:val="00910DD2"/>
    <w:rsid w:val="009110A3"/>
    <w:rsid w:val="00911E9A"/>
    <w:rsid w:val="00911F80"/>
    <w:rsid w:val="00912DBB"/>
    <w:rsid w:val="009132DA"/>
    <w:rsid w:val="009141E3"/>
    <w:rsid w:val="0091750E"/>
    <w:rsid w:val="00921B42"/>
    <w:rsid w:val="00924056"/>
    <w:rsid w:val="009251FC"/>
    <w:rsid w:val="0092534F"/>
    <w:rsid w:val="009259A5"/>
    <w:rsid w:val="00927CEC"/>
    <w:rsid w:val="009322EB"/>
    <w:rsid w:val="00934F34"/>
    <w:rsid w:val="00935916"/>
    <w:rsid w:val="00936F3F"/>
    <w:rsid w:val="00940CF7"/>
    <w:rsid w:val="00944598"/>
    <w:rsid w:val="00944CBA"/>
    <w:rsid w:val="00945EF2"/>
    <w:rsid w:val="009466F8"/>
    <w:rsid w:val="00946F32"/>
    <w:rsid w:val="00947BA5"/>
    <w:rsid w:val="0095299B"/>
    <w:rsid w:val="009540E5"/>
    <w:rsid w:val="009544A1"/>
    <w:rsid w:val="00954A01"/>
    <w:rsid w:val="00955ADF"/>
    <w:rsid w:val="00961A35"/>
    <w:rsid w:val="00964C23"/>
    <w:rsid w:val="0096525F"/>
    <w:rsid w:val="00966216"/>
    <w:rsid w:val="009670BE"/>
    <w:rsid w:val="009673F0"/>
    <w:rsid w:val="009705FB"/>
    <w:rsid w:val="0097086F"/>
    <w:rsid w:val="00971830"/>
    <w:rsid w:val="00971F3E"/>
    <w:rsid w:val="009746E8"/>
    <w:rsid w:val="0097554F"/>
    <w:rsid w:val="009760D8"/>
    <w:rsid w:val="00976D49"/>
    <w:rsid w:val="00977681"/>
    <w:rsid w:val="00977AEF"/>
    <w:rsid w:val="0098086D"/>
    <w:rsid w:val="0098496D"/>
    <w:rsid w:val="00984F7D"/>
    <w:rsid w:val="00985399"/>
    <w:rsid w:val="0098676C"/>
    <w:rsid w:val="00987934"/>
    <w:rsid w:val="009904E2"/>
    <w:rsid w:val="00991834"/>
    <w:rsid w:val="0099193F"/>
    <w:rsid w:val="00991C7F"/>
    <w:rsid w:val="009924D7"/>
    <w:rsid w:val="00992512"/>
    <w:rsid w:val="009926F4"/>
    <w:rsid w:val="00992ACC"/>
    <w:rsid w:val="00993041"/>
    <w:rsid w:val="00995A3B"/>
    <w:rsid w:val="009A001F"/>
    <w:rsid w:val="009A5BA4"/>
    <w:rsid w:val="009A7695"/>
    <w:rsid w:val="009A7741"/>
    <w:rsid w:val="009A7AB0"/>
    <w:rsid w:val="009B0060"/>
    <w:rsid w:val="009B191C"/>
    <w:rsid w:val="009B1D9B"/>
    <w:rsid w:val="009B3208"/>
    <w:rsid w:val="009B3D38"/>
    <w:rsid w:val="009B3DA5"/>
    <w:rsid w:val="009B43BC"/>
    <w:rsid w:val="009B4D1C"/>
    <w:rsid w:val="009B4F06"/>
    <w:rsid w:val="009B638A"/>
    <w:rsid w:val="009B648C"/>
    <w:rsid w:val="009C0825"/>
    <w:rsid w:val="009C217B"/>
    <w:rsid w:val="009C21B3"/>
    <w:rsid w:val="009C5306"/>
    <w:rsid w:val="009C6D43"/>
    <w:rsid w:val="009C7C6F"/>
    <w:rsid w:val="009D0BBF"/>
    <w:rsid w:val="009D19EE"/>
    <w:rsid w:val="009D3E18"/>
    <w:rsid w:val="009E166A"/>
    <w:rsid w:val="009E175A"/>
    <w:rsid w:val="009E18FB"/>
    <w:rsid w:val="009E1B0A"/>
    <w:rsid w:val="009E1E73"/>
    <w:rsid w:val="009E218E"/>
    <w:rsid w:val="009E2D93"/>
    <w:rsid w:val="009E36EF"/>
    <w:rsid w:val="009E4B42"/>
    <w:rsid w:val="009F1BF9"/>
    <w:rsid w:val="009F22D8"/>
    <w:rsid w:val="009F23AC"/>
    <w:rsid w:val="009F2C2C"/>
    <w:rsid w:val="009F66D7"/>
    <w:rsid w:val="009F7511"/>
    <w:rsid w:val="009F7ED0"/>
    <w:rsid w:val="009F7EEC"/>
    <w:rsid w:val="00A0108E"/>
    <w:rsid w:val="00A01714"/>
    <w:rsid w:val="00A01A98"/>
    <w:rsid w:val="00A01AD2"/>
    <w:rsid w:val="00A02B46"/>
    <w:rsid w:val="00A02D9B"/>
    <w:rsid w:val="00A03D6C"/>
    <w:rsid w:val="00A03DFA"/>
    <w:rsid w:val="00A03FC1"/>
    <w:rsid w:val="00A04199"/>
    <w:rsid w:val="00A04DC3"/>
    <w:rsid w:val="00A053B5"/>
    <w:rsid w:val="00A06124"/>
    <w:rsid w:val="00A0624A"/>
    <w:rsid w:val="00A068A0"/>
    <w:rsid w:val="00A07646"/>
    <w:rsid w:val="00A076AB"/>
    <w:rsid w:val="00A102EF"/>
    <w:rsid w:val="00A10A3D"/>
    <w:rsid w:val="00A13C81"/>
    <w:rsid w:val="00A14314"/>
    <w:rsid w:val="00A14BC1"/>
    <w:rsid w:val="00A169D0"/>
    <w:rsid w:val="00A16CB6"/>
    <w:rsid w:val="00A17BB9"/>
    <w:rsid w:val="00A204DF"/>
    <w:rsid w:val="00A20FBF"/>
    <w:rsid w:val="00A21B75"/>
    <w:rsid w:val="00A22A36"/>
    <w:rsid w:val="00A2347F"/>
    <w:rsid w:val="00A23724"/>
    <w:rsid w:val="00A24475"/>
    <w:rsid w:val="00A25349"/>
    <w:rsid w:val="00A25492"/>
    <w:rsid w:val="00A258C6"/>
    <w:rsid w:val="00A25BD5"/>
    <w:rsid w:val="00A264C7"/>
    <w:rsid w:val="00A26593"/>
    <w:rsid w:val="00A26C98"/>
    <w:rsid w:val="00A273AA"/>
    <w:rsid w:val="00A3071F"/>
    <w:rsid w:val="00A30CDD"/>
    <w:rsid w:val="00A337E3"/>
    <w:rsid w:val="00A34CE0"/>
    <w:rsid w:val="00A35022"/>
    <w:rsid w:val="00A352AE"/>
    <w:rsid w:val="00A37F4F"/>
    <w:rsid w:val="00A407A3"/>
    <w:rsid w:val="00A40DB8"/>
    <w:rsid w:val="00A410CF"/>
    <w:rsid w:val="00A419C8"/>
    <w:rsid w:val="00A41D92"/>
    <w:rsid w:val="00A41EDF"/>
    <w:rsid w:val="00A42306"/>
    <w:rsid w:val="00A43113"/>
    <w:rsid w:val="00A46129"/>
    <w:rsid w:val="00A463AD"/>
    <w:rsid w:val="00A4768B"/>
    <w:rsid w:val="00A477BC"/>
    <w:rsid w:val="00A47F73"/>
    <w:rsid w:val="00A50F36"/>
    <w:rsid w:val="00A51360"/>
    <w:rsid w:val="00A51E56"/>
    <w:rsid w:val="00A546D3"/>
    <w:rsid w:val="00A54FDF"/>
    <w:rsid w:val="00A54FE9"/>
    <w:rsid w:val="00A551F5"/>
    <w:rsid w:val="00A55949"/>
    <w:rsid w:val="00A572E4"/>
    <w:rsid w:val="00A57EDB"/>
    <w:rsid w:val="00A62817"/>
    <w:rsid w:val="00A629BF"/>
    <w:rsid w:val="00A62BA1"/>
    <w:rsid w:val="00A65DF9"/>
    <w:rsid w:val="00A66DFD"/>
    <w:rsid w:val="00A72113"/>
    <w:rsid w:val="00A7225B"/>
    <w:rsid w:val="00A725BA"/>
    <w:rsid w:val="00A727B7"/>
    <w:rsid w:val="00A72AE8"/>
    <w:rsid w:val="00A73D64"/>
    <w:rsid w:val="00A74B40"/>
    <w:rsid w:val="00A74B41"/>
    <w:rsid w:val="00A77418"/>
    <w:rsid w:val="00A8039E"/>
    <w:rsid w:val="00A80D57"/>
    <w:rsid w:val="00A8328E"/>
    <w:rsid w:val="00A849AA"/>
    <w:rsid w:val="00A84B5B"/>
    <w:rsid w:val="00A84E49"/>
    <w:rsid w:val="00A85EF4"/>
    <w:rsid w:val="00A85F35"/>
    <w:rsid w:val="00A90860"/>
    <w:rsid w:val="00A92216"/>
    <w:rsid w:val="00A94B24"/>
    <w:rsid w:val="00A95883"/>
    <w:rsid w:val="00A96834"/>
    <w:rsid w:val="00A9742F"/>
    <w:rsid w:val="00A97C89"/>
    <w:rsid w:val="00AA065D"/>
    <w:rsid w:val="00AA1318"/>
    <w:rsid w:val="00AA22F6"/>
    <w:rsid w:val="00AA2D69"/>
    <w:rsid w:val="00AA353B"/>
    <w:rsid w:val="00AA64D1"/>
    <w:rsid w:val="00AA6503"/>
    <w:rsid w:val="00AB2BC5"/>
    <w:rsid w:val="00AB39A7"/>
    <w:rsid w:val="00AB3B4F"/>
    <w:rsid w:val="00AB492C"/>
    <w:rsid w:val="00AC2D05"/>
    <w:rsid w:val="00AC3EEB"/>
    <w:rsid w:val="00AC4AEA"/>
    <w:rsid w:val="00AC5088"/>
    <w:rsid w:val="00AC6D0D"/>
    <w:rsid w:val="00AC6DC1"/>
    <w:rsid w:val="00AC7722"/>
    <w:rsid w:val="00AD1FAF"/>
    <w:rsid w:val="00AD7DE6"/>
    <w:rsid w:val="00AE0681"/>
    <w:rsid w:val="00AE09FC"/>
    <w:rsid w:val="00AE111E"/>
    <w:rsid w:val="00AE149E"/>
    <w:rsid w:val="00AE1561"/>
    <w:rsid w:val="00AE22F0"/>
    <w:rsid w:val="00AE2AAB"/>
    <w:rsid w:val="00AE41A8"/>
    <w:rsid w:val="00AE52FE"/>
    <w:rsid w:val="00AE585B"/>
    <w:rsid w:val="00AE5E98"/>
    <w:rsid w:val="00AE64E5"/>
    <w:rsid w:val="00AE73F0"/>
    <w:rsid w:val="00AF0C53"/>
    <w:rsid w:val="00AF1A9F"/>
    <w:rsid w:val="00AF1CE5"/>
    <w:rsid w:val="00AF1DB1"/>
    <w:rsid w:val="00AF2522"/>
    <w:rsid w:val="00AF27BC"/>
    <w:rsid w:val="00AF3136"/>
    <w:rsid w:val="00AF3435"/>
    <w:rsid w:val="00AF3C1E"/>
    <w:rsid w:val="00AF4AE9"/>
    <w:rsid w:val="00AF4C54"/>
    <w:rsid w:val="00AF5649"/>
    <w:rsid w:val="00AF5FCA"/>
    <w:rsid w:val="00AF69CA"/>
    <w:rsid w:val="00AF7F62"/>
    <w:rsid w:val="00B0065D"/>
    <w:rsid w:val="00B01813"/>
    <w:rsid w:val="00B02623"/>
    <w:rsid w:val="00B04B10"/>
    <w:rsid w:val="00B05AF3"/>
    <w:rsid w:val="00B06F4D"/>
    <w:rsid w:val="00B0710E"/>
    <w:rsid w:val="00B1053D"/>
    <w:rsid w:val="00B124A5"/>
    <w:rsid w:val="00B13A88"/>
    <w:rsid w:val="00B1602A"/>
    <w:rsid w:val="00B16154"/>
    <w:rsid w:val="00B1757A"/>
    <w:rsid w:val="00B17835"/>
    <w:rsid w:val="00B21218"/>
    <w:rsid w:val="00B24422"/>
    <w:rsid w:val="00B24C01"/>
    <w:rsid w:val="00B256E7"/>
    <w:rsid w:val="00B258EF"/>
    <w:rsid w:val="00B259C7"/>
    <w:rsid w:val="00B265A5"/>
    <w:rsid w:val="00B26A0F"/>
    <w:rsid w:val="00B31FDF"/>
    <w:rsid w:val="00B32592"/>
    <w:rsid w:val="00B3788F"/>
    <w:rsid w:val="00B37D60"/>
    <w:rsid w:val="00B4020E"/>
    <w:rsid w:val="00B407C3"/>
    <w:rsid w:val="00B41B8F"/>
    <w:rsid w:val="00B43E54"/>
    <w:rsid w:val="00B4502A"/>
    <w:rsid w:val="00B46E7B"/>
    <w:rsid w:val="00B47070"/>
    <w:rsid w:val="00B472E9"/>
    <w:rsid w:val="00B52148"/>
    <w:rsid w:val="00B5306D"/>
    <w:rsid w:val="00B55F9B"/>
    <w:rsid w:val="00B5795E"/>
    <w:rsid w:val="00B57B07"/>
    <w:rsid w:val="00B60100"/>
    <w:rsid w:val="00B60F63"/>
    <w:rsid w:val="00B6123E"/>
    <w:rsid w:val="00B62209"/>
    <w:rsid w:val="00B650D0"/>
    <w:rsid w:val="00B653A4"/>
    <w:rsid w:val="00B6572A"/>
    <w:rsid w:val="00B67791"/>
    <w:rsid w:val="00B67E1C"/>
    <w:rsid w:val="00B70631"/>
    <w:rsid w:val="00B70709"/>
    <w:rsid w:val="00B71AD5"/>
    <w:rsid w:val="00B726DD"/>
    <w:rsid w:val="00B743CE"/>
    <w:rsid w:val="00B751E0"/>
    <w:rsid w:val="00B763A5"/>
    <w:rsid w:val="00B76C2C"/>
    <w:rsid w:val="00B77825"/>
    <w:rsid w:val="00B77984"/>
    <w:rsid w:val="00B80F2F"/>
    <w:rsid w:val="00B821A9"/>
    <w:rsid w:val="00B83E06"/>
    <w:rsid w:val="00B85A84"/>
    <w:rsid w:val="00B8687B"/>
    <w:rsid w:val="00B868BA"/>
    <w:rsid w:val="00B86981"/>
    <w:rsid w:val="00B87582"/>
    <w:rsid w:val="00B91A3A"/>
    <w:rsid w:val="00B91CD8"/>
    <w:rsid w:val="00B92574"/>
    <w:rsid w:val="00B94842"/>
    <w:rsid w:val="00B94C45"/>
    <w:rsid w:val="00B95F7D"/>
    <w:rsid w:val="00B960DA"/>
    <w:rsid w:val="00BA0408"/>
    <w:rsid w:val="00BA0910"/>
    <w:rsid w:val="00BA1496"/>
    <w:rsid w:val="00BA184E"/>
    <w:rsid w:val="00BA1895"/>
    <w:rsid w:val="00BA1B3D"/>
    <w:rsid w:val="00BA2541"/>
    <w:rsid w:val="00BA4150"/>
    <w:rsid w:val="00BA59A7"/>
    <w:rsid w:val="00BA6BA8"/>
    <w:rsid w:val="00BA6E0A"/>
    <w:rsid w:val="00BA6ED7"/>
    <w:rsid w:val="00BA7BFA"/>
    <w:rsid w:val="00BB2C82"/>
    <w:rsid w:val="00BB2C9E"/>
    <w:rsid w:val="00BB34F5"/>
    <w:rsid w:val="00BB4615"/>
    <w:rsid w:val="00BB6802"/>
    <w:rsid w:val="00BB6841"/>
    <w:rsid w:val="00BB6D8C"/>
    <w:rsid w:val="00BB76B6"/>
    <w:rsid w:val="00BC3331"/>
    <w:rsid w:val="00BC3917"/>
    <w:rsid w:val="00BC4C8E"/>
    <w:rsid w:val="00BC5570"/>
    <w:rsid w:val="00BC7532"/>
    <w:rsid w:val="00BC76B4"/>
    <w:rsid w:val="00BD1581"/>
    <w:rsid w:val="00BD163E"/>
    <w:rsid w:val="00BD1F0B"/>
    <w:rsid w:val="00BD485B"/>
    <w:rsid w:val="00BD5147"/>
    <w:rsid w:val="00BD5526"/>
    <w:rsid w:val="00BD685B"/>
    <w:rsid w:val="00BD699A"/>
    <w:rsid w:val="00BD6E26"/>
    <w:rsid w:val="00BD74C2"/>
    <w:rsid w:val="00BE1590"/>
    <w:rsid w:val="00BE33C4"/>
    <w:rsid w:val="00BE3A6D"/>
    <w:rsid w:val="00BE3EFF"/>
    <w:rsid w:val="00BE48AA"/>
    <w:rsid w:val="00BE551E"/>
    <w:rsid w:val="00BE5CC2"/>
    <w:rsid w:val="00BE69C2"/>
    <w:rsid w:val="00BE6AE5"/>
    <w:rsid w:val="00BE7A70"/>
    <w:rsid w:val="00BF079B"/>
    <w:rsid w:val="00BF1A64"/>
    <w:rsid w:val="00BF2729"/>
    <w:rsid w:val="00BF3A1F"/>
    <w:rsid w:val="00BF3D81"/>
    <w:rsid w:val="00BF4212"/>
    <w:rsid w:val="00BF459A"/>
    <w:rsid w:val="00BF4EFF"/>
    <w:rsid w:val="00BF5A4F"/>
    <w:rsid w:val="00BF6011"/>
    <w:rsid w:val="00C00696"/>
    <w:rsid w:val="00C00850"/>
    <w:rsid w:val="00C0096B"/>
    <w:rsid w:val="00C00CFF"/>
    <w:rsid w:val="00C01905"/>
    <w:rsid w:val="00C01B9D"/>
    <w:rsid w:val="00C02185"/>
    <w:rsid w:val="00C02863"/>
    <w:rsid w:val="00C02ED9"/>
    <w:rsid w:val="00C03336"/>
    <w:rsid w:val="00C036EF"/>
    <w:rsid w:val="00C0407A"/>
    <w:rsid w:val="00C045C7"/>
    <w:rsid w:val="00C04C80"/>
    <w:rsid w:val="00C05913"/>
    <w:rsid w:val="00C138C2"/>
    <w:rsid w:val="00C14A40"/>
    <w:rsid w:val="00C1553D"/>
    <w:rsid w:val="00C162DD"/>
    <w:rsid w:val="00C16AC6"/>
    <w:rsid w:val="00C214A3"/>
    <w:rsid w:val="00C22117"/>
    <w:rsid w:val="00C22E28"/>
    <w:rsid w:val="00C23A6E"/>
    <w:rsid w:val="00C23CDC"/>
    <w:rsid w:val="00C2478D"/>
    <w:rsid w:val="00C249F1"/>
    <w:rsid w:val="00C26941"/>
    <w:rsid w:val="00C272D8"/>
    <w:rsid w:val="00C34614"/>
    <w:rsid w:val="00C3786A"/>
    <w:rsid w:val="00C41580"/>
    <w:rsid w:val="00C4225E"/>
    <w:rsid w:val="00C4261D"/>
    <w:rsid w:val="00C42AA2"/>
    <w:rsid w:val="00C43062"/>
    <w:rsid w:val="00C43EA2"/>
    <w:rsid w:val="00C44E5F"/>
    <w:rsid w:val="00C4556E"/>
    <w:rsid w:val="00C502D4"/>
    <w:rsid w:val="00C50C0D"/>
    <w:rsid w:val="00C52749"/>
    <w:rsid w:val="00C528F3"/>
    <w:rsid w:val="00C53167"/>
    <w:rsid w:val="00C54A66"/>
    <w:rsid w:val="00C56D35"/>
    <w:rsid w:val="00C573B0"/>
    <w:rsid w:val="00C6020B"/>
    <w:rsid w:val="00C61296"/>
    <w:rsid w:val="00C62AC7"/>
    <w:rsid w:val="00C632CA"/>
    <w:rsid w:val="00C6523F"/>
    <w:rsid w:val="00C654B1"/>
    <w:rsid w:val="00C6582E"/>
    <w:rsid w:val="00C6766A"/>
    <w:rsid w:val="00C72C2A"/>
    <w:rsid w:val="00C73652"/>
    <w:rsid w:val="00C744A9"/>
    <w:rsid w:val="00C75515"/>
    <w:rsid w:val="00C75A85"/>
    <w:rsid w:val="00C75E34"/>
    <w:rsid w:val="00C75E75"/>
    <w:rsid w:val="00C75EBC"/>
    <w:rsid w:val="00C77A36"/>
    <w:rsid w:val="00C77AE7"/>
    <w:rsid w:val="00C801E4"/>
    <w:rsid w:val="00C806E6"/>
    <w:rsid w:val="00C80F74"/>
    <w:rsid w:val="00C81015"/>
    <w:rsid w:val="00C813AF"/>
    <w:rsid w:val="00C82535"/>
    <w:rsid w:val="00C84D98"/>
    <w:rsid w:val="00C909F4"/>
    <w:rsid w:val="00C90EAA"/>
    <w:rsid w:val="00C93F06"/>
    <w:rsid w:val="00C96795"/>
    <w:rsid w:val="00CA0739"/>
    <w:rsid w:val="00CA15BA"/>
    <w:rsid w:val="00CA3246"/>
    <w:rsid w:val="00CA678F"/>
    <w:rsid w:val="00CA6B36"/>
    <w:rsid w:val="00CA7984"/>
    <w:rsid w:val="00CA7AFE"/>
    <w:rsid w:val="00CA7F7B"/>
    <w:rsid w:val="00CB002F"/>
    <w:rsid w:val="00CB0ACD"/>
    <w:rsid w:val="00CB2214"/>
    <w:rsid w:val="00CB261D"/>
    <w:rsid w:val="00CB36F3"/>
    <w:rsid w:val="00CB3B3C"/>
    <w:rsid w:val="00CB3EF4"/>
    <w:rsid w:val="00CB4E40"/>
    <w:rsid w:val="00CB5BC8"/>
    <w:rsid w:val="00CB71DC"/>
    <w:rsid w:val="00CB7D56"/>
    <w:rsid w:val="00CC02BC"/>
    <w:rsid w:val="00CC04A2"/>
    <w:rsid w:val="00CC31D7"/>
    <w:rsid w:val="00CC3295"/>
    <w:rsid w:val="00CC57E9"/>
    <w:rsid w:val="00CC5F7E"/>
    <w:rsid w:val="00CC6436"/>
    <w:rsid w:val="00CC7D9D"/>
    <w:rsid w:val="00CD0366"/>
    <w:rsid w:val="00CD05CA"/>
    <w:rsid w:val="00CD1191"/>
    <w:rsid w:val="00CD1782"/>
    <w:rsid w:val="00CD260F"/>
    <w:rsid w:val="00CD268A"/>
    <w:rsid w:val="00CD2D8C"/>
    <w:rsid w:val="00CD45A8"/>
    <w:rsid w:val="00CD4E98"/>
    <w:rsid w:val="00CD5A91"/>
    <w:rsid w:val="00CD6208"/>
    <w:rsid w:val="00CD7050"/>
    <w:rsid w:val="00CD7178"/>
    <w:rsid w:val="00CE0018"/>
    <w:rsid w:val="00CE01F0"/>
    <w:rsid w:val="00CE19E0"/>
    <w:rsid w:val="00CE30AD"/>
    <w:rsid w:val="00CE4FCF"/>
    <w:rsid w:val="00CE5E2D"/>
    <w:rsid w:val="00CE638B"/>
    <w:rsid w:val="00CE7B1F"/>
    <w:rsid w:val="00CF0408"/>
    <w:rsid w:val="00CF150A"/>
    <w:rsid w:val="00CF204A"/>
    <w:rsid w:val="00CF2614"/>
    <w:rsid w:val="00CF4411"/>
    <w:rsid w:val="00CF443D"/>
    <w:rsid w:val="00CF46E4"/>
    <w:rsid w:val="00CF481B"/>
    <w:rsid w:val="00CF4C97"/>
    <w:rsid w:val="00CF4E88"/>
    <w:rsid w:val="00CF6960"/>
    <w:rsid w:val="00CF6E4C"/>
    <w:rsid w:val="00CF7B52"/>
    <w:rsid w:val="00D00132"/>
    <w:rsid w:val="00D006E7"/>
    <w:rsid w:val="00D01E3A"/>
    <w:rsid w:val="00D03285"/>
    <w:rsid w:val="00D03B1C"/>
    <w:rsid w:val="00D04B8D"/>
    <w:rsid w:val="00D056C1"/>
    <w:rsid w:val="00D05CAC"/>
    <w:rsid w:val="00D05FA5"/>
    <w:rsid w:val="00D06A58"/>
    <w:rsid w:val="00D074D0"/>
    <w:rsid w:val="00D104A4"/>
    <w:rsid w:val="00D104D3"/>
    <w:rsid w:val="00D109F4"/>
    <w:rsid w:val="00D10AD5"/>
    <w:rsid w:val="00D10B67"/>
    <w:rsid w:val="00D111A7"/>
    <w:rsid w:val="00D120C0"/>
    <w:rsid w:val="00D12417"/>
    <w:rsid w:val="00D12585"/>
    <w:rsid w:val="00D13363"/>
    <w:rsid w:val="00D16645"/>
    <w:rsid w:val="00D16E98"/>
    <w:rsid w:val="00D20C71"/>
    <w:rsid w:val="00D211F7"/>
    <w:rsid w:val="00D21A8C"/>
    <w:rsid w:val="00D223E3"/>
    <w:rsid w:val="00D228AD"/>
    <w:rsid w:val="00D22D22"/>
    <w:rsid w:val="00D249A0"/>
    <w:rsid w:val="00D2519F"/>
    <w:rsid w:val="00D27D7F"/>
    <w:rsid w:val="00D3189F"/>
    <w:rsid w:val="00D31D85"/>
    <w:rsid w:val="00D32D06"/>
    <w:rsid w:val="00D33541"/>
    <w:rsid w:val="00D337C8"/>
    <w:rsid w:val="00D339BE"/>
    <w:rsid w:val="00D3423F"/>
    <w:rsid w:val="00D34EC9"/>
    <w:rsid w:val="00D3563E"/>
    <w:rsid w:val="00D36143"/>
    <w:rsid w:val="00D36DE2"/>
    <w:rsid w:val="00D37071"/>
    <w:rsid w:val="00D37109"/>
    <w:rsid w:val="00D3740C"/>
    <w:rsid w:val="00D37F9E"/>
    <w:rsid w:val="00D4016A"/>
    <w:rsid w:val="00D412F6"/>
    <w:rsid w:val="00D4192F"/>
    <w:rsid w:val="00D421AB"/>
    <w:rsid w:val="00D4454B"/>
    <w:rsid w:val="00D45A88"/>
    <w:rsid w:val="00D46DEF"/>
    <w:rsid w:val="00D4767F"/>
    <w:rsid w:val="00D47A25"/>
    <w:rsid w:val="00D47EB2"/>
    <w:rsid w:val="00D50349"/>
    <w:rsid w:val="00D521CA"/>
    <w:rsid w:val="00D53300"/>
    <w:rsid w:val="00D544B0"/>
    <w:rsid w:val="00D564FC"/>
    <w:rsid w:val="00D5705F"/>
    <w:rsid w:val="00D60345"/>
    <w:rsid w:val="00D607ED"/>
    <w:rsid w:val="00D61208"/>
    <w:rsid w:val="00D61261"/>
    <w:rsid w:val="00D61647"/>
    <w:rsid w:val="00D62D06"/>
    <w:rsid w:val="00D63D38"/>
    <w:rsid w:val="00D660E3"/>
    <w:rsid w:val="00D665BE"/>
    <w:rsid w:val="00D70736"/>
    <w:rsid w:val="00D71A55"/>
    <w:rsid w:val="00D763B3"/>
    <w:rsid w:val="00D76F65"/>
    <w:rsid w:val="00D776A5"/>
    <w:rsid w:val="00D8046D"/>
    <w:rsid w:val="00D8120F"/>
    <w:rsid w:val="00D81EE0"/>
    <w:rsid w:val="00D86F5D"/>
    <w:rsid w:val="00D9013F"/>
    <w:rsid w:val="00D90261"/>
    <w:rsid w:val="00D902F2"/>
    <w:rsid w:val="00D91C51"/>
    <w:rsid w:val="00D933C7"/>
    <w:rsid w:val="00D939B7"/>
    <w:rsid w:val="00D95F00"/>
    <w:rsid w:val="00D9606E"/>
    <w:rsid w:val="00DA29ED"/>
    <w:rsid w:val="00DA2D2D"/>
    <w:rsid w:val="00DA559E"/>
    <w:rsid w:val="00DB20C3"/>
    <w:rsid w:val="00DB2C74"/>
    <w:rsid w:val="00DB30A6"/>
    <w:rsid w:val="00DB32EE"/>
    <w:rsid w:val="00DB3D3B"/>
    <w:rsid w:val="00DB4FD1"/>
    <w:rsid w:val="00DB50FD"/>
    <w:rsid w:val="00DB6CAE"/>
    <w:rsid w:val="00DB7661"/>
    <w:rsid w:val="00DB767D"/>
    <w:rsid w:val="00DC0F13"/>
    <w:rsid w:val="00DC0FB2"/>
    <w:rsid w:val="00DC206E"/>
    <w:rsid w:val="00DC284F"/>
    <w:rsid w:val="00DC2AE0"/>
    <w:rsid w:val="00DC2C85"/>
    <w:rsid w:val="00DC46CA"/>
    <w:rsid w:val="00DC519B"/>
    <w:rsid w:val="00DC53D8"/>
    <w:rsid w:val="00DC5543"/>
    <w:rsid w:val="00DC6618"/>
    <w:rsid w:val="00DC74B8"/>
    <w:rsid w:val="00DD031D"/>
    <w:rsid w:val="00DD0360"/>
    <w:rsid w:val="00DD0454"/>
    <w:rsid w:val="00DD0488"/>
    <w:rsid w:val="00DD0882"/>
    <w:rsid w:val="00DD12DE"/>
    <w:rsid w:val="00DD22A6"/>
    <w:rsid w:val="00DD2BDE"/>
    <w:rsid w:val="00DD2E10"/>
    <w:rsid w:val="00DD2F50"/>
    <w:rsid w:val="00DD32F0"/>
    <w:rsid w:val="00DD3B67"/>
    <w:rsid w:val="00DD4908"/>
    <w:rsid w:val="00DD556C"/>
    <w:rsid w:val="00DD638D"/>
    <w:rsid w:val="00DD7287"/>
    <w:rsid w:val="00DD7CF1"/>
    <w:rsid w:val="00DE143B"/>
    <w:rsid w:val="00DE2632"/>
    <w:rsid w:val="00DE4926"/>
    <w:rsid w:val="00DE6143"/>
    <w:rsid w:val="00DE6404"/>
    <w:rsid w:val="00DF08EA"/>
    <w:rsid w:val="00DF09F9"/>
    <w:rsid w:val="00DF0D65"/>
    <w:rsid w:val="00DF15EA"/>
    <w:rsid w:val="00DF1B91"/>
    <w:rsid w:val="00DF227E"/>
    <w:rsid w:val="00DF35F2"/>
    <w:rsid w:val="00DF7122"/>
    <w:rsid w:val="00DF739A"/>
    <w:rsid w:val="00DF7609"/>
    <w:rsid w:val="00DF78C2"/>
    <w:rsid w:val="00E02E2F"/>
    <w:rsid w:val="00E03080"/>
    <w:rsid w:val="00E036BB"/>
    <w:rsid w:val="00E04674"/>
    <w:rsid w:val="00E051ED"/>
    <w:rsid w:val="00E062D1"/>
    <w:rsid w:val="00E1075F"/>
    <w:rsid w:val="00E1184A"/>
    <w:rsid w:val="00E1231E"/>
    <w:rsid w:val="00E13E38"/>
    <w:rsid w:val="00E144C4"/>
    <w:rsid w:val="00E15140"/>
    <w:rsid w:val="00E16A9C"/>
    <w:rsid w:val="00E1758C"/>
    <w:rsid w:val="00E17A5F"/>
    <w:rsid w:val="00E17BCE"/>
    <w:rsid w:val="00E215B3"/>
    <w:rsid w:val="00E246C8"/>
    <w:rsid w:val="00E24DD3"/>
    <w:rsid w:val="00E25242"/>
    <w:rsid w:val="00E26212"/>
    <w:rsid w:val="00E26CF2"/>
    <w:rsid w:val="00E27641"/>
    <w:rsid w:val="00E30034"/>
    <w:rsid w:val="00E31AD7"/>
    <w:rsid w:val="00E31DF1"/>
    <w:rsid w:val="00E32F14"/>
    <w:rsid w:val="00E33825"/>
    <w:rsid w:val="00E342D7"/>
    <w:rsid w:val="00E35791"/>
    <w:rsid w:val="00E36840"/>
    <w:rsid w:val="00E40D55"/>
    <w:rsid w:val="00E4118B"/>
    <w:rsid w:val="00E41EBE"/>
    <w:rsid w:val="00E42FBC"/>
    <w:rsid w:val="00E438D1"/>
    <w:rsid w:val="00E44240"/>
    <w:rsid w:val="00E443EA"/>
    <w:rsid w:val="00E44497"/>
    <w:rsid w:val="00E44B87"/>
    <w:rsid w:val="00E46266"/>
    <w:rsid w:val="00E46653"/>
    <w:rsid w:val="00E474A3"/>
    <w:rsid w:val="00E47F28"/>
    <w:rsid w:val="00E50368"/>
    <w:rsid w:val="00E503C2"/>
    <w:rsid w:val="00E5059F"/>
    <w:rsid w:val="00E50A21"/>
    <w:rsid w:val="00E52150"/>
    <w:rsid w:val="00E523CC"/>
    <w:rsid w:val="00E53496"/>
    <w:rsid w:val="00E547AD"/>
    <w:rsid w:val="00E54A3C"/>
    <w:rsid w:val="00E55D27"/>
    <w:rsid w:val="00E57F26"/>
    <w:rsid w:val="00E57FBD"/>
    <w:rsid w:val="00E607DB"/>
    <w:rsid w:val="00E62CF9"/>
    <w:rsid w:val="00E63117"/>
    <w:rsid w:val="00E648F6"/>
    <w:rsid w:val="00E6648E"/>
    <w:rsid w:val="00E66A13"/>
    <w:rsid w:val="00E66B7E"/>
    <w:rsid w:val="00E66D62"/>
    <w:rsid w:val="00E71F6D"/>
    <w:rsid w:val="00E722F1"/>
    <w:rsid w:val="00E72DFF"/>
    <w:rsid w:val="00E73852"/>
    <w:rsid w:val="00E7712B"/>
    <w:rsid w:val="00E771E8"/>
    <w:rsid w:val="00E77AFC"/>
    <w:rsid w:val="00E8279A"/>
    <w:rsid w:val="00E83C8E"/>
    <w:rsid w:val="00E84A12"/>
    <w:rsid w:val="00E84D50"/>
    <w:rsid w:val="00E870A8"/>
    <w:rsid w:val="00E874B1"/>
    <w:rsid w:val="00E87BAB"/>
    <w:rsid w:val="00E90767"/>
    <w:rsid w:val="00E908A1"/>
    <w:rsid w:val="00E9174D"/>
    <w:rsid w:val="00E91D60"/>
    <w:rsid w:val="00E92EB8"/>
    <w:rsid w:val="00E9385F"/>
    <w:rsid w:val="00E946CC"/>
    <w:rsid w:val="00E95207"/>
    <w:rsid w:val="00E9753D"/>
    <w:rsid w:val="00E97C27"/>
    <w:rsid w:val="00EA1948"/>
    <w:rsid w:val="00EA2B82"/>
    <w:rsid w:val="00EA32E7"/>
    <w:rsid w:val="00EA3A7F"/>
    <w:rsid w:val="00EA4BE5"/>
    <w:rsid w:val="00EA7215"/>
    <w:rsid w:val="00EA7BCD"/>
    <w:rsid w:val="00EB03AD"/>
    <w:rsid w:val="00EB1ACB"/>
    <w:rsid w:val="00EB1DA3"/>
    <w:rsid w:val="00EB1F84"/>
    <w:rsid w:val="00EB37C7"/>
    <w:rsid w:val="00EB469F"/>
    <w:rsid w:val="00EB5304"/>
    <w:rsid w:val="00EB5498"/>
    <w:rsid w:val="00EB5837"/>
    <w:rsid w:val="00EB5D44"/>
    <w:rsid w:val="00EC07D5"/>
    <w:rsid w:val="00EC2024"/>
    <w:rsid w:val="00EC2AD0"/>
    <w:rsid w:val="00EC304C"/>
    <w:rsid w:val="00EC30FA"/>
    <w:rsid w:val="00EC3EBE"/>
    <w:rsid w:val="00EC4085"/>
    <w:rsid w:val="00EC42A4"/>
    <w:rsid w:val="00EC44E5"/>
    <w:rsid w:val="00EC4953"/>
    <w:rsid w:val="00EC582F"/>
    <w:rsid w:val="00EC6091"/>
    <w:rsid w:val="00EC6834"/>
    <w:rsid w:val="00EC7243"/>
    <w:rsid w:val="00ED1C89"/>
    <w:rsid w:val="00ED319B"/>
    <w:rsid w:val="00ED5AE6"/>
    <w:rsid w:val="00ED67C3"/>
    <w:rsid w:val="00ED69F3"/>
    <w:rsid w:val="00ED781E"/>
    <w:rsid w:val="00EE3648"/>
    <w:rsid w:val="00EE5358"/>
    <w:rsid w:val="00EE7297"/>
    <w:rsid w:val="00EF2A7A"/>
    <w:rsid w:val="00EF32B9"/>
    <w:rsid w:val="00EF4D09"/>
    <w:rsid w:val="00EF4DB8"/>
    <w:rsid w:val="00EF5CFA"/>
    <w:rsid w:val="00EF78B2"/>
    <w:rsid w:val="00F00006"/>
    <w:rsid w:val="00F00386"/>
    <w:rsid w:val="00F01C2C"/>
    <w:rsid w:val="00F06099"/>
    <w:rsid w:val="00F06B8C"/>
    <w:rsid w:val="00F07169"/>
    <w:rsid w:val="00F11955"/>
    <w:rsid w:val="00F13757"/>
    <w:rsid w:val="00F15451"/>
    <w:rsid w:val="00F1619A"/>
    <w:rsid w:val="00F20198"/>
    <w:rsid w:val="00F20A53"/>
    <w:rsid w:val="00F2157F"/>
    <w:rsid w:val="00F219E8"/>
    <w:rsid w:val="00F22055"/>
    <w:rsid w:val="00F22E64"/>
    <w:rsid w:val="00F2407E"/>
    <w:rsid w:val="00F26ADC"/>
    <w:rsid w:val="00F27040"/>
    <w:rsid w:val="00F30AA4"/>
    <w:rsid w:val="00F321EA"/>
    <w:rsid w:val="00F34A02"/>
    <w:rsid w:val="00F35A06"/>
    <w:rsid w:val="00F3716C"/>
    <w:rsid w:val="00F406AE"/>
    <w:rsid w:val="00F41283"/>
    <w:rsid w:val="00F41299"/>
    <w:rsid w:val="00F41A67"/>
    <w:rsid w:val="00F41C1F"/>
    <w:rsid w:val="00F43C77"/>
    <w:rsid w:val="00F44224"/>
    <w:rsid w:val="00F451F3"/>
    <w:rsid w:val="00F46256"/>
    <w:rsid w:val="00F50DFC"/>
    <w:rsid w:val="00F530CB"/>
    <w:rsid w:val="00F536FE"/>
    <w:rsid w:val="00F537F2"/>
    <w:rsid w:val="00F542B6"/>
    <w:rsid w:val="00F56428"/>
    <w:rsid w:val="00F60D6D"/>
    <w:rsid w:val="00F6254C"/>
    <w:rsid w:val="00F627B4"/>
    <w:rsid w:val="00F6325F"/>
    <w:rsid w:val="00F63A5A"/>
    <w:rsid w:val="00F674F2"/>
    <w:rsid w:val="00F707FE"/>
    <w:rsid w:val="00F71945"/>
    <w:rsid w:val="00F7213B"/>
    <w:rsid w:val="00F731A8"/>
    <w:rsid w:val="00F7418E"/>
    <w:rsid w:val="00F74C90"/>
    <w:rsid w:val="00F763FD"/>
    <w:rsid w:val="00F769DA"/>
    <w:rsid w:val="00F76C5B"/>
    <w:rsid w:val="00F800C8"/>
    <w:rsid w:val="00F802A7"/>
    <w:rsid w:val="00F81299"/>
    <w:rsid w:val="00F81C44"/>
    <w:rsid w:val="00F83A2C"/>
    <w:rsid w:val="00F83C5D"/>
    <w:rsid w:val="00F84CBE"/>
    <w:rsid w:val="00F86433"/>
    <w:rsid w:val="00F90D4E"/>
    <w:rsid w:val="00F91551"/>
    <w:rsid w:val="00F92386"/>
    <w:rsid w:val="00F93135"/>
    <w:rsid w:val="00F94B61"/>
    <w:rsid w:val="00F94C3F"/>
    <w:rsid w:val="00F961DC"/>
    <w:rsid w:val="00F96332"/>
    <w:rsid w:val="00FA16CB"/>
    <w:rsid w:val="00FA20EC"/>
    <w:rsid w:val="00FA5221"/>
    <w:rsid w:val="00FA7C81"/>
    <w:rsid w:val="00FB0236"/>
    <w:rsid w:val="00FB0459"/>
    <w:rsid w:val="00FB0F90"/>
    <w:rsid w:val="00FB14AD"/>
    <w:rsid w:val="00FB1A70"/>
    <w:rsid w:val="00FB5BE8"/>
    <w:rsid w:val="00FB60C8"/>
    <w:rsid w:val="00FB7E13"/>
    <w:rsid w:val="00FC064A"/>
    <w:rsid w:val="00FC19B4"/>
    <w:rsid w:val="00FC1A99"/>
    <w:rsid w:val="00FC2760"/>
    <w:rsid w:val="00FC3A01"/>
    <w:rsid w:val="00FC3F6E"/>
    <w:rsid w:val="00FC45DD"/>
    <w:rsid w:val="00FC536D"/>
    <w:rsid w:val="00FC5D6A"/>
    <w:rsid w:val="00FC6B4B"/>
    <w:rsid w:val="00FC718C"/>
    <w:rsid w:val="00FC794C"/>
    <w:rsid w:val="00FC7A3E"/>
    <w:rsid w:val="00FC7F4F"/>
    <w:rsid w:val="00FD2116"/>
    <w:rsid w:val="00FD283F"/>
    <w:rsid w:val="00FD290B"/>
    <w:rsid w:val="00FD31C8"/>
    <w:rsid w:val="00FD3487"/>
    <w:rsid w:val="00FD37CF"/>
    <w:rsid w:val="00FD39D4"/>
    <w:rsid w:val="00FD3C49"/>
    <w:rsid w:val="00FD5C81"/>
    <w:rsid w:val="00FD6B36"/>
    <w:rsid w:val="00FD6E74"/>
    <w:rsid w:val="00FD7251"/>
    <w:rsid w:val="00FE0A35"/>
    <w:rsid w:val="00FE2B93"/>
    <w:rsid w:val="00FE2D3C"/>
    <w:rsid w:val="00FE3F7B"/>
    <w:rsid w:val="00FE45AE"/>
    <w:rsid w:val="00FE47AD"/>
    <w:rsid w:val="00FE73ED"/>
    <w:rsid w:val="00FF058C"/>
    <w:rsid w:val="00FF0715"/>
    <w:rsid w:val="00FF09E9"/>
    <w:rsid w:val="00FF1066"/>
    <w:rsid w:val="00FF3AC6"/>
    <w:rsid w:val="00FF4588"/>
    <w:rsid w:val="00FF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0F6F02"/>
  <w15:docId w15:val="{F81AAD18-E3BD-4315-BDAC-8CB3195CC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3062"/>
    <w:pPr>
      <w:spacing w:line="480" w:lineRule="auto"/>
    </w:pPr>
    <w:rPr>
      <w:rFonts w:ascii="Arial" w:eastAsia="宋体" w:hAnsi="Arial" w:cs="Times New Roman"/>
      <w:kern w:val="0"/>
      <w:sz w:val="20"/>
      <w:szCs w:val="24"/>
      <w:lang w:val="en-GB" w:eastAsia="en-US"/>
    </w:rPr>
  </w:style>
  <w:style w:type="paragraph" w:styleId="1">
    <w:name w:val="heading 1"/>
    <w:basedOn w:val="a"/>
    <w:next w:val="a"/>
    <w:link w:val="10"/>
    <w:uiPriority w:val="9"/>
    <w:qFormat/>
    <w:rsid w:val="00FC79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2D8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327"/>
    <w:pPr>
      <w:ind w:firstLineChars="200" w:firstLine="420"/>
    </w:pPr>
  </w:style>
  <w:style w:type="paragraph" w:customStyle="1" w:styleId="EndNoteBibliographyTitle">
    <w:name w:val="EndNote Bibliography Title"/>
    <w:basedOn w:val="a"/>
    <w:link w:val="EndNoteBibliographyTitle0"/>
    <w:rsid w:val="00954A01"/>
    <w:pPr>
      <w:jc w:val="center"/>
    </w:pPr>
    <w:rPr>
      <w:rFonts w:cs="Arial"/>
      <w:noProof/>
    </w:rPr>
  </w:style>
  <w:style w:type="character" w:customStyle="1" w:styleId="EndNoteBibliographyTitle0">
    <w:name w:val="EndNote Bibliography Title 字符"/>
    <w:basedOn w:val="a0"/>
    <w:link w:val="EndNoteBibliographyTitle"/>
    <w:rsid w:val="00954A01"/>
    <w:rPr>
      <w:rFonts w:ascii="Arial" w:eastAsia="宋体" w:hAnsi="Arial" w:cs="Arial"/>
      <w:noProof/>
      <w:kern w:val="0"/>
      <w:sz w:val="20"/>
      <w:szCs w:val="24"/>
      <w:lang w:val="en-GB" w:eastAsia="en-US"/>
    </w:rPr>
  </w:style>
  <w:style w:type="paragraph" w:customStyle="1" w:styleId="EndNoteBibliography">
    <w:name w:val="EndNote Bibliography"/>
    <w:basedOn w:val="a"/>
    <w:link w:val="EndNoteBibliography0"/>
    <w:rsid w:val="00954A01"/>
    <w:pPr>
      <w:spacing w:line="240" w:lineRule="auto"/>
      <w:jc w:val="both"/>
    </w:pPr>
    <w:rPr>
      <w:rFonts w:cs="Arial"/>
      <w:noProof/>
    </w:rPr>
  </w:style>
  <w:style w:type="character" w:customStyle="1" w:styleId="EndNoteBibliography0">
    <w:name w:val="EndNote Bibliography 字符"/>
    <w:basedOn w:val="a0"/>
    <w:link w:val="EndNoteBibliography"/>
    <w:rsid w:val="00954A01"/>
    <w:rPr>
      <w:rFonts w:ascii="Arial" w:eastAsia="宋体" w:hAnsi="Arial" w:cs="Arial"/>
      <w:noProof/>
      <w:kern w:val="0"/>
      <w:sz w:val="20"/>
      <w:szCs w:val="24"/>
      <w:lang w:val="en-GB" w:eastAsia="en-US"/>
    </w:rPr>
  </w:style>
  <w:style w:type="paragraph" w:styleId="a4">
    <w:name w:val="header"/>
    <w:basedOn w:val="a"/>
    <w:link w:val="a5"/>
    <w:uiPriority w:val="99"/>
    <w:unhideWhenUsed/>
    <w:rsid w:val="007E68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E68C5"/>
    <w:rPr>
      <w:rFonts w:ascii="Arial" w:eastAsia="宋体" w:hAnsi="Arial" w:cs="Times New Roman"/>
      <w:kern w:val="0"/>
      <w:sz w:val="18"/>
      <w:szCs w:val="18"/>
      <w:lang w:eastAsia="en-US"/>
    </w:rPr>
  </w:style>
  <w:style w:type="paragraph" w:styleId="a6">
    <w:name w:val="footer"/>
    <w:basedOn w:val="a"/>
    <w:link w:val="a7"/>
    <w:uiPriority w:val="99"/>
    <w:unhideWhenUsed/>
    <w:rsid w:val="007E68C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E68C5"/>
    <w:rPr>
      <w:rFonts w:ascii="Arial" w:eastAsia="宋体" w:hAnsi="Arial" w:cs="Times New Roman"/>
      <w:kern w:val="0"/>
      <w:sz w:val="18"/>
      <w:szCs w:val="18"/>
      <w:lang w:eastAsia="en-US"/>
    </w:rPr>
  </w:style>
  <w:style w:type="character" w:customStyle="1" w:styleId="10">
    <w:name w:val="标题 1 字符"/>
    <w:basedOn w:val="a0"/>
    <w:link w:val="1"/>
    <w:uiPriority w:val="9"/>
    <w:rsid w:val="00FC794C"/>
    <w:rPr>
      <w:rFonts w:ascii="Arial" w:eastAsia="宋体" w:hAnsi="Arial" w:cs="Times New Roman"/>
      <w:b/>
      <w:bCs/>
      <w:kern w:val="44"/>
      <w:sz w:val="44"/>
      <w:szCs w:val="44"/>
      <w:lang w:eastAsia="en-US"/>
    </w:rPr>
  </w:style>
  <w:style w:type="character" w:customStyle="1" w:styleId="icon">
    <w:name w:val="icon"/>
    <w:basedOn w:val="a0"/>
    <w:rsid w:val="00825479"/>
  </w:style>
  <w:style w:type="character" w:customStyle="1" w:styleId="is-active">
    <w:name w:val="is-active"/>
    <w:basedOn w:val="a0"/>
    <w:rsid w:val="00825479"/>
  </w:style>
  <w:style w:type="character" w:styleId="a8">
    <w:name w:val="Hyperlink"/>
    <w:basedOn w:val="a0"/>
    <w:uiPriority w:val="99"/>
    <w:unhideWhenUsed/>
    <w:rsid w:val="00E97C27"/>
    <w:rPr>
      <w:color w:val="0000FF"/>
      <w:u w:val="single"/>
    </w:rPr>
  </w:style>
  <w:style w:type="character" w:styleId="a9">
    <w:name w:val="annotation reference"/>
    <w:basedOn w:val="a0"/>
    <w:rsid w:val="00805BC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</w:style>
  <w:style w:type="character" w:customStyle="1" w:styleId="ab">
    <w:name w:val="批注文字 字符"/>
    <w:basedOn w:val="a0"/>
    <w:link w:val="aa"/>
    <w:uiPriority w:val="99"/>
    <w:semiHidden/>
    <w:rPr>
      <w:rFonts w:ascii="Arial" w:eastAsia="宋体" w:hAnsi="Arial" w:cs="Times New Roman"/>
      <w:kern w:val="0"/>
      <w:sz w:val="20"/>
      <w:szCs w:val="24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AF3136"/>
    <w:pPr>
      <w:spacing w:line="240" w:lineRule="auto"/>
    </w:pPr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AF3136"/>
    <w:rPr>
      <w:rFonts w:ascii="Arial" w:eastAsia="宋体" w:hAnsi="Arial" w:cs="Times New Roman"/>
      <w:kern w:val="0"/>
      <w:sz w:val="18"/>
      <w:szCs w:val="18"/>
      <w:lang w:eastAsia="en-US"/>
    </w:rPr>
  </w:style>
  <w:style w:type="character" w:customStyle="1" w:styleId="11">
    <w:name w:val="未处理的提及1"/>
    <w:basedOn w:val="a0"/>
    <w:uiPriority w:val="99"/>
    <w:semiHidden/>
    <w:unhideWhenUsed/>
    <w:rsid w:val="005C55B5"/>
    <w:rPr>
      <w:color w:val="605E5C"/>
      <w:shd w:val="clear" w:color="auto" w:fill="E1DFDD"/>
    </w:rPr>
  </w:style>
  <w:style w:type="character" w:customStyle="1" w:styleId="30">
    <w:name w:val="标题 3 字符"/>
    <w:basedOn w:val="a0"/>
    <w:link w:val="3"/>
    <w:uiPriority w:val="9"/>
    <w:semiHidden/>
    <w:rsid w:val="00CD2D8C"/>
    <w:rPr>
      <w:rFonts w:ascii="Arial" w:eastAsia="宋体" w:hAnsi="Arial" w:cs="Times New Roman"/>
      <w:b/>
      <w:bCs/>
      <w:kern w:val="0"/>
      <w:sz w:val="32"/>
      <w:szCs w:val="32"/>
      <w:lang w:eastAsia="en-US"/>
    </w:rPr>
  </w:style>
  <w:style w:type="character" w:styleId="ae">
    <w:name w:val="Emphasis"/>
    <w:basedOn w:val="a0"/>
    <w:uiPriority w:val="20"/>
    <w:qFormat/>
    <w:rsid w:val="009E18FB"/>
    <w:rPr>
      <w:i/>
      <w:iCs/>
    </w:rPr>
  </w:style>
  <w:style w:type="paragraph" w:styleId="af">
    <w:name w:val="annotation subject"/>
    <w:basedOn w:val="aa"/>
    <w:next w:val="aa"/>
    <w:link w:val="af0"/>
    <w:uiPriority w:val="99"/>
    <w:semiHidden/>
    <w:unhideWhenUsed/>
    <w:rsid w:val="0047209F"/>
    <w:rPr>
      <w:b/>
      <w:bCs/>
    </w:rPr>
  </w:style>
  <w:style w:type="character" w:customStyle="1" w:styleId="af0">
    <w:name w:val="批注主题 字符"/>
    <w:basedOn w:val="ab"/>
    <w:link w:val="af"/>
    <w:uiPriority w:val="99"/>
    <w:semiHidden/>
    <w:rsid w:val="0047209F"/>
    <w:rPr>
      <w:rFonts w:ascii="Arial" w:eastAsia="宋体" w:hAnsi="Arial" w:cs="Times New Roman"/>
      <w:b/>
      <w:bCs/>
      <w:kern w:val="0"/>
      <w:sz w:val="20"/>
      <w:szCs w:val="24"/>
      <w:lang w:val="en-GB" w:eastAsia="en-US"/>
    </w:rPr>
  </w:style>
  <w:style w:type="paragraph" w:styleId="af1">
    <w:name w:val="Revision"/>
    <w:hidden/>
    <w:uiPriority w:val="99"/>
    <w:semiHidden/>
    <w:rsid w:val="0095299B"/>
    <w:rPr>
      <w:rFonts w:ascii="Arial" w:eastAsia="宋体" w:hAnsi="Arial" w:cs="Times New Roman"/>
      <w:kern w:val="0"/>
      <w:sz w:val="20"/>
      <w:szCs w:val="24"/>
      <w:lang w:val="en-GB" w:eastAsia="en-US"/>
    </w:rPr>
  </w:style>
  <w:style w:type="table" w:styleId="af2">
    <w:name w:val="Table Grid"/>
    <w:basedOn w:val="a1"/>
    <w:uiPriority w:val="39"/>
    <w:rsid w:val="00EC44E5"/>
    <w:tblPr>
      <w:tblBorders>
        <w:left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</w:tblPr>
  </w:style>
  <w:style w:type="table" w:customStyle="1" w:styleId="12">
    <w:name w:val="网格型1"/>
    <w:basedOn w:val="a1"/>
    <w:next w:val="af2"/>
    <w:uiPriority w:val="39"/>
    <w:rsid w:val="00EC4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next w:val="af2"/>
    <w:uiPriority w:val="39"/>
    <w:rsid w:val="00EC4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image" Target="media/image6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tif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tif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tiff"/><Relationship Id="rId4" Type="http://schemas.openxmlformats.org/officeDocument/2006/relationships/settings" Target="settings.xml"/><Relationship Id="rId9" Type="http://schemas.openxmlformats.org/officeDocument/2006/relationships/image" Target="media/image2.tiff"/><Relationship Id="rId14" Type="http://schemas.openxmlformats.org/officeDocument/2006/relationships/image" Target="media/image7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9F00F-BAAB-4A85-A7CE-901CB8739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11</Pages>
  <Words>991</Words>
  <Characters>5649</Characters>
  <Application>Microsoft Office Word</Application>
  <DocSecurity>0</DocSecurity>
  <Lines>47</Lines>
  <Paragraphs>13</Paragraphs>
  <ScaleCrop>false</ScaleCrop>
  <Company/>
  <LinksUpToDate>false</LinksUpToDate>
  <CharactersWithSpaces>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 文君</dc:creator>
  <cp:lastModifiedBy>Yusheng Yao</cp:lastModifiedBy>
  <cp:revision>36</cp:revision>
  <dcterms:created xsi:type="dcterms:W3CDTF">2024-08-07T07:34:00Z</dcterms:created>
  <dcterms:modified xsi:type="dcterms:W3CDTF">2024-12-04T13:46:00Z</dcterms:modified>
</cp:coreProperties>
</file>