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0367" w14:textId="77777777" w:rsidR="00D37825" w:rsidRPr="00B15EC8" w:rsidRDefault="00D37825" w:rsidP="00D37825">
      <w:pPr>
        <w:rPr>
          <w:rFonts w:cs="Arial"/>
          <w:sz w:val="22"/>
          <w:szCs w:val="22"/>
        </w:rPr>
      </w:pPr>
      <w:r w:rsidRPr="00B15EC8">
        <w:rPr>
          <w:rFonts w:cs="Arial"/>
          <w:sz w:val="22"/>
          <w:szCs w:val="22"/>
        </w:rPr>
        <w:t>Supplemental Tables</w:t>
      </w:r>
    </w:p>
    <w:p w14:paraId="5E896919" w14:textId="77777777" w:rsidR="00D37825" w:rsidRPr="00B15EC8" w:rsidRDefault="00D37825" w:rsidP="00D37825">
      <w:pPr>
        <w:widowControl w:val="0"/>
        <w:rPr>
          <w:rFonts w:cs="Arial"/>
          <w:sz w:val="22"/>
          <w:szCs w:val="22"/>
        </w:rPr>
      </w:pPr>
      <w:r w:rsidRPr="00B15EC8">
        <w:rPr>
          <w:rFonts w:cs="Arial"/>
          <w:b/>
          <w:bCs/>
          <w:sz w:val="22"/>
          <w:szCs w:val="22"/>
        </w:rPr>
        <w:t>Supplemental Table 1</w:t>
      </w:r>
      <w:r w:rsidRPr="00B15EC8">
        <w:rPr>
          <w:rFonts w:cs="Arial"/>
          <w:sz w:val="22"/>
          <w:szCs w:val="22"/>
        </w:rPr>
        <w:t xml:space="preserve"> Exclusion criteria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80"/>
        <w:gridCol w:w="3080"/>
        <w:gridCol w:w="3320"/>
      </w:tblGrid>
      <w:tr w:rsidR="00D37825" w:rsidRPr="00B15EC8" w14:paraId="6B7789A9" w14:textId="77777777" w:rsidTr="008E7D62">
        <w:trPr>
          <w:trHeight w:val="395"/>
        </w:trPr>
        <w:tc>
          <w:tcPr>
            <w:tcW w:w="9535" w:type="dxa"/>
            <w:gridSpan w:val="4"/>
            <w:shd w:val="clear" w:color="auto" w:fill="auto"/>
            <w:hideMark/>
          </w:tcPr>
          <w:p w14:paraId="5891C676" w14:textId="77777777" w:rsidR="00D37825" w:rsidRPr="00B15EC8" w:rsidRDefault="00D37825" w:rsidP="008E7D62">
            <w:pPr>
              <w:rPr>
                <w:rFonts w:cs="Arial"/>
                <w:b/>
                <w:bCs/>
                <w:color w:val="000000"/>
                <w:sz w:val="22"/>
                <w:szCs w:val="22"/>
              </w:rPr>
            </w:pPr>
            <w:r w:rsidRPr="00B15EC8">
              <w:rPr>
                <w:rFonts w:cs="Arial"/>
                <w:b/>
                <w:bCs/>
                <w:color w:val="000000"/>
                <w:sz w:val="22"/>
                <w:szCs w:val="22"/>
              </w:rPr>
              <w:t xml:space="preserve">Exclusion Criteria for Exercise-Induced Shoulder Injury Protocol </w:t>
            </w:r>
          </w:p>
        </w:tc>
      </w:tr>
      <w:tr w:rsidR="00D37825" w:rsidRPr="00B15EC8" w14:paraId="11FA4DB8" w14:textId="77777777" w:rsidTr="008E7D62">
        <w:trPr>
          <w:trHeight w:val="680"/>
        </w:trPr>
        <w:tc>
          <w:tcPr>
            <w:tcW w:w="3055" w:type="dxa"/>
            <w:shd w:val="clear" w:color="auto" w:fill="auto"/>
            <w:hideMark/>
          </w:tcPr>
          <w:p w14:paraId="63E90EB4" w14:textId="77777777" w:rsidR="00D37825" w:rsidRPr="00B15EC8" w:rsidRDefault="00D37825" w:rsidP="008E7D62">
            <w:pPr>
              <w:rPr>
                <w:rFonts w:cs="Arial"/>
                <w:color w:val="000000"/>
                <w:sz w:val="22"/>
                <w:szCs w:val="22"/>
              </w:rPr>
            </w:pPr>
            <w:r w:rsidRPr="00B15EC8">
              <w:rPr>
                <w:rFonts w:cs="Arial"/>
                <w:color w:val="000000"/>
                <w:sz w:val="22"/>
                <w:szCs w:val="22"/>
              </w:rPr>
              <w:t xml:space="preserve">Chronic pain (&gt; 3 months) in any area </w:t>
            </w:r>
          </w:p>
        </w:tc>
        <w:tc>
          <w:tcPr>
            <w:tcW w:w="3160" w:type="dxa"/>
            <w:gridSpan w:val="2"/>
            <w:shd w:val="clear" w:color="auto" w:fill="auto"/>
            <w:hideMark/>
          </w:tcPr>
          <w:p w14:paraId="7EE60865" w14:textId="77777777" w:rsidR="00D37825" w:rsidRPr="00B15EC8" w:rsidRDefault="00D37825" w:rsidP="008E7D62">
            <w:pPr>
              <w:rPr>
                <w:rFonts w:cs="Arial"/>
                <w:color w:val="000000"/>
                <w:sz w:val="22"/>
                <w:szCs w:val="22"/>
              </w:rPr>
            </w:pPr>
            <w:r w:rsidRPr="00B15EC8">
              <w:rPr>
                <w:rFonts w:cs="Arial"/>
                <w:color w:val="000000"/>
                <w:sz w:val="22"/>
                <w:szCs w:val="22"/>
              </w:rPr>
              <w:t xml:space="preserve">Currently experiencing neck or shoulder pain </w:t>
            </w:r>
          </w:p>
        </w:tc>
        <w:tc>
          <w:tcPr>
            <w:tcW w:w="3320" w:type="dxa"/>
            <w:shd w:val="clear" w:color="auto" w:fill="auto"/>
            <w:hideMark/>
          </w:tcPr>
          <w:p w14:paraId="59DD184E" w14:textId="77777777" w:rsidR="00D37825" w:rsidRPr="00B15EC8" w:rsidRDefault="00D37825" w:rsidP="008E7D62">
            <w:pPr>
              <w:rPr>
                <w:rFonts w:cs="Arial"/>
                <w:color w:val="000000"/>
                <w:sz w:val="22"/>
                <w:szCs w:val="22"/>
              </w:rPr>
            </w:pPr>
            <w:r w:rsidRPr="00B15EC8">
              <w:rPr>
                <w:rFonts w:cs="Arial"/>
                <w:color w:val="000000"/>
                <w:sz w:val="22"/>
                <w:szCs w:val="22"/>
              </w:rPr>
              <w:t xml:space="preserve">Previous history of upper extremity surgery </w:t>
            </w:r>
          </w:p>
        </w:tc>
      </w:tr>
      <w:tr w:rsidR="00D37825" w:rsidRPr="00B15EC8" w14:paraId="0F25FF44" w14:textId="77777777" w:rsidTr="008E7D62">
        <w:trPr>
          <w:trHeight w:val="1360"/>
        </w:trPr>
        <w:tc>
          <w:tcPr>
            <w:tcW w:w="3055" w:type="dxa"/>
            <w:shd w:val="clear" w:color="auto" w:fill="auto"/>
            <w:hideMark/>
          </w:tcPr>
          <w:p w14:paraId="4A84361A" w14:textId="77777777" w:rsidR="00D37825" w:rsidRPr="00B15EC8" w:rsidRDefault="00D37825" w:rsidP="008E7D62">
            <w:pPr>
              <w:rPr>
                <w:rFonts w:cs="Arial"/>
                <w:color w:val="000000"/>
                <w:sz w:val="22"/>
                <w:szCs w:val="22"/>
              </w:rPr>
            </w:pPr>
            <w:r w:rsidRPr="00B15EC8">
              <w:rPr>
                <w:rFonts w:cs="Arial"/>
                <w:color w:val="000000"/>
                <w:sz w:val="22"/>
                <w:szCs w:val="22"/>
              </w:rPr>
              <w:t xml:space="preserve">Neurologic impairment of the upper- extremity (determined by loss of sensation, muscle weakness, and reflex change) </w:t>
            </w:r>
          </w:p>
        </w:tc>
        <w:tc>
          <w:tcPr>
            <w:tcW w:w="3160" w:type="dxa"/>
            <w:gridSpan w:val="2"/>
            <w:shd w:val="clear" w:color="auto" w:fill="auto"/>
            <w:hideMark/>
          </w:tcPr>
          <w:p w14:paraId="4D1C6E5E" w14:textId="77777777" w:rsidR="00D37825" w:rsidRPr="00B15EC8" w:rsidRDefault="00D37825" w:rsidP="008E7D62">
            <w:pPr>
              <w:rPr>
                <w:rFonts w:cs="Arial"/>
                <w:color w:val="000000"/>
                <w:sz w:val="22"/>
                <w:szCs w:val="22"/>
              </w:rPr>
            </w:pPr>
            <w:r w:rsidRPr="00B15EC8">
              <w:rPr>
                <w:rFonts w:cs="Arial"/>
                <w:color w:val="000000"/>
                <w:sz w:val="22"/>
                <w:szCs w:val="22"/>
              </w:rPr>
              <w:t xml:space="preserve">Previous history of neck or shoulder pain (operationally defined as experiencing pain longer than 48 hours or seeking medical treatment) </w:t>
            </w:r>
          </w:p>
        </w:tc>
        <w:tc>
          <w:tcPr>
            <w:tcW w:w="3320" w:type="dxa"/>
            <w:shd w:val="clear" w:color="auto" w:fill="auto"/>
            <w:hideMark/>
          </w:tcPr>
          <w:p w14:paraId="56C2EDB4" w14:textId="77777777" w:rsidR="00D37825" w:rsidRPr="00B15EC8" w:rsidRDefault="00D37825" w:rsidP="008E7D62">
            <w:pPr>
              <w:rPr>
                <w:rFonts w:cs="Arial"/>
                <w:color w:val="000000"/>
                <w:sz w:val="22"/>
                <w:szCs w:val="22"/>
              </w:rPr>
            </w:pPr>
            <w:r w:rsidRPr="00B15EC8">
              <w:rPr>
                <w:rFonts w:cs="Arial"/>
                <w:color w:val="000000"/>
                <w:sz w:val="22"/>
                <w:szCs w:val="22"/>
              </w:rPr>
              <w:t xml:space="preserve">Currently or regularly use pain medication </w:t>
            </w:r>
          </w:p>
        </w:tc>
      </w:tr>
      <w:tr w:rsidR="00D37825" w:rsidRPr="00B15EC8" w14:paraId="00CB9798" w14:textId="77777777" w:rsidTr="008E7D62">
        <w:trPr>
          <w:trHeight w:val="680"/>
        </w:trPr>
        <w:tc>
          <w:tcPr>
            <w:tcW w:w="3055" w:type="dxa"/>
            <w:shd w:val="clear" w:color="auto" w:fill="auto"/>
            <w:hideMark/>
          </w:tcPr>
          <w:p w14:paraId="3FBE8442" w14:textId="77777777" w:rsidR="00D37825" w:rsidRPr="00B15EC8" w:rsidRDefault="00D37825" w:rsidP="008E7D62">
            <w:pPr>
              <w:rPr>
                <w:rFonts w:cs="Arial"/>
                <w:color w:val="000000"/>
                <w:sz w:val="22"/>
                <w:szCs w:val="22"/>
              </w:rPr>
            </w:pPr>
            <w:r w:rsidRPr="00B15EC8">
              <w:rPr>
                <w:rFonts w:cs="Arial"/>
                <w:color w:val="000000"/>
                <w:sz w:val="22"/>
                <w:szCs w:val="22"/>
              </w:rPr>
              <w:t xml:space="preserve">Regular participation in upper- extremity weight training </w:t>
            </w:r>
          </w:p>
        </w:tc>
        <w:tc>
          <w:tcPr>
            <w:tcW w:w="3160" w:type="dxa"/>
            <w:gridSpan w:val="2"/>
            <w:shd w:val="clear" w:color="auto" w:fill="auto"/>
            <w:hideMark/>
          </w:tcPr>
          <w:p w14:paraId="0AE4A66E" w14:textId="77777777" w:rsidR="00D37825" w:rsidRPr="00B15EC8" w:rsidRDefault="00D37825" w:rsidP="008E7D62">
            <w:pPr>
              <w:rPr>
                <w:rFonts w:cs="Arial"/>
                <w:color w:val="000000"/>
                <w:sz w:val="22"/>
                <w:szCs w:val="22"/>
              </w:rPr>
            </w:pPr>
          </w:p>
        </w:tc>
        <w:tc>
          <w:tcPr>
            <w:tcW w:w="3320" w:type="dxa"/>
            <w:shd w:val="clear" w:color="auto" w:fill="auto"/>
            <w:hideMark/>
          </w:tcPr>
          <w:p w14:paraId="00D18442" w14:textId="77777777" w:rsidR="00D37825" w:rsidRPr="00B15EC8" w:rsidRDefault="00D37825" w:rsidP="008E7D62">
            <w:pPr>
              <w:rPr>
                <w:rFonts w:cs="Arial"/>
                <w:sz w:val="22"/>
                <w:szCs w:val="22"/>
              </w:rPr>
            </w:pPr>
          </w:p>
        </w:tc>
      </w:tr>
      <w:tr w:rsidR="00D37825" w:rsidRPr="00B15EC8" w14:paraId="53B4BCBD" w14:textId="77777777" w:rsidTr="008E7D62">
        <w:trPr>
          <w:trHeight w:val="340"/>
        </w:trPr>
        <w:tc>
          <w:tcPr>
            <w:tcW w:w="9535" w:type="dxa"/>
            <w:gridSpan w:val="4"/>
            <w:shd w:val="clear" w:color="auto" w:fill="auto"/>
            <w:hideMark/>
          </w:tcPr>
          <w:p w14:paraId="1D835DDE" w14:textId="77777777" w:rsidR="00D37825" w:rsidRPr="00B15EC8" w:rsidRDefault="00D37825" w:rsidP="008E7D62">
            <w:pPr>
              <w:rPr>
                <w:rFonts w:cs="Arial"/>
                <w:b/>
                <w:bCs/>
                <w:color w:val="000000"/>
                <w:sz w:val="22"/>
                <w:szCs w:val="22"/>
              </w:rPr>
            </w:pPr>
            <w:r w:rsidRPr="00B15EC8">
              <w:rPr>
                <w:rFonts w:cs="Arial"/>
                <w:b/>
                <w:bCs/>
                <w:color w:val="000000"/>
                <w:sz w:val="22"/>
                <w:szCs w:val="22"/>
              </w:rPr>
              <w:t xml:space="preserve">Exclusion Criteria for Propranolol </w:t>
            </w:r>
          </w:p>
        </w:tc>
      </w:tr>
      <w:tr w:rsidR="00D37825" w:rsidRPr="00B15EC8" w14:paraId="2377A970" w14:textId="77777777" w:rsidTr="008E7D62">
        <w:trPr>
          <w:trHeight w:val="680"/>
        </w:trPr>
        <w:tc>
          <w:tcPr>
            <w:tcW w:w="3135" w:type="dxa"/>
            <w:gridSpan w:val="2"/>
            <w:shd w:val="clear" w:color="auto" w:fill="auto"/>
            <w:hideMark/>
          </w:tcPr>
          <w:p w14:paraId="57B97ADC" w14:textId="77777777" w:rsidR="00D37825" w:rsidRPr="00B15EC8" w:rsidRDefault="00D37825" w:rsidP="008E7D62">
            <w:pPr>
              <w:rPr>
                <w:rFonts w:cs="Arial"/>
                <w:color w:val="000000"/>
                <w:sz w:val="22"/>
                <w:szCs w:val="22"/>
              </w:rPr>
            </w:pPr>
            <w:r w:rsidRPr="00B15EC8">
              <w:rPr>
                <w:rFonts w:cs="Arial"/>
                <w:color w:val="000000"/>
                <w:sz w:val="22"/>
                <w:szCs w:val="22"/>
              </w:rPr>
              <w:t xml:space="preserve">Clinically significant abnormal 12 lead ECG </w:t>
            </w:r>
          </w:p>
        </w:tc>
        <w:tc>
          <w:tcPr>
            <w:tcW w:w="3080" w:type="dxa"/>
            <w:shd w:val="clear" w:color="auto" w:fill="auto"/>
            <w:hideMark/>
          </w:tcPr>
          <w:p w14:paraId="01AB2424" w14:textId="77777777" w:rsidR="00D37825" w:rsidRPr="00B15EC8" w:rsidRDefault="00D37825" w:rsidP="008E7D62">
            <w:pPr>
              <w:rPr>
                <w:rFonts w:cs="Arial"/>
                <w:color w:val="000000"/>
                <w:sz w:val="22"/>
                <w:szCs w:val="22"/>
              </w:rPr>
            </w:pPr>
            <w:r w:rsidRPr="00B15EC8">
              <w:rPr>
                <w:rFonts w:cs="Arial"/>
                <w:color w:val="000000"/>
                <w:sz w:val="22"/>
                <w:szCs w:val="22"/>
              </w:rPr>
              <w:t xml:space="preserve">Uncontrolled hypertension (resting systolic blood pressure below 90 mm Hg) </w:t>
            </w:r>
          </w:p>
        </w:tc>
        <w:tc>
          <w:tcPr>
            <w:tcW w:w="3320" w:type="dxa"/>
            <w:shd w:val="clear" w:color="auto" w:fill="auto"/>
            <w:hideMark/>
          </w:tcPr>
          <w:p w14:paraId="1D9620DE" w14:textId="77777777" w:rsidR="00D37825" w:rsidRPr="00B15EC8" w:rsidRDefault="00D37825" w:rsidP="008E7D62">
            <w:pPr>
              <w:rPr>
                <w:rFonts w:cs="Arial"/>
                <w:color w:val="000000"/>
                <w:sz w:val="22"/>
                <w:szCs w:val="22"/>
              </w:rPr>
            </w:pPr>
            <w:r w:rsidRPr="00B15EC8">
              <w:rPr>
                <w:rFonts w:cs="Arial"/>
                <w:color w:val="000000"/>
                <w:sz w:val="22"/>
                <w:szCs w:val="22"/>
              </w:rPr>
              <w:t xml:space="preserve">Sinus bradycardia (resting heart rate below 55 beats per minute) </w:t>
            </w:r>
          </w:p>
        </w:tc>
      </w:tr>
      <w:tr w:rsidR="00D37825" w:rsidRPr="00B15EC8" w14:paraId="36D2E550" w14:textId="77777777" w:rsidTr="008E7D62">
        <w:trPr>
          <w:trHeight w:val="340"/>
        </w:trPr>
        <w:tc>
          <w:tcPr>
            <w:tcW w:w="3135" w:type="dxa"/>
            <w:gridSpan w:val="2"/>
            <w:shd w:val="clear" w:color="auto" w:fill="auto"/>
            <w:hideMark/>
          </w:tcPr>
          <w:p w14:paraId="40ABEE6D" w14:textId="77777777" w:rsidR="00D37825" w:rsidRPr="00B15EC8" w:rsidRDefault="00D37825" w:rsidP="008E7D62">
            <w:pPr>
              <w:rPr>
                <w:rFonts w:cs="Arial"/>
                <w:color w:val="000000"/>
                <w:sz w:val="22"/>
                <w:szCs w:val="22"/>
              </w:rPr>
            </w:pPr>
            <w:r w:rsidRPr="00B15EC8">
              <w:rPr>
                <w:rFonts w:cs="Arial"/>
                <w:color w:val="000000"/>
                <w:sz w:val="22"/>
                <w:szCs w:val="22"/>
              </w:rPr>
              <w:t>Cardiac failure</w:t>
            </w:r>
          </w:p>
        </w:tc>
        <w:tc>
          <w:tcPr>
            <w:tcW w:w="3080" w:type="dxa"/>
            <w:shd w:val="clear" w:color="auto" w:fill="auto"/>
            <w:hideMark/>
          </w:tcPr>
          <w:p w14:paraId="1EE6A30B" w14:textId="77777777" w:rsidR="00D37825" w:rsidRPr="00B15EC8" w:rsidRDefault="00D37825" w:rsidP="008E7D62">
            <w:pPr>
              <w:rPr>
                <w:rFonts w:cs="Arial"/>
                <w:color w:val="000000"/>
                <w:sz w:val="22"/>
                <w:szCs w:val="22"/>
              </w:rPr>
            </w:pPr>
            <w:r w:rsidRPr="00B15EC8">
              <w:rPr>
                <w:rFonts w:cs="Arial"/>
                <w:color w:val="000000"/>
                <w:sz w:val="22"/>
                <w:szCs w:val="22"/>
              </w:rPr>
              <w:t xml:space="preserve">Wolff-Parkinson-White Syndrome </w:t>
            </w:r>
          </w:p>
        </w:tc>
        <w:tc>
          <w:tcPr>
            <w:tcW w:w="3320" w:type="dxa"/>
            <w:shd w:val="clear" w:color="auto" w:fill="auto"/>
            <w:hideMark/>
          </w:tcPr>
          <w:p w14:paraId="11098F80" w14:textId="77777777" w:rsidR="00D37825" w:rsidRPr="00B15EC8" w:rsidRDefault="00D37825" w:rsidP="008E7D62">
            <w:pPr>
              <w:rPr>
                <w:rFonts w:cs="Arial"/>
                <w:color w:val="000000"/>
                <w:sz w:val="22"/>
                <w:szCs w:val="22"/>
              </w:rPr>
            </w:pPr>
          </w:p>
        </w:tc>
      </w:tr>
      <w:tr w:rsidR="00D37825" w:rsidRPr="00B15EC8" w14:paraId="675C2B3D" w14:textId="77777777" w:rsidTr="008E7D62">
        <w:trPr>
          <w:trHeight w:val="680"/>
        </w:trPr>
        <w:tc>
          <w:tcPr>
            <w:tcW w:w="3135" w:type="dxa"/>
            <w:gridSpan w:val="2"/>
            <w:shd w:val="clear" w:color="auto" w:fill="auto"/>
            <w:hideMark/>
          </w:tcPr>
          <w:p w14:paraId="53B3F04C" w14:textId="77777777" w:rsidR="00D37825" w:rsidRPr="00B15EC8" w:rsidRDefault="00D37825" w:rsidP="008E7D62">
            <w:pPr>
              <w:rPr>
                <w:rFonts w:cs="Arial"/>
                <w:color w:val="000000"/>
                <w:sz w:val="22"/>
                <w:szCs w:val="22"/>
              </w:rPr>
            </w:pPr>
            <w:r w:rsidRPr="00B15EC8">
              <w:rPr>
                <w:rFonts w:cs="Arial"/>
                <w:color w:val="000000"/>
                <w:sz w:val="22"/>
                <w:szCs w:val="22"/>
              </w:rPr>
              <w:t>Greater than first degree heart block</w:t>
            </w:r>
          </w:p>
        </w:tc>
        <w:tc>
          <w:tcPr>
            <w:tcW w:w="3080" w:type="dxa"/>
            <w:shd w:val="clear" w:color="auto" w:fill="auto"/>
            <w:hideMark/>
          </w:tcPr>
          <w:p w14:paraId="39168354" w14:textId="77777777" w:rsidR="00D37825" w:rsidRPr="00B15EC8" w:rsidRDefault="00D37825" w:rsidP="008E7D62">
            <w:pPr>
              <w:rPr>
                <w:rFonts w:cs="Arial"/>
                <w:color w:val="000000"/>
                <w:sz w:val="22"/>
                <w:szCs w:val="22"/>
              </w:rPr>
            </w:pPr>
            <w:r w:rsidRPr="00B15EC8">
              <w:rPr>
                <w:rFonts w:cs="Arial"/>
                <w:color w:val="000000"/>
                <w:sz w:val="22"/>
                <w:szCs w:val="22"/>
              </w:rPr>
              <w:t xml:space="preserve">History of recent surgery requiring general anesthesia </w:t>
            </w:r>
          </w:p>
        </w:tc>
        <w:tc>
          <w:tcPr>
            <w:tcW w:w="3320" w:type="dxa"/>
            <w:shd w:val="clear" w:color="auto" w:fill="auto"/>
            <w:hideMark/>
          </w:tcPr>
          <w:p w14:paraId="2FB900B0" w14:textId="77777777" w:rsidR="00D37825" w:rsidRPr="00B15EC8" w:rsidRDefault="00D37825" w:rsidP="008E7D62">
            <w:pPr>
              <w:rPr>
                <w:rFonts w:cs="Arial"/>
                <w:color w:val="000000"/>
                <w:sz w:val="22"/>
                <w:szCs w:val="22"/>
              </w:rPr>
            </w:pPr>
          </w:p>
        </w:tc>
      </w:tr>
      <w:tr w:rsidR="00D37825" w:rsidRPr="00B15EC8" w14:paraId="01029656" w14:textId="77777777" w:rsidTr="008E7D62">
        <w:trPr>
          <w:trHeight w:val="368"/>
        </w:trPr>
        <w:tc>
          <w:tcPr>
            <w:tcW w:w="9535" w:type="dxa"/>
            <w:gridSpan w:val="4"/>
            <w:shd w:val="clear" w:color="auto" w:fill="auto"/>
            <w:hideMark/>
          </w:tcPr>
          <w:p w14:paraId="55F3B20E" w14:textId="77777777" w:rsidR="00D37825" w:rsidRPr="00B15EC8" w:rsidRDefault="00D37825" w:rsidP="008E7D62">
            <w:pPr>
              <w:rPr>
                <w:rFonts w:cs="Arial"/>
                <w:b/>
                <w:bCs/>
                <w:color w:val="000000"/>
                <w:sz w:val="22"/>
                <w:szCs w:val="22"/>
              </w:rPr>
            </w:pPr>
            <w:r w:rsidRPr="00B15EC8">
              <w:rPr>
                <w:rFonts w:cs="Arial"/>
                <w:b/>
                <w:bCs/>
                <w:color w:val="000000"/>
                <w:sz w:val="22"/>
                <w:szCs w:val="22"/>
              </w:rPr>
              <w:t xml:space="preserve">General Exclusion Criteria for Study Participation </w:t>
            </w:r>
          </w:p>
        </w:tc>
      </w:tr>
      <w:tr w:rsidR="00D37825" w:rsidRPr="00B15EC8" w14:paraId="07278AEE" w14:textId="77777777" w:rsidTr="008E7D62">
        <w:trPr>
          <w:trHeight w:val="340"/>
        </w:trPr>
        <w:tc>
          <w:tcPr>
            <w:tcW w:w="3135" w:type="dxa"/>
            <w:gridSpan w:val="2"/>
            <w:shd w:val="clear" w:color="auto" w:fill="auto"/>
            <w:hideMark/>
          </w:tcPr>
          <w:p w14:paraId="5B4E0D26" w14:textId="77777777" w:rsidR="00D37825" w:rsidRPr="00B15EC8" w:rsidRDefault="00D37825" w:rsidP="008E7D62">
            <w:pPr>
              <w:rPr>
                <w:rFonts w:cs="Arial"/>
                <w:color w:val="000000"/>
                <w:sz w:val="22"/>
                <w:szCs w:val="22"/>
              </w:rPr>
            </w:pPr>
            <w:r w:rsidRPr="00B15EC8">
              <w:rPr>
                <w:rFonts w:cs="Arial"/>
                <w:color w:val="000000"/>
                <w:sz w:val="22"/>
                <w:szCs w:val="22"/>
              </w:rPr>
              <w:t>Coronary heart disease</w:t>
            </w:r>
          </w:p>
        </w:tc>
        <w:tc>
          <w:tcPr>
            <w:tcW w:w="3080" w:type="dxa"/>
            <w:shd w:val="clear" w:color="auto" w:fill="auto"/>
            <w:hideMark/>
          </w:tcPr>
          <w:p w14:paraId="5C5B5594" w14:textId="77777777" w:rsidR="00D37825" w:rsidRPr="00B15EC8" w:rsidRDefault="00D37825" w:rsidP="008E7D62">
            <w:pPr>
              <w:rPr>
                <w:rFonts w:cs="Arial"/>
                <w:color w:val="000000"/>
                <w:sz w:val="22"/>
                <w:szCs w:val="22"/>
              </w:rPr>
            </w:pPr>
            <w:r w:rsidRPr="00B15EC8">
              <w:rPr>
                <w:rFonts w:cs="Arial"/>
                <w:color w:val="000000"/>
                <w:sz w:val="22"/>
                <w:szCs w:val="22"/>
              </w:rPr>
              <w:t>Diabetes</w:t>
            </w:r>
          </w:p>
        </w:tc>
        <w:tc>
          <w:tcPr>
            <w:tcW w:w="3320" w:type="dxa"/>
            <w:shd w:val="clear" w:color="auto" w:fill="auto"/>
            <w:hideMark/>
          </w:tcPr>
          <w:p w14:paraId="36EEEDDA" w14:textId="77777777" w:rsidR="00D37825" w:rsidRPr="00B15EC8" w:rsidRDefault="00D37825" w:rsidP="008E7D62">
            <w:pPr>
              <w:rPr>
                <w:rFonts w:cs="Arial"/>
                <w:color w:val="000000"/>
                <w:sz w:val="22"/>
                <w:szCs w:val="22"/>
              </w:rPr>
            </w:pPr>
            <w:r w:rsidRPr="00B15EC8">
              <w:rPr>
                <w:rFonts w:cs="Arial"/>
                <w:color w:val="000000"/>
                <w:sz w:val="22"/>
                <w:szCs w:val="22"/>
              </w:rPr>
              <w:t>Dementia</w:t>
            </w:r>
          </w:p>
        </w:tc>
      </w:tr>
      <w:tr w:rsidR="00D37825" w:rsidRPr="00B15EC8" w14:paraId="6BAB6C06" w14:textId="77777777" w:rsidTr="008E7D62">
        <w:trPr>
          <w:trHeight w:val="340"/>
        </w:trPr>
        <w:tc>
          <w:tcPr>
            <w:tcW w:w="3135" w:type="dxa"/>
            <w:gridSpan w:val="2"/>
            <w:shd w:val="clear" w:color="auto" w:fill="auto"/>
            <w:hideMark/>
          </w:tcPr>
          <w:p w14:paraId="130991EC" w14:textId="77777777" w:rsidR="00D37825" w:rsidRPr="00B15EC8" w:rsidRDefault="00D37825" w:rsidP="008E7D62">
            <w:pPr>
              <w:rPr>
                <w:rFonts w:cs="Arial"/>
                <w:color w:val="000000"/>
                <w:sz w:val="22"/>
                <w:szCs w:val="22"/>
              </w:rPr>
            </w:pPr>
            <w:r w:rsidRPr="00B15EC8">
              <w:rPr>
                <w:rFonts w:cs="Arial"/>
                <w:color w:val="000000"/>
                <w:sz w:val="22"/>
                <w:szCs w:val="22"/>
              </w:rPr>
              <w:t xml:space="preserve">Known hypersensitivity to propranolol </w:t>
            </w:r>
          </w:p>
        </w:tc>
        <w:tc>
          <w:tcPr>
            <w:tcW w:w="3080" w:type="dxa"/>
            <w:shd w:val="clear" w:color="auto" w:fill="auto"/>
            <w:hideMark/>
          </w:tcPr>
          <w:p w14:paraId="712FCCD2" w14:textId="77777777" w:rsidR="00D37825" w:rsidRPr="00B15EC8" w:rsidRDefault="00D37825" w:rsidP="008E7D62">
            <w:pPr>
              <w:rPr>
                <w:rFonts w:cs="Arial"/>
                <w:color w:val="000000"/>
                <w:sz w:val="22"/>
                <w:szCs w:val="22"/>
              </w:rPr>
            </w:pPr>
            <w:r w:rsidRPr="00B15EC8">
              <w:rPr>
                <w:rFonts w:cs="Arial"/>
                <w:color w:val="000000"/>
                <w:sz w:val="22"/>
                <w:szCs w:val="22"/>
              </w:rPr>
              <w:t xml:space="preserve">Chronic obstructive pulmonary disease </w:t>
            </w:r>
          </w:p>
        </w:tc>
        <w:tc>
          <w:tcPr>
            <w:tcW w:w="3320" w:type="dxa"/>
            <w:shd w:val="clear" w:color="auto" w:fill="auto"/>
            <w:hideMark/>
          </w:tcPr>
          <w:p w14:paraId="51D17612" w14:textId="77777777" w:rsidR="00D37825" w:rsidRPr="00B15EC8" w:rsidRDefault="00D37825" w:rsidP="008E7D62">
            <w:pPr>
              <w:rPr>
                <w:rFonts w:cs="Arial"/>
                <w:color w:val="000000"/>
                <w:sz w:val="22"/>
                <w:szCs w:val="22"/>
              </w:rPr>
            </w:pPr>
            <w:r w:rsidRPr="00B15EC8">
              <w:rPr>
                <w:rFonts w:cs="Arial"/>
                <w:color w:val="000000"/>
                <w:sz w:val="22"/>
                <w:szCs w:val="22"/>
              </w:rPr>
              <w:t>Major depression</w:t>
            </w:r>
          </w:p>
        </w:tc>
      </w:tr>
      <w:tr w:rsidR="00D37825" w:rsidRPr="00B15EC8" w14:paraId="2585B102" w14:textId="77777777" w:rsidTr="008E7D62">
        <w:trPr>
          <w:trHeight w:val="340"/>
        </w:trPr>
        <w:tc>
          <w:tcPr>
            <w:tcW w:w="3135" w:type="dxa"/>
            <w:gridSpan w:val="2"/>
            <w:shd w:val="clear" w:color="auto" w:fill="auto"/>
            <w:hideMark/>
          </w:tcPr>
          <w:p w14:paraId="2A5C1A11" w14:textId="77777777" w:rsidR="00D37825" w:rsidRPr="00B15EC8" w:rsidRDefault="00D37825" w:rsidP="008E7D62">
            <w:pPr>
              <w:rPr>
                <w:rFonts w:cs="Arial"/>
                <w:color w:val="000000"/>
                <w:sz w:val="22"/>
                <w:szCs w:val="22"/>
              </w:rPr>
            </w:pPr>
            <w:r w:rsidRPr="00B15EC8">
              <w:rPr>
                <w:rFonts w:cs="Arial"/>
                <w:color w:val="000000"/>
                <w:sz w:val="22"/>
                <w:szCs w:val="22"/>
              </w:rPr>
              <w:lastRenderedPageBreak/>
              <w:t xml:space="preserve">Nonallergic bronchospasm </w:t>
            </w:r>
          </w:p>
        </w:tc>
        <w:tc>
          <w:tcPr>
            <w:tcW w:w="3080" w:type="dxa"/>
            <w:shd w:val="clear" w:color="auto" w:fill="auto"/>
            <w:hideMark/>
          </w:tcPr>
          <w:p w14:paraId="2A60C9A1" w14:textId="77777777" w:rsidR="00D37825" w:rsidRPr="00B15EC8" w:rsidRDefault="00D37825" w:rsidP="008E7D62">
            <w:pPr>
              <w:rPr>
                <w:rFonts w:cs="Arial"/>
                <w:color w:val="000000"/>
                <w:sz w:val="22"/>
                <w:szCs w:val="22"/>
              </w:rPr>
            </w:pPr>
            <w:r w:rsidRPr="00B15EC8">
              <w:rPr>
                <w:rFonts w:cs="Arial"/>
                <w:color w:val="000000"/>
                <w:sz w:val="22"/>
                <w:szCs w:val="22"/>
              </w:rPr>
              <w:t>Pregnancy</w:t>
            </w:r>
          </w:p>
        </w:tc>
        <w:tc>
          <w:tcPr>
            <w:tcW w:w="3320" w:type="dxa"/>
            <w:shd w:val="clear" w:color="auto" w:fill="auto"/>
            <w:hideMark/>
          </w:tcPr>
          <w:p w14:paraId="5E23FBF4" w14:textId="77777777" w:rsidR="00D37825" w:rsidRPr="00B15EC8" w:rsidRDefault="00D37825" w:rsidP="008E7D62">
            <w:pPr>
              <w:rPr>
                <w:rFonts w:cs="Arial"/>
                <w:color w:val="000000"/>
                <w:sz w:val="22"/>
                <w:szCs w:val="22"/>
              </w:rPr>
            </w:pPr>
            <w:r w:rsidRPr="00B15EC8">
              <w:rPr>
                <w:rFonts w:cs="Arial"/>
                <w:color w:val="000000"/>
                <w:sz w:val="22"/>
                <w:szCs w:val="22"/>
              </w:rPr>
              <w:t>Breast feeding</w:t>
            </w:r>
          </w:p>
        </w:tc>
      </w:tr>
      <w:tr w:rsidR="00D37825" w:rsidRPr="00B15EC8" w14:paraId="194F42FC" w14:textId="77777777" w:rsidTr="008E7D62">
        <w:trPr>
          <w:trHeight w:val="320"/>
        </w:trPr>
        <w:tc>
          <w:tcPr>
            <w:tcW w:w="3135" w:type="dxa"/>
            <w:gridSpan w:val="2"/>
            <w:shd w:val="clear" w:color="auto" w:fill="auto"/>
            <w:hideMark/>
          </w:tcPr>
          <w:p w14:paraId="14E46CC0" w14:textId="77777777" w:rsidR="00D37825" w:rsidRPr="00B15EC8" w:rsidRDefault="00D37825" w:rsidP="008E7D62">
            <w:pPr>
              <w:rPr>
                <w:rFonts w:cs="Arial"/>
                <w:color w:val="000000"/>
                <w:sz w:val="22"/>
                <w:szCs w:val="22"/>
              </w:rPr>
            </w:pPr>
            <w:r w:rsidRPr="00B15EC8">
              <w:rPr>
                <w:rFonts w:cs="Arial"/>
                <w:color w:val="000000"/>
                <w:sz w:val="22"/>
                <w:szCs w:val="22"/>
              </w:rPr>
              <w:t xml:space="preserve">Bronchial asthma </w:t>
            </w:r>
          </w:p>
        </w:tc>
        <w:tc>
          <w:tcPr>
            <w:tcW w:w="3080" w:type="dxa"/>
            <w:shd w:val="clear" w:color="auto" w:fill="auto"/>
            <w:hideMark/>
          </w:tcPr>
          <w:p w14:paraId="1A2CBF1E" w14:textId="77777777" w:rsidR="00D37825" w:rsidRPr="00B15EC8" w:rsidRDefault="00D37825" w:rsidP="008E7D62">
            <w:pPr>
              <w:rPr>
                <w:rFonts w:cs="Arial"/>
                <w:color w:val="000000"/>
                <w:sz w:val="22"/>
                <w:szCs w:val="22"/>
              </w:rPr>
            </w:pPr>
          </w:p>
        </w:tc>
        <w:tc>
          <w:tcPr>
            <w:tcW w:w="3320" w:type="dxa"/>
            <w:shd w:val="clear" w:color="auto" w:fill="auto"/>
            <w:hideMark/>
          </w:tcPr>
          <w:p w14:paraId="41ACB2AC" w14:textId="77777777" w:rsidR="00D37825" w:rsidRPr="00B15EC8" w:rsidRDefault="00D37825" w:rsidP="008E7D62">
            <w:pPr>
              <w:rPr>
                <w:rFonts w:cs="Arial"/>
                <w:sz w:val="22"/>
                <w:szCs w:val="22"/>
              </w:rPr>
            </w:pPr>
          </w:p>
        </w:tc>
      </w:tr>
    </w:tbl>
    <w:p w14:paraId="10C97080" w14:textId="77777777" w:rsidR="00D37825" w:rsidRPr="00B15EC8" w:rsidRDefault="00D37825" w:rsidP="00D37825">
      <w:pPr>
        <w:widowControl w:val="0"/>
        <w:rPr>
          <w:rFonts w:cs="Arial"/>
          <w:b/>
          <w:sz w:val="22"/>
          <w:szCs w:val="22"/>
        </w:rPr>
      </w:pPr>
    </w:p>
    <w:p w14:paraId="1AEDA5C2" w14:textId="77777777" w:rsidR="00D37825" w:rsidRPr="00B15EC8" w:rsidRDefault="00D37825" w:rsidP="00D37825">
      <w:pPr>
        <w:widowControl w:val="0"/>
        <w:rPr>
          <w:rFonts w:cs="Arial"/>
          <w:b/>
          <w:sz w:val="22"/>
          <w:szCs w:val="22"/>
        </w:rPr>
      </w:pPr>
    </w:p>
    <w:p w14:paraId="29FCD35A" w14:textId="77777777" w:rsidR="00D37825" w:rsidRPr="00B15EC8" w:rsidRDefault="00D37825" w:rsidP="00D37825">
      <w:pPr>
        <w:widowControl w:val="0"/>
        <w:rPr>
          <w:rFonts w:cs="Arial"/>
          <w:b/>
          <w:sz w:val="22"/>
          <w:szCs w:val="22"/>
        </w:rPr>
      </w:pPr>
    </w:p>
    <w:p w14:paraId="6344EF4C" w14:textId="77777777" w:rsidR="00D37825" w:rsidRPr="00B15EC8" w:rsidRDefault="00D37825" w:rsidP="00D37825">
      <w:pPr>
        <w:rPr>
          <w:rFonts w:cs="Arial"/>
          <w:sz w:val="22"/>
          <w:szCs w:val="22"/>
        </w:rPr>
      </w:pPr>
      <w:r w:rsidRPr="00B15EC8">
        <w:rPr>
          <w:rFonts w:cs="Arial"/>
          <w:b/>
          <w:bCs/>
          <w:sz w:val="22"/>
          <w:szCs w:val="22"/>
        </w:rPr>
        <w:t>Supplemental Table 2</w:t>
      </w:r>
      <w:r w:rsidRPr="00B15EC8">
        <w:rPr>
          <w:rFonts w:cs="Arial"/>
          <w:sz w:val="22"/>
          <w:szCs w:val="22"/>
        </w:rPr>
        <w:t>. Descriptions of interventions. Participants were assigned to combinations of education and pharmaceutical interventions</w:t>
      </w:r>
    </w:p>
    <w:p w14:paraId="669D1B03" w14:textId="77777777" w:rsidR="00D37825" w:rsidRPr="00B15EC8" w:rsidRDefault="00D37825" w:rsidP="00D37825">
      <w:pPr>
        <w:rPr>
          <w:rFonts w:cs="Arial"/>
          <w:sz w:val="22"/>
          <w:szCs w:val="22"/>
        </w:rPr>
      </w:pPr>
    </w:p>
    <w:tbl>
      <w:tblPr>
        <w:tblStyle w:val="TableGrid"/>
        <w:tblW w:w="0" w:type="auto"/>
        <w:tblLook w:val="04A0" w:firstRow="1" w:lastRow="0" w:firstColumn="1" w:lastColumn="0" w:noHBand="0" w:noVBand="1"/>
      </w:tblPr>
      <w:tblGrid>
        <w:gridCol w:w="2005"/>
        <w:gridCol w:w="6625"/>
      </w:tblGrid>
      <w:tr w:rsidR="00D37825" w:rsidRPr="00B15EC8" w14:paraId="4FE99270" w14:textId="77777777" w:rsidTr="008E7D62">
        <w:tc>
          <w:tcPr>
            <w:tcW w:w="2044" w:type="dxa"/>
          </w:tcPr>
          <w:p w14:paraId="34222B37" w14:textId="77777777" w:rsidR="00D37825" w:rsidRPr="00B15EC8" w:rsidRDefault="00D37825" w:rsidP="008E7D62">
            <w:pPr>
              <w:rPr>
                <w:rFonts w:cs="Arial"/>
                <w:color w:val="000000" w:themeColor="text1"/>
                <w:sz w:val="22"/>
                <w:szCs w:val="22"/>
              </w:rPr>
            </w:pPr>
            <w:r w:rsidRPr="00B15EC8">
              <w:rPr>
                <w:rFonts w:cs="Arial"/>
                <w:color w:val="000000" w:themeColor="text1"/>
                <w:sz w:val="22"/>
                <w:szCs w:val="22"/>
              </w:rPr>
              <w:t>Psychological Education</w:t>
            </w:r>
          </w:p>
        </w:tc>
        <w:tc>
          <w:tcPr>
            <w:tcW w:w="7306" w:type="dxa"/>
          </w:tcPr>
          <w:p w14:paraId="1DE0B0C1" w14:textId="77777777" w:rsidR="00D37825" w:rsidRPr="00B15EC8" w:rsidRDefault="00D37825" w:rsidP="008E7D62">
            <w:pPr>
              <w:rPr>
                <w:rFonts w:cs="Arial"/>
                <w:color w:val="000000" w:themeColor="text1"/>
                <w:sz w:val="22"/>
                <w:szCs w:val="22"/>
              </w:rPr>
            </w:pPr>
            <w:r w:rsidRPr="00B15EC8">
              <w:rPr>
                <w:rFonts w:cs="Arial"/>
                <w:color w:val="000000" w:themeColor="text1"/>
                <w:sz w:val="22"/>
                <w:szCs w:val="22"/>
              </w:rPr>
              <w:t>The personalized psychologic intervention followed principles derived from psychologically informed interventions for musculoskeletal pain to bring about individual changes in beliefs and behavior related to pain. As pain catastrophizing was the primary psychological factor used to define the high-risk subgroup, special emphasis was placed on addressing it during the intervention. The personalized psychologic intervention was administered on days 2-4 following the exercise-induced muscle injury protocol, as it was based on the individual experiencing pain. The intervention consisted of scripted psychologic modules, each lasting 10-15 minutes. Participants viewed the modules on a computer and engaged in scripted interactions with research staff to discuss key principles and clarify any questions.</w:t>
            </w:r>
          </w:p>
        </w:tc>
      </w:tr>
      <w:tr w:rsidR="00D37825" w:rsidRPr="00B15EC8" w14:paraId="48B3E941" w14:textId="77777777" w:rsidTr="008E7D62">
        <w:tc>
          <w:tcPr>
            <w:tcW w:w="2044" w:type="dxa"/>
          </w:tcPr>
          <w:p w14:paraId="4EA3A09D" w14:textId="77777777" w:rsidR="00D37825" w:rsidRPr="00B15EC8" w:rsidRDefault="00D37825" w:rsidP="008E7D62">
            <w:pPr>
              <w:rPr>
                <w:rFonts w:cs="Arial"/>
                <w:color w:val="000000" w:themeColor="text1"/>
                <w:sz w:val="22"/>
                <w:szCs w:val="22"/>
              </w:rPr>
            </w:pPr>
            <w:r w:rsidRPr="00B15EC8">
              <w:rPr>
                <w:rFonts w:cs="Arial"/>
                <w:color w:val="000000" w:themeColor="text1"/>
                <w:sz w:val="22"/>
                <w:szCs w:val="22"/>
              </w:rPr>
              <w:t>General Education</w:t>
            </w:r>
          </w:p>
        </w:tc>
        <w:tc>
          <w:tcPr>
            <w:tcW w:w="7306" w:type="dxa"/>
          </w:tcPr>
          <w:p w14:paraId="76557D46" w14:textId="77777777" w:rsidR="00D37825" w:rsidRPr="00B15EC8" w:rsidRDefault="00D37825" w:rsidP="008E7D62">
            <w:pPr>
              <w:rPr>
                <w:rFonts w:cs="Arial"/>
                <w:color w:val="000000" w:themeColor="text1"/>
                <w:sz w:val="22"/>
                <w:szCs w:val="22"/>
              </w:rPr>
            </w:pPr>
            <w:r w:rsidRPr="00B15EC8">
              <w:rPr>
                <w:rFonts w:cs="Arial"/>
                <w:color w:val="000000" w:themeColor="text1"/>
                <w:sz w:val="22"/>
                <w:szCs w:val="22"/>
              </w:rPr>
              <w:t xml:space="preserve">The general education intervention mirrored the structure and administration of the personalized intervention. However, its purpose was to passively provide information rather than induce changes in thoughts or beliefs about pain. The content of the </w:t>
            </w:r>
            <w:r w:rsidRPr="00B15EC8">
              <w:rPr>
                <w:rFonts w:cs="Arial"/>
                <w:color w:val="000000" w:themeColor="text1"/>
                <w:sz w:val="22"/>
                <w:szCs w:val="22"/>
              </w:rPr>
              <w:lastRenderedPageBreak/>
              <w:t xml:space="preserve">general education modules focused on shoulder pain and aimed to enhance participants' understanding of shoulder anatomy and injury. </w:t>
            </w:r>
            <w:proofErr w:type="gramStart"/>
            <w:r w:rsidRPr="00B15EC8">
              <w:rPr>
                <w:rFonts w:cs="Arial"/>
                <w:color w:val="000000" w:themeColor="text1"/>
                <w:sz w:val="22"/>
                <w:szCs w:val="22"/>
              </w:rPr>
              <w:t>Similar to</w:t>
            </w:r>
            <w:proofErr w:type="gramEnd"/>
            <w:r w:rsidRPr="00B15EC8">
              <w:rPr>
                <w:rFonts w:cs="Arial"/>
                <w:color w:val="000000" w:themeColor="text1"/>
                <w:sz w:val="22"/>
                <w:szCs w:val="22"/>
              </w:rPr>
              <w:t xml:space="preserve"> the personalized intervention, the general education modules were administered on days 2-4 following the exercise-induced injury. They consisted of scripted content and lasted 10-15 minutes per session. Participants viewed the modules on a computer and had scripted interactions with research staff to reinforce key principles and address any queries.</w:t>
            </w:r>
          </w:p>
        </w:tc>
      </w:tr>
      <w:tr w:rsidR="00D37825" w:rsidRPr="00B15EC8" w14:paraId="70D443DC" w14:textId="77777777" w:rsidTr="008E7D62">
        <w:tc>
          <w:tcPr>
            <w:tcW w:w="2044" w:type="dxa"/>
          </w:tcPr>
          <w:p w14:paraId="390841FF" w14:textId="77777777" w:rsidR="00D37825" w:rsidRPr="00B15EC8" w:rsidRDefault="00D37825" w:rsidP="008E7D62">
            <w:pPr>
              <w:rPr>
                <w:rFonts w:cs="Arial"/>
                <w:color w:val="000000" w:themeColor="text1"/>
                <w:sz w:val="22"/>
                <w:szCs w:val="22"/>
              </w:rPr>
            </w:pPr>
            <w:r w:rsidRPr="00B15EC8">
              <w:rPr>
                <w:rFonts w:cs="Arial"/>
                <w:color w:val="000000" w:themeColor="text1"/>
                <w:sz w:val="22"/>
                <w:szCs w:val="22"/>
              </w:rPr>
              <w:lastRenderedPageBreak/>
              <w:t>Personalized Pharmaceutical</w:t>
            </w:r>
          </w:p>
        </w:tc>
        <w:tc>
          <w:tcPr>
            <w:tcW w:w="7306" w:type="dxa"/>
          </w:tcPr>
          <w:p w14:paraId="0CD8B63F" w14:textId="77777777" w:rsidR="00D37825" w:rsidRPr="00B15EC8" w:rsidRDefault="00D37825" w:rsidP="008E7D62">
            <w:pPr>
              <w:rPr>
                <w:rFonts w:cs="Arial"/>
                <w:color w:val="000000" w:themeColor="text1"/>
                <w:sz w:val="22"/>
                <w:szCs w:val="22"/>
              </w:rPr>
            </w:pPr>
            <w:r w:rsidRPr="00B15EC8">
              <w:rPr>
                <w:rFonts w:cs="Arial"/>
                <w:color w:val="000000" w:themeColor="text1"/>
                <w:sz w:val="22"/>
                <w:szCs w:val="22"/>
              </w:rPr>
              <w:t>The first administration of propranolol took place before the injury to allow for any immediate pre-emptive effects on inflammatory or pain sensitivity regulation. This timing aligns with when propranolol would be administered in the proposed translational clinical model, namely pre-operatively. The UF Investigational Drug Service prepared long-acting propranolol (Propranolol LA) 60 mg, which was orally administered once daily in the Pain Clinical Research Unit. The selected dose was bioequivalent to those used in a recent clinical trial investigating responses to propranolol among patients with orofacial pain. Safety monitoring for cardiovascular response (early identification of potential adverse events) and pharmacologic effect (demonstrating medication absorption) was conducted by a research nurse 60 minutes after drug administration.</w:t>
            </w:r>
          </w:p>
        </w:tc>
      </w:tr>
      <w:tr w:rsidR="00D37825" w:rsidRPr="00B15EC8" w14:paraId="2EC87379" w14:textId="77777777" w:rsidTr="008E7D62">
        <w:tc>
          <w:tcPr>
            <w:tcW w:w="2044" w:type="dxa"/>
          </w:tcPr>
          <w:p w14:paraId="1A3C38E0" w14:textId="77777777" w:rsidR="00D37825" w:rsidRPr="00B15EC8" w:rsidRDefault="00D37825" w:rsidP="008E7D62">
            <w:pPr>
              <w:rPr>
                <w:rFonts w:cs="Arial"/>
                <w:color w:val="000000" w:themeColor="text1"/>
                <w:sz w:val="22"/>
                <w:szCs w:val="22"/>
              </w:rPr>
            </w:pPr>
            <w:r w:rsidRPr="00B15EC8">
              <w:rPr>
                <w:rFonts w:cs="Arial"/>
                <w:color w:val="000000" w:themeColor="text1"/>
                <w:sz w:val="22"/>
                <w:szCs w:val="22"/>
              </w:rPr>
              <w:t>Placebo Pharmaceutical</w:t>
            </w:r>
          </w:p>
        </w:tc>
        <w:tc>
          <w:tcPr>
            <w:tcW w:w="7306" w:type="dxa"/>
          </w:tcPr>
          <w:p w14:paraId="135E96B6" w14:textId="77777777" w:rsidR="00D37825" w:rsidRPr="00B15EC8" w:rsidRDefault="00D37825" w:rsidP="008E7D62">
            <w:pPr>
              <w:rPr>
                <w:rFonts w:cs="Arial"/>
                <w:color w:val="000000" w:themeColor="text1"/>
                <w:sz w:val="22"/>
                <w:szCs w:val="22"/>
              </w:rPr>
            </w:pPr>
            <w:r w:rsidRPr="00B15EC8">
              <w:rPr>
                <w:rFonts w:cs="Arial"/>
                <w:color w:val="000000" w:themeColor="text1"/>
                <w:sz w:val="22"/>
                <w:szCs w:val="22"/>
              </w:rPr>
              <w:t xml:space="preserve">The placebo capsules, prepared by the UF Investigational Drug Service, were visually indistinguishable from the active </w:t>
            </w:r>
            <w:r w:rsidRPr="00B15EC8">
              <w:rPr>
                <w:rFonts w:cs="Arial"/>
                <w:color w:val="000000" w:themeColor="text1"/>
                <w:sz w:val="22"/>
                <w:szCs w:val="22"/>
              </w:rPr>
              <w:lastRenderedPageBreak/>
              <w:t>medication. Placebo administration followed the same procedure as described for the Personalized Pharmaceutical intervention, ensuring blinding. This included adhering to the same timing for each session and monitoring cardiovascular responses.</w:t>
            </w:r>
          </w:p>
        </w:tc>
      </w:tr>
    </w:tbl>
    <w:p w14:paraId="5B02BB01" w14:textId="77777777" w:rsidR="00D37825" w:rsidRPr="00B15EC8" w:rsidRDefault="00D37825" w:rsidP="00D37825">
      <w:pPr>
        <w:rPr>
          <w:rFonts w:cs="Arial"/>
          <w:sz w:val="22"/>
          <w:szCs w:val="22"/>
        </w:rPr>
      </w:pPr>
    </w:p>
    <w:p w14:paraId="12CCEB3C" w14:textId="77777777" w:rsidR="00D37825" w:rsidRPr="00B15EC8" w:rsidRDefault="00D37825" w:rsidP="00D37825">
      <w:pPr>
        <w:rPr>
          <w:rFonts w:cs="Arial"/>
          <w:sz w:val="22"/>
          <w:szCs w:val="22"/>
        </w:rPr>
        <w:sectPr w:rsidR="00D37825" w:rsidRPr="00B15EC8" w:rsidSect="00D37825">
          <w:footerReference w:type="even" r:id="rId6"/>
          <w:footerReference w:type="default" r:id="rId7"/>
          <w:footerReference w:type="first" r:id="rId8"/>
          <w:pgSz w:w="12240" w:h="15840"/>
          <w:pgMar w:top="1440" w:right="1800" w:bottom="1440" w:left="1800" w:header="720" w:footer="720" w:gutter="0"/>
          <w:lnNumType w:countBy="1" w:restart="continuous"/>
          <w:cols w:space="720"/>
          <w:titlePg/>
          <w:docGrid w:linePitch="360"/>
        </w:sectPr>
      </w:pPr>
    </w:p>
    <w:p w14:paraId="5A69166A" w14:textId="77777777" w:rsidR="00D37825" w:rsidRPr="00B15EC8" w:rsidRDefault="00D37825" w:rsidP="00D37825">
      <w:pPr>
        <w:rPr>
          <w:rFonts w:cs="Arial"/>
          <w:sz w:val="22"/>
          <w:szCs w:val="22"/>
        </w:rPr>
      </w:pPr>
      <w:r w:rsidRPr="00B15EC8">
        <w:rPr>
          <w:rFonts w:cs="Arial"/>
          <w:sz w:val="22"/>
          <w:szCs w:val="22"/>
        </w:rPr>
        <w:lastRenderedPageBreak/>
        <w:t xml:space="preserve">Supplemental Table 3. </w:t>
      </w:r>
    </w:p>
    <w:tbl>
      <w:tblPr>
        <w:tblW w:w="13040" w:type="dxa"/>
        <w:tblLook w:val="04A0" w:firstRow="1" w:lastRow="0" w:firstColumn="1" w:lastColumn="0" w:noHBand="0" w:noVBand="1"/>
      </w:tblPr>
      <w:tblGrid>
        <w:gridCol w:w="1380"/>
        <w:gridCol w:w="1920"/>
        <w:gridCol w:w="2240"/>
        <w:gridCol w:w="2160"/>
        <w:gridCol w:w="2100"/>
        <w:gridCol w:w="2180"/>
        <w:gridCol w:w="1060"/>
      </w:tblGrid>
      <w:tr w:rsidR="00D37825" w:rsidRPr="00B15EC8" w14:paraId="633CFC12" w14:textId="77777777" w:rsidTr="008E7D62">
        <w:trPr>
          <w:trHeight w:val="240"/>
        </w:trPr>
        <w:tc>
          <w:tcPr>
            <w:tcW w:w="1380" w:type="dxa"/>
            <w:vMerge w:val="restart"/>
            <w:tcBorders>
              <w:top w:val="single" w:sz="4" w:space="0" w:color="auto"/>
              <w:left w:val="single" w:sz="4" w:space="0" w:color="auto"/>
              <w:bottom w:val="nil"/>
              <w:right w:val="single" w:sz="4" w:space="0" w:color="auto"/>
            </w:tcBorders>
            <w:shd w:val="clear" w:color="auto" w:fill="auto"/>
            <w:vAlign w:val="center"/>
            <w:hideMark/>
          </w:tcPr>
          <w:p w14:paraId="0C8DD480"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w:t>
            </w:r>
          </w:p>
        </w:tc>
        <w:tc>
          <w:tcPr>
            <w:tcW w:w="1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1DECDF"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Summary Stats</w:t>
            </w:r>
          </w:p>
        </w:tc>
        <w:tc>
          <w:tcPr>
            <w:tcW w:w="2240" w:type="dxa"/>
            <w:tcBorders>
              <w:top w:val="single" w:sz="4" w:space="0" w:color="auto"/>
              <w:left w:val="nil"/>
              <w:bottom w:val="single" w:sz="4" w:space="0" w:color="auto"/>
              <w:right w:val="single" w:sz="4" w:space="0" w:color="auto"/>
            </w:tcBorders>
            <w:shd w:val="clear" w:color="auto" w:fill="auto"/>
            <w:hideMark/>
          </w:tcPr>
          <w:p w14:paraId="6F14ED97"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Placebo + Psychological Education</w:t>
            </w:r>
          </w:p>
        </w:tc>
        <w:tc>
          <w:tcPr>
            <w:tcW w:w="2160" w:type="dxa"/>
            <w:tcBorders>
              <w:top w:val="single" w:sz="4" w:space="0" w:color="auto"/>
              <w:left w:val="nil"/>
              <w:bottom w:val="single" w:sz="4" w:space="0" w:color="auto"/>
              <w:right w:val="single" w:sz="4" w:space="0" w:color="auto"/>
            </w:tcBorders>
            <w:shd w:val="clear" w:color="auto" w:fill="auto"/>
            <w:hideMark/>
          </w:tcPr>
          <w:p w14:paraId="10EBBE1B"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Placebo + General Education</w:t>
            </w:r>
          </w:p>
        </w:tc>
        <w:tc>
          <w:tcPr>
            <w:tcW w:w="2100" w:type="dxa"/>
            <w:tcBorders>
              <w:top w:val="single" w:sz="4" w:space="0" w:color="auto"/>
              <w:left w:val="nil"/>
              <w:bottom w:val="single" w:sz="4" w:space="0" w:color="auto"/>
              <w:right w:val="single" w:sz="4" w:space="0" w:color="auto"/>
            </w:tcBorders>
            <w:shd w:val="clear" w:color="auto" w:fill="auto"/>
            <w:hideMark/>
          </w:tcPr>
          <w:p w14:paraId="3EE8DC36"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Propranolol + Psychological Education</w:t>
            </w:r>
          </w:p>
        </w:tc>
        <w:tc>
          <w:tcPr>
            <w:tcW w:w="2180" w:type="dxa"/>
            <w:tcBorders>
              <w:top w:val="single" w:sz="4" w:space="0" w:color="auto"/>
              <w:left w:val="nil"/>
              <w:bottom w:val="single" w:sz="4" w:space="0" w:color="auto"/>
              <w:right w:val="single" w:sz="4" w:space="0" w:color="auto"/>
            </w:tcBorders>
            <w:shd w:val="clear" w:color="auto" w:fill="auto"/>
            <w:hideMark/>
          </w:tcPr>
          <w:p w14:paraId="0654EB9F"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Propranolol + General Education</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2DFEABD"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P-value</w:t>
            </w:r>
          </w:p>
        </w:tc>
      </w:tr>
      <w:tr w:rsidR="00D37825" w:rsidRPr="00B15EC8" w14:paraId="2EEB5468" w14:textId="77777777" w:rsidTr="008E7D62">
        <w:trPr>
          <w:trHeight w:val="260"/>
        </w:trPr>
        <w:tc>
          <w:tcPr>
            <w:tcW w:w="1380" w:type="dxa"/>
            <w:vMerge/>
            <w:tcBorders>
              <w:top w:val="single" w:sz="4" w:space="0" w:color="auto"/>
              <w:left w:val="single" w:sz="4" w:space="0" w:color="auto"/>
              <w:bottom w:val="nil"/>
              <w:right w:val="single" w:sz="4" w:space="0" w:color="auto"/>
            </w:tcBorders>
            <w:shd w:val="clear" w:color="auto" w:fill="auto"/>
            <w:vAlign w:val="center"/>
            <w:hideMark/>
          </w:tcPr>
          <w:p w14:paraId="359F2D36" w14:textId="77777777" w:rsidR="00D37825" w:rsidRPr="00B15EC8" w:rsidRDefault="00D37825" w:rsidP="008E7D62">
            <w:pPr>
              <w:rPr>
                <w:rFonts w:cs="Arial"/>
                <w:b/>
                <w:bCs/>
                <w:color w:val="000000" w:themeColor="text1"/>
                <w:sz w:val="18"/>
                <w:szCs w:val="18"/>
              </w:rPr>
            </w:pPr>
          </w:p>
        </w:tc>
        <w:tc>
          <w:tcPr>
            <w:tcW w:w="19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9645F6" w14:textId="77777777" w:rsidR="00D37825" w:rsidRPr="00B15EC8" w:rsidRDefault="00D37825" w:rsidP="008E7D62">
            <w:pPr>
              <w:rPr>
                <w:rFonts w:cs="Arial"/>
                <w:b/>
                <w:bCs/>
                <w:color w:val="000000" w:themeColor="text1"/>
                <w:sz w:val="18"/>
                <w:szCs w:val="18"/>
              </w:rPr>
            </w:pPr>
          </w:p>
        </w:tc>
        <w:tc>
          <w:tcPr>
            <w:tcW w:w="2240" w:type="dxa"/>
            <w:tcBorders>
              <w:top w:val="nil"/>
              <w:left w:val="nil"/>
              <w:bottom w:val="single" w:sz="4" w:space="0" w:color="auto"/>
              <w:right w:val="single" w:sz="4" w:space="0" w:color="auto"/>
            </w:tcBorders>
            <w:shd w:val="clear" w:color="auto" w:fill="auto"/>
            <w:hideMark/>
          </w:tcPr>
          <w:p w14:paraId="3E06C3F0"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Value</w:t>
            </w:r>
          </w:p>
        </w:tc>
        <w:tc>
          <w:tcPr>
            <w:tcW w:w="2160" w:type="dxa"/>
            <w:tcBorders>
              <w:top w:val="nil"/>
              <w:left w:val="nil"/>
              <w:bottom w:val="single" w:sz="4" w:space="0" w:color="auto"/>
              <w:right w:val="single" w:sz="4" w:space="0" w:color="auto"/>
            </w:tcBorders>
            <w:shd w:val="clear" w:color="auto" w:fill="auto"/>
            <w:hideMark/>
          </w:tcPr>
          <w:p w14:paraId="2497924D"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Value</w:t>
            </w:r>
          </w:p>
        </w:tc>
        <w:tc>
          <w:tcPr>
            <w:tcW w:w="2100" w:type="dxa"/>
            <w:tcBorders>
              <w:top w:val="nil"/>
              <w:left w:val="nil"/>
              <w:bottom w:val="single" w:sz="4" w:space="0" w:color="auto"/>
              <w:right w:val="single" w:sz="4" w:space="0" w:color="auto"/>
            </w:tcBorders>
            <w:shd w:val="clear" w:color="auto" w:fill="auto"/>
            <w:hideMark/>
          </w:tcPr>
          <w:p w14:paraId="65D44BB8"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Value</w:t>
            </w:r>
          </w:p>
        </w:tc>
        <w:tc>
          <w:tcPr>
            <w:tcW w:w="2180" w:type="dxa"/>
            <w:tcBorders>
              <w:top w:val="nil"/>
              <w:left w:val="nil"/>
              <w:bottom w:val="single" w:sz="4" w:space="0" w:color="auto"/>
              <w:right w:val="single" w:sz="4" w:space="0" w:color="auto"/>
            </w:tcBorders>
            <w:shd w:val="clear" w:color="auto" w:fill="auto"/>
            <w:hideMark/>
          </w:tcPr>
          <w:p w14:paraId="1C69B115"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Value</w:t>
            </w:r>
          </w:p>
        </w:tc>
        <w:tc>
          <w:tcPr>
            <w:tcW w:w="10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DBB20F0" w14:textId="77777777" w:rsidR="00D37825" w:rsidRPr="00B15EC8" w:rsidRDefault="00D37825" w:rsidP="008E7D62">
            <w:pPr>
              <w:rPr>
                <w:rFonts w:cs="Arial"/>
                <w:b/>
                <w:bCs/>
                <w:color w:val="000000" w:themeColor="text1"/>
                <w:sz w:val="18"/>
                <w:szCs w:val="18"/>
              </w:rPr>
            </w:pPr>
          </w:p>
        </w:tc>
      </w:tr>
      <w:tr w:rsidR="00D37825" w:rsidRPr="00B15EC8" w14:paraId="69497422" w14:textId="77777777" w:rsidTr="008E7D62">
        <w:trPr>
          <w:trHeight w:val="240"/>
        </w:trPr>
        <w:tc>
          <w:tcPr>
            <w:tcW w:w="130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1511DC9F"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Ipsilateral/dominant temporal summation @ 49°C – rating using 101-point NRS</w:t>
            </w:r>
          </w:p>
        </w:tc>
      </w:tr>
      <w:tr w:rsidR="00D37825" w:rsidRPr="00B15EC8" w14:paraId="360A5B3C"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41F93B48"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1</w:t>
            </w:r>
          </w:p>
        </w:tc>
        <w:tc>
          <w:tcPr>
            <w:tcW w:w="1920" w:type="dxa"/>
            <w:tcBorders>
              <w:top w:val="nil"/>
              <w:left w:val="nil"/>
              <w:bottom w:val="single" w:sz="4" w:space="0" w:color="auto"/>
              <w:right w:val="single" w:sz="4" w:space="0" w:color="auto"/>
            </w:tcBorders>
            <w:shd w:val="clear" w:color="auto" w:fill="auto"/>
            <w:hideMark/>
          </w:tcPr>
          <w:p w14:paraId="11640776"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457EE63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55.9 ± 24.7</w:t>
            </w:r>
          </w:p>
        </w:tc>
        <w:tc>
          <w:tcPr>
            <w:tcW w:w="2160" w:type="dxa"/>
            <w:tcBorders>
              <w:top w:val="nil"/>
              <w:left w:val="nil"/>
              <w:bottom w:val="single" w:sz="4" w:space="0" w:color="auto"/>
              <w:right w:val="single" w:sz="4" w:space="0" w:color="auto"/>
            </w:tcBorders>
            <w:shd w:val="clear" w:color="auto" w:fill="auto"/>
            <w:hideMark/>
          </w:tcPr>
          <w:p w14:paraId="305306E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55.2 ± 25.8</w:t>
            </w:r>
          </w:p>
        </w:tc>
        <w:tc>
          <w:tcPr>
            <w:tcW w:w="2100" w:type="dxa"/>
            <w:tcBorders>
              <w:top w:val="nil"/>
              <w:left w:val="nil"/>
              <w:bottom w:val="single" w:sz="4" w:space="0" w:color="auto"/>
              <w:right w:val="single" w:sz="4" w:space="0" w:color="auto"/>
            </w:tcBorders>
            <w:shd w:val="clear" w:color="auto" w:fill="auto"/>
            <w:hideMark/>
          </w:tcPr>
          <w:p w14:paraId="7C3D935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54.5 ± 21.8</w:t>
            </w:r>
          </w:p>
        </w:tc>
        <w:tc>
          <w:tcPr>
            <w:tcW w:w="2180" w:type="dxa"/>
            <w:tcBorders>
              <w:top w:val="nil"/>
              <w:left w:val="nil"/>
              <w:bottom w:val="single" w:sz="4" w:space="0" w:color="auto"/>
              <w:right w:val="single" w:sz="4" w:space="0" w:color="auto"/>
            </w:tcBorders>
            <w:shd w:val="clear" w:color="auto" w:fill="auto"/>
            <w:hideMark/>
          </w:tcPr>
          <w:p w14:paraId="614ADB0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56.6 ± 29.2</w:t>
            </w:r>
          </w:p>
        </w:tc>
        <w:tc>
          <w:tcPr>
            <w:tcW w:w="1060" w:type="dxa"/>
            <w:tcBorders>
              <w:top w:val="nil"/>
              <w:left w:val="nil"/>
              <w:bottom w:val="single" w:sz="4" w:space="0" w:color="auto"/>
              <w:right w:val="single" w:sz="4" w:space="0" w:color="auto"/>
            </w:tcBorders>
            <w:shd w:val="clear" w:color="auto" w:fill="auto"/>
            <w:hideMark/>
          </w:tcPr>
          <w:p w14:paraId="0FC28F91"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0.968</w:t>
            </w:r>
          </w:p>
        </w:tc>
      </w:tr>
      <w:tr w:rsidR="00D37825" w:rsidRPr="00B15EC8" w14:paraId="276EDC00"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465AD10E"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2512F22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62DFD95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52.5 (14, 100)</w:t>
            </w:r>
          </w:p>
        </w:tc>
        <w:tc>
          <w:tcPr>
            <w:tcW w:w="2160" w:type="dxa"/>
            <w:tcBorders>
              <w:top w:val="nil"/>
              <w:left w:val="nil"/>
              <w:bottom w:val="single" w:sz="4" w:space="0" w:color="auto"/>
              <w:right w:val="single" w:sz="4" w:space="0" w:color="auto"/>
            </w:tcBorders>
            <w:shd w:val="clear" w:color="auto" w:fill="auto"/>
            <w:hideMark/>
          </w:tcPr>
          <w:p w14:paraId="40A1DA6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57.5 (10, 100)</w:t>
            </w:r>
          </w:p>
        </w:tc>
        <w:tc>
          <w:tcPr>
            <w:tcW w:w="2100" w:type="dxa"/>
            <w:tcBorders>
              <w:top w:val="nil"/>
              <w:left w:val="nil"/>
              <w:bottom w:val="single" w:sz="4" w:space="0" w:color="auto"/>
              <w:right w:val="single" w:sz="4" w:space="0" w:color="auto"/>
            </w:tcBorders>
            <w:shd w:val="clear" w:color="auto" w:fill="auto"/>
            <w:hideMark/>
          </w:tcPr>
          <w:p w14:paraId="1C43E48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55 (12, 100)</w:t>
            </w:r>
          </w:p>
        </w:tc>
        <w:tc>
          <w:tcPr>
            <w:tcW w:w="2180" w:type="dxa"/>
            <w:tcBorders>
              <w:top w:val="nil"/>
              <w:left w:val="nil"/>
              <w:bottom w:val="single" w:sz="4" w:space="0" w:color="auto"/>
              <w:right w:val="single" w:sz="4" w:space="0" w:color="auto"/>
            </w:tcBorders>
            <w:shd w:val="clear" w:color="auto" w:fill="auto"/>
            <w:hideMark/>
          </w:tcPr>
          <w:p w14:paraId="73A1E8D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58.5 (2, 100)</w:t>
            </w:r>
          </w:p>
        </w:tc>
        <w:tc>
          <w:tcPr>
            <w:tcW w:w="1060" w:type="dxa"/>
            <w:tcBorders>
              <w:top w:val="nil"/>
              <w:left w:val="nil"/>
              <w:bottom w:val="single" w:sz="4" w:space="0" w:color="auto"/>
              <w:right w:val="single" w:sz="4" w:space="0" w:color="auto"/>
            </w:tcBorders>
            <w:shd w:val="clear" w:color="auto" w:fill="auto"/>
            <w:hideMark/>
          </w:tcPr>
          <w:p w14:paraId="256ED1AF"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1DB13559"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62FAB308"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2</w:t>
            </w:r>
          </w:p>
        </w:tc>
        <w:tc>
          <w:tcPr>
            <w:tcW w:w="1920" w:type="dxa"/>
            <w:tcBorders>
              <w:top w:val="nil"/>
              <w:left w:val="nil"/>
              <w:bottom w:val="single" w:sz="4" w:space="0" w:color="auto"/>
              <w:right w:val="single" w:sz="4" w:space="0" w:color="auto"/>
            </w:tcBorders>
            <w:shd w:val="clear" w:color="auto" w:fill="auto"/>
            <w:hideMark/>
          </w:tcPr>
          <w:p w14:paraId="46B31B3D"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6028CB2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54.7 ± 23.8</w:t>
            </w:r>
          </w:p>
        </w:tc>
        <w:tc>
          <w:tcPr>
            <w:tcW w:w="2160" w:type="dxa"/>
            <w:tcBorders>
              <w:top w:val="nil"/>
              <w:left w:val="nil"/>
              <w:bottom w:val="single" w:sz="4" w:space="0" w:color="auto"/>
              <w:right w:val="single" w:sz="4" w:space="0" w:color="auto"/>
            </w:tcBorders>
            <w:shd w:val="clear" w:color="auto" w:fill="auto"/>
            <w:hideMark/>
          </w:tcPr>
          <w:p w14:paraId="18056DE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53.4 ± 26.1</w:t>
            </w:r>
          </w:p>
        </w:tc>
        <w:tc>
          <w:tcPr>
            <w:tcW w:w="2100" w:type="dxa"/>
            <w:tcBorders>
              <w:top w:val="nil"/>
              <w:left w:val="nil"/>
              <w:bottom w:val="single" w:sz="4" w:space="0" w:color="auto"/>
              <w:right w:val="single" w:sz="4" w:space="0" w:color="auto"/>
            </w:tcBorders>
            <w:shd w:val="clear" w:color="auto" w:fill="auto"/>
            <w:hideMark/>
          </w:tcPr>
          <w:p w14:paraId="23562A9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51.0 ± 24.9</w:t>
            </w:r>
          </w:p>
        </w:tc>
        <w:tc>
          <w:tcPr>
            <w:tcW w:w="2180" w:type="dxa"/>
            <w:tcBorders>
              <w:top w:val="nil"/>
              <w:left w:val="nil"/>
              <w:bottom w:val="single" w:sz="4" w:space="0" w:color="auto"/>
              <w:right w:val="single" w:sz="4" w:space="0" w:color="auto"/>
            </w:tcBorders>
            <w:shd w:val="clear" w:color="auto" w:fill="auto"/>
            <w:hideMark/>
          </w:tcPr>
          <w:p w14:paraId="3BAD678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56.4 ± 28.2</w:t>
            </w:r>
          </w:p>
        </w:tc>
        <w:tc>
          <w:tcPr>
            <w:tcW w:w="1060" w:type="dxa"/>
            <w:tcBorders>
              <w:top w:val="nil"/>
              <w:left w:val="nil"/>
              <w:bottom w:val="single" w:sz="4" w:space="0" w:color="auto"/>
              <w:right w:val="single" w:sz="4" w:space="0" w:color="auto"/>
            </w:tcBorders>
            <w:shd w:val="clear" w:color="auto" w:fill="auto"/>
            <w:hideMark/>
          </w:tcPr>
          <w:p w14:paraId="0669A37A"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0.757</w:t>
            </w:r>
          </w:p>
        </w:tc>
      </w:tr>
      <w:tr w:rsidR="00D37825" w:rsidRPr="00B15EC8" w14:paraId="18C0515D"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32584963"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00041B55"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3899407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53 (8, 100)</w:t>
            </w:r>
          </w:p>
        </w:tc>
        <w:tc>
          <w:tcPr>
            <w:tcW w:w="2160" w:type="dxa"/>
            <w:tcBorders>
              <w:top w:val="nil"/>
              <w:left w:val="nil"/>
              <w:bottom w:val="single" w:sz="4" w:space="0" w:color="auto"/>
              <w:right w:val="single" w:sz="4" w:space="0" w:color="auto"/>
            </w:tcBorders>
            <w:shd w:val="clear" w:color="auto" w:fill="auto"/>
            <w:hideMark/>
          </w:tcPr>
          <w:p w14:paraId="6A4B75C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(8, 100)</w:t>
            </w:r>
          </w:p>
        </w:tc>
        <w:tc>
          <w:tcPr>
            <w:tcW w:w="2100" w:type="dxa"/>
            <w:tcBorders>
              <w:top w:val="nil"/>
              <w:left w:val="nil"/>
              <w:bottom w:val="single" w:sz="4" w:space="0" w:color="auto"/>
              <w:right w:val="single" w:sz="4" w:space="0" w:color="auto"/>
            </w:tcBorders>
            <w:shd w:val="clear" w:color="auto" w:fill="auto"/>
            <w:hideMark/>
          </w:tcPr>
          <w:p w14:paraId="6BF2BC8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(15, 100)</w:t>
            </w:r>
          </w:p>
        </w:tc>
        <w:tc>
          <w:tcPr>
            <w:tcW w:w="2180" w:type="dxa"/>
            <w:tcBorders>
              <w:top w:val="nil"/>
              <w:left w:val="nil"/>
              <w:bottom w:val="single" w:sz="4" w:space="0" w:color="auto"/>
              <w:right w:val="single" w:sz="4" w:space="0" w:color="auto"/>
            </w:tcBorders>
            <w:shd w:val="clear" w:color="auto" w:fill="auto"/>
            <w:hideMark/>
          </w:tcPr>
          <w:p w14:paraId="5A380B7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(7, 100)</w:t>
            </w:r>
          </w:p>
        </w:tc>
        <w:tc>
          <w:tcPr>
            <w:tcW w:w="1060" w:type="dxa"/>
            <w:tcBorders>
              <w:top w:val="nil"/>
              <w:left w:val="nil"/>
              <w:bottom w:val="single" w:sz="4" w:space="0" w:color="auto"/>
              <w:right w:val="single" w:sz="4" w:space="0" w:color="auto"/>
            </w:tcBorders>
            <w:shd w:val="clear" w:color="auto" w:fill="auto"/>
            <w:hideMark/>
          </w:tcPr>
          <w:p w14:paraId="331DC94D"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2E373885"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24FE0DB7"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3</w:t>
            </w:r>
          </w:p>
        </w:tc>
        <w:tc>
          <w:tcPr>
            <w:tcW w:w="1920" w:type="dxa"/>
            <w:tcBorders>
              <w:top w:val="nil"/>
              <w:left w:val="nil"/>
              <w:bottom w:val="single" w:sz="4" w:space="0" w:color="auto"/>
              <w:right w:val="single" w:sz="4" w:space="0" w:color="auto"/>
            </w:tcBorders>
            <w:shd w:val="clear" w:color="auto" w:fill="auto"/>
            <w:hideMark/>
          </w:tcPr>
          <w:p w14:paraId="4160F06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3EF3B83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48.7 ± 23.9</w:t>
            </w:r>
          </w:p>
        </w:tc>
        <w:tc>
          <w:tcPr>
            <w:tcW w:w="2160" w:type="dxa"/>
            <w:tcBorders>
              <w:top w:val="nil"/>
              <w:left w:val="nil"/>
              <w:bottom w:val="single" w:sz="4" w:space="0" w:color="auto"/>
              <w:right w:val="single" w:sz="4" w:space="0" w:color="auto"/>
            </w:tcBorders>
            <w:shd w:val="clear" w:color="auto" w:fill="auto"/>
            <w:hideMark/>
          </w:tcPr>
          <w:p w14:paraId="26EE3E0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49.7 ± 26.0</w:t>
            </w:r>
          </w:p>
        </w:tc>
        <w:tc>
          <w:tcPr>
            <w:tcW w:w="2100" w:type="dxa"/>
            <w:tcBorders>
              <w:top w:val="nil"/>
              <w:left w:val="nil"/>
              <w:bottom w:val="single" w:sz="4" w:space="0" w:color="auto"/>
              <w:right w:val="single" w:sz="4" w:space="0" w:color="auto"/>
            </w:tcBorders>
            <w:shd w:val="clear" w:color="auto" w:fill="auto"/>
            <w:hideMark/>
          </w:tcPr>
          <w:p w14:paraId="1CCDEFD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49.2 ± 26.0</w:t>
            </w:r>
          </w:p>
        </w:tc>
        <w:tc>
          <w:tcPr>
            <w:tcW w:w="2180" w:type="dxa"/>
            <w:tcBorders>
              <w:top w:val="nil"/>
              <w:left w:val="nil"/>
              <w:bottom w:val="single" w:sz="4" w:space="0" w:color="auto"/>
              <w:right w:val="single" w:sz="4" w:space="0" w:color="auto"/>
            </w:tcBorders>
            <w:shd w:val="clear" w:color="auto" w:fill="auto"/>
            <w:hideMark/>
          </w:tcPr>
          <w:p w14:paraId="2377543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51.7 ± 28.6</w:t>
            </w:r>
          </w:p>
        </w:tc>
        <w:tc>
          <w:tcPr>
            <w:tcW w:w="1060" w:type="dxa"/>
            <w:tcBorders>
              <w:top w:val="nil"/>
              <w:left w:val="nil"/>
              <w:bottom w:val="single" w:sz="4" w:space="0" w:color="auto"/>
              <w:right w:val="single" w:sz="4" w:space="0" w:color="auto"/>
            </w:tcBorders>
            <w:shd w:val="clear" w:color="auto" w:fill="auto"/>
            <w:hideMark/>
          </w:tcPr>
          <w:p w14:paraId="33E6898A"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0.945</w:t>
            </w:r>
          </w:p>
        </w:tc>
      </w:tr>
      <w:tr w:rsidR="00D37825" w:rsidRPr="00B15EC8" w14:paraId="048AA01C"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17800170"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24C3E53B"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0A3DBD1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48.5 (7, 90)</w:t>
            </w:r>
          </w:p>
        </w:tc>
        <w:tc>
          <w:tcPr>
            <w:tcW w:w="2160" w:type="dxa"/>
            <w:tcBorders>
              <w:top w:val="nil"/>
              <w:left w:val="nil"/>
              <w:bottom w:val="single" w:sz="4" w:space="0" w:color="auto"/>
              <w:right w:val="single" w:sz="4" w:space="0" w:color="auto"/>
            </w:tcBorders>
            <w:shd w:val="clear" w:color="auto" w:fill="auto"/>
            <w:hideMark/>
          </w:tcPr>
          <w:p w14:paraId="7D8CA93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45 (5, 100)</w:t>
            </w:r>
          </w:p>
        </w:tc>
        <w:tc>
          <w:tcPr>
            <w:tcW w:w="2100" w:type="dxa"/>
            <w:tcBorders>
              <w:top w:val="nil"/>
              <w:left w:val="nil"/>
              <w:bottom w:val="single" w:sz="4" w:space="0" w:color="auto"/>
              <w:right w:val="single" w:sz="4" w:space="0" w:color="auto"/>
            </w:tcBorders>
            <w:shd w:val="clear" w:color="auto" w:fill="auto"/>
            <w:hideMark/>
          </w:tcPr>
          <w:p w14:paraId="1845BA1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45 (5, 100)</w:t>
            </w:r>
          </w:p>
        </w:tc>
        <w:tc>
          <w:tcPr>
            <w:tcW w:w="2180" w:type="dxa"/>
            <w:tcBorders>
              <w:top w:val="nil"/>
              <w:left w:val="nil"/>
              <w:bottom w:val="single" w:sz="4" w:space="0" w:color="auto"/>
              <w:right w:val="single" w:sz="4" w:space="0" w:color="auto"/>
            </w:tcBorders>
            <w:shd w:val="clear" w:color="auto" w:fill="auto"/>
            <w:hideMark/>
          </w:tcPr>
          <w:p w14:paraId="45FFF27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(5, 100)</w:t>
            </w:r>
          </w:p>
        </w:tc>
        <w:tc>
          <w:tcPr>
            <w:tcW w:w="1060" w:type="dxa"/>
            <w:tcBorders>
              <w:top w:val="nil"/>
              <w:left w:val="nil"/>
              <w:bottom w:val="single" w:sz="4" w:space="0" w:color="auto"/>
              <w:right w:val="single" w:sz="4" w:space="0" w:color="auto"/>
            </w:tcBorders>
            <w:shd w:val="clear" w:color="auto" w:fill="auto"/>
            <w:hideMark/>
          </w:tcPr>
          <w:p w14:paraId="0705CCB3"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54941606"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552D04AC"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4</w:t>
            </w:r>
          </w:p>
        </w:tc>
        <w:tc>
          <w:tcPr>
            <w:tcW w:w="1920" w:type="dxa"/>
            <w:tcBorders>
              <w:top w:val="nil"/>
              <w:left w:val="nil"/>
              <w:bottom w:val="single" w:sz="4" w:space="0" w:color="auto"/>
              <w:right w:val="single" w:sz="4" w:space="0" w:color="auto"/>
            </w:tcBorders>
            <w:shd w:val="clear" w:color="auto" w:fill="auto"/>
            <w:hideMark/>
          </w:tcPr>
          <w:p w14:paraId="3B1924A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4EA029A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49.6 ± 26.0</w:t>
            </w:r>
          </w:p>
        </w:tc>
        <w:tc>
          <w:tcPr>
            <w:tcW w:w="2160" w:type="dxa"/>
            <w:tcBorders>
              <w:top w:val="nil"/>
              <w:left w:val="nil"/>
              <w:bottom w:val="single" w:sz="4" w:space="0" w:color="auto"/>
              <w:right w:val="single" w:sz="4" w:space="0" w:color="auto"/>
            </w:tcBorders>
            <w:shd w:val="clear" w:color="auto" w:fill="auto"/>
            <w:hideMark/>
          </w:tcPr>
          <w:p w14:paraId="7169F53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53.0 ± 26.1</w:t>
            </w:r>
          </w:p>
        </w:tc>
        <w:tc>
          <w:tcPr>
            <w:tcW w:w="2100" w:type="dxa"/>
            <w:tcBorders>
              <w:top w:val="nil"/>
              <w:left w:val="nil"/>
              <w:bottom w:val="single" w:sz="4" w:space="0" w:color="auto"/>
              <w:right w:val="single" w:sz="4" w:space="0" w:color="auto"/>
            </w:tcBorders>
            <w:shd w:val="clear" w:color="auto" w:fill="auto"/>
            <w:hideMark/>
          </w:tcPr>
          <w:p w14:paraId="08F0C56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49.3 ± 24.7</w:t>
            </w:r>
          </w:p>
        </w:tc>
        <w:tc>
          <w:tcPr>
            <w:tcW w:w="2180" w:type="dxa"/>
            <w:tcBorders>
              <w:top w:val="nil"/>
              <w:left w:val="nil"/>
              <w:bottom w:val="single" w:sz="4" w:space="0" w:color="auto"/>
              <w:right w:val="single" w:sz="4" w:space="0" w:color="auto"/>
            </w:tcBorders>
            <w:shd w:val="clear" w:color="auto" w:fill="auto"/>
            <w:hideMark/>
          </w:tcPr>
          <w:p w14:paraId="17D2B1E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51.1 ± 27.3</w:t>
            </w:r>
          </w:p>
        </w:tc>
        <w:tc>
          <w:tcPr>
            <w:tcW w:w="1060" w:type="dxa"/>
            <w:tcBorders>
              <w:top w:val="nil"/>
              <w:left w:val="nil"/>
              <w:bottom w:val="single" w:sz="4" w:space="0" w:color="auto"/>
              <w:right w:val="single" w:sz="4" w:space="0" w:color="auto"/>
            </w:tcBorders>
            <w:shd w:val="clear" w:color="auto" w:fill="auto"/>
            <w:hideMark/>
          </w:tcPr>
          <w:p w14:paraId="08FFB374"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0.896</w:t>
            </w:r>
          </w:p>
        </w:tc>
      </w:tr>
      <w:tr w:rsidR="00D37825" w:rsidRPr="00B15EC8" w14:paraId="4C551595"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501DB673"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1EED448D"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0F6BA8D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45 (10, 98)</w:t>
            </w:r>
          </w:p>
        </w:tc>
        <w:tc>
          <w:tcPr>
            <w:tcW w:w="2160" w:type="dxa"/>
            <w:tcBorders>
              <w:top w:val="nil"/>
              <w:left w:val="nil"/>
              <w:bottom w:val="single" w:sz="4" w:space="0" w:color="auto"/>
              <w:right w:val="single" w:sz="4" w:space="0" w:color="auto"/>
            </w:tcBorders>
            <w:shd w:val="clear" w:color="auto" w:fill="auto"/>
            <w:hideMark/>
          </w:tcPr>
          <w:p w14:paraId="3039353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56.5 (5, 100)</w:t>
            </w:r>
          </w:p>
        </w:tc>
        <w:tc>
          <w:tcPr>
            <w:tcW w:w="2100" w:type="dxa"/>
            <w:tcBorders>
              <w:top w:val="nil"/>
              <w:left w:val="nil"/>
              <w:bottom w:val="single" w:sz="4" w:space="0" w:color="auto"/>
              <w:right w:val="single" w:sz="4" w:space="0" w:color="auto"/>
            </w:tcBorders>
            <w:shd w:val="clear" w:color="auto" w:fill="auto"/>
            <w:hideMark/>
          </w:tcPr>
          <w:p w14:paraId="1DBB7B8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(8, 95)</w:t>
            </w:r>
          </w:p>
        </w:tc>
        <w:tc>
          <w:tcPr>
            <w:tcW w:w="2180" w:type="dxa"/>
            <w:tcBorders>
              <w:top w:val="nil"/>
              <w:left w:val="nil"/>
              <w:bottom w:val="single" w:sz="4" w:space="0" w:color="auto"/>
              <w:right w:val="single" w:sz="4" w:space="0" w:color="auto"/>
            </w:tcBorders>
            <w:shd w:val="clear" w:color="auto" w:fill="auto"/>
            <w:hideMark/>
          </w:tcPr>
          <w:p w14:paraId="3C7E261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56 (1, 100)</w:t>
            </w:r>
          </w:p>
        </w:tc>
        <w:tc>
          <w:tcPr>
            <w:tcW w:w="1060" w:type="dxa"/>
            <w:tcBorders>
              <w:top w:val="nil"/>
              <w:left w:val="nil"/>
              <w:bottom w:val="single" w:sz="4" w:space="0" w:color="auto"/>
              <w:right w:val="single" w:sz="4" w:space="0" w:color="auto"/>
            </w:tcBorders>
            <w:shd w:val="clear" w:color="auto" w:fill="auto"/>
            <w:hideMark/>
          </w:tcPr>
          <w:p w14:paraId="4E87D72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28BD3FF8"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7729D3FC"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5</w:t>
            </w:r>
          </w:p>
        </w:tc>
        <w:tc>
          <w:tcPr>
            <w:tcW w:w="1920" w:type="dxa"/>
            <w:tcBorders>
              <w:top w:val="nil"/>
              <w:left w:val="nil"/>
              <w:bottom w:val="single" w:sz="4" w:space="0" w:color="auto"/>
              <w:right w:val="single" w:sz="4" w:space="0" w:color="auto"/>
            </w:tcBorders>
            <w:shd w:val="clear" w:color="auto" w:fill="auto"/>
            <w:hideMark/>
          </w:tcPr>
          <w:p w14:paraId="1AB6691A"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62EADC5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49.9 ± 26.5</w:t>
            </w:r>
          </w:p>
        </w:tc>
        <w:tc>
          <w:tcPr>
            <w:tcW w:w="2160" w:type="dxa"/>
            <w:tcBorders>
              <w:top w:val="nil"/>
              <w:left w:val="nil"/>
              <w:bottom w:val="single" w:sz="4" w:space="0" w:color="auto"/>
              <w:right w:val="single" w:sz="4" w:space="0" w:color="auto"/>
            </w:tcBorders>
            <w:shd w:val="clear" w:color="auto" w:fill="auto"/>
            <w:hideMark/>
          </w:tcPr>
          <w:p w14:paraId="6713E3E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50.3 ± 25.1</w:t>
            </w:r>
          </w:p>
        </w:tc>
        <w:tc>
          <w:tcPr>
            <w:tcW w:w="2100" w:type="dxa"/>
            <w:tcBorders>
              <w:top w:val="nil"/>
              <w:left w:val="nil"/>
              <w:bottom w:val="single" w:sz="4" w:space="0" w:color="auto"/>
              <w:right w:val="single" w:sz="4" w:space="0" w:color="auto"/>
            </w:tcBorders>
            <w:shd w:val="clear" w:color="auto" w:fill="auto"/>
            <w:hideMark/>
          </w:tcPr>
          <w:p w14:paraId="011AD6C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47.6 ± 25.7</w:t>
            </w:r>
          </w:p>
        </w:tc>
        <w:tc>
          <w:tcPr>
            <w:tcW w:w="2180" w:type="dxa"/>
            <w:tcBorders>
              <w:top w:val="nil"/>
              <w:left w:val="nil"/>
              <w:bottom w:val="single" w:sz="4" w:space="0" w:color="auto"/>
              <w:right w:val="single" w:sz="4" w:space="0" w:color="auto"/>
            </w:tcBorders>
            <w:shd w:val="clear" w:color="auto" w:fill="auto"/>
            <w:hideMark/>
          </w:tcPr>
          <w:p w14:paraId="7DAE838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52.1 ± 27.2</w:t>
            </w:r>
          </w:p>
        </w:tc>
        <w:tc>
          <w:tcPr>
            <w:tcW w:w="1060" w:type="dxa"/>
            <w:tcBorders>
              <w:top w:val="nil"/>
              <w:left w:val="nil"/>
              <w:bottom w:val="single" w:sz="4" w:space="0" w:color="auto"/>
              <w:right w:val="single" w:sz="4" w:space="0" w:color="auto"/>
            </w:tcBorders>
            <w:shd w:val="clear" w:color="auto" w:fill="auto"/>
            <w:hideMark/>
          </w:tcPr>
          <w:p w14:paraId="2AF8E02F"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0.785</w:t>
            </w:r>
          </w:p>
        </w:tc>
      </w:tr>
      <w:tr w:rsidR="00D37825" w:rsidRPr="00B15EC8" w14:paraId="0B058FEB"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7F4BDF36"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1CBF1DD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6AE7B6D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46 (3, 98)</w:t>
            </w:r>
          </w:p>
        </w:tc>
        <w:tc>
          <w:tcPr>
            <w:tcW w:w="2160" w:type="dxa"/>
            <w:tcBorders>
              <w:top w:val="nil"/>
              <w:left w:val="nil"/>
              <w:bottom w:val="single" w:sz="4" w:space="0" w:color="auto"/>
              <w:right w:val="single" w:sz="4" w:space="0" w:color="auto"/>
            </w:tcBorders>
            <w:shd w:val="clear" w:color="auto" w:fill="auto"/>
            <w:hideMark/>
          </w:tcPr>
          <w:p w14:paraId="565F114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44.5 (3, 98)</w:t>
            </w:r>
          </w:p>
        </w:tc>
        <w:tc>
          <w:tcPr>
            <w:tcW w:w="2100" w:type="dxa"/>
            <w:tcBorders>
              <w:top w:val="nil"/>
              <w:left w:val="nil"/>
              <w:bottom w:val="single" w:sz="4" w:space="0" w:color="auto"/>
              <w:right w:val="single" w:sz="4" w:space="0" w:color="auto"/>
            </w:tcBorders>
            <w:shd w:val="clear" w:color="auto" w:fill="auto"/>
            <w:hideMark/>
          </w:tcPr>
          <w:p w14:paraId="1825C3B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45 (0, 100)</w:t>
            </w:r>
          </w:p>
        </w:tc>
        <w:tc>
          <w:tcPr>
            <w:tcW w:w="2180" w:type="dxa"/>
            <w:tcBorders>
              <w:top w:val="nil"/>
              <w:left w:val="nil"/>
              <w:bottom w:val="single" w:sz="4" w:space="0" w:color="auto"/>
              <w:right w:val="single" w:sz="4" w:space="0" w:color="auto"/>
            </w:tcBorders>
            <w:shd w:val="clear" w:color="auto" w:fill="auto"/>
            <w:hideMark/>
          </w:tcPr>
          <w:p w14:paraId="7BD1A91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55 (1, 90)</w:t>
            </w:r>
          </w:p>
        </w:tc>
        <w:tc>
          <w:tcPr>
            <w:tcW w:w="1060" w:type="dxa"/>
            <w:tcBorders>
              <w:top w:val="nil"/>
              <w:left w:val="nil"/>
              <w:bottom w:val="single" w:sz="4" w:space="0" w:color="auto"/>
              <w:right w:val="single" w:sz="4" w:space="0" w:color="auto"/>
            </w:tcBorders>
            <w:shd w:val="clear" w:color="auto" w:fill="auto"/>
            <w:hideMark/>
          </w:tcPr>
          <w:p w14:paraId="35514D0C"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09B7D13A" w14:textId="77777777" w:rsidTr="008E7D62">
        <w:trPr>
          <w:trHeight w:val="240"/>
        </w:trPr>
        <w:tc>
          <w:tcPr>
            <w:tcW w:w="130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6F6ED394"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CMP efficiency (</w:t>
            </w:r>
            <w:proofErr w:type="gramStart"/>
            <w:r w:rsidRPr="00B15EC8">
              <w:rPr>
                <w:rFonts w:cs="Arial"/>
                <w:b/>
                <w:bCs/>
                <w:color w:val="000000" w:themeColor="text1"/>
                <w:sz w:val="18"/>
                <w:szCs w:val="18"/>
              </w:rPr>
              <w:t>pre conditioning</w:t>
            </w:r>
            <w:proofErr w:type="gramEnd"/>
            <w:r w:rsidRPr="00B15EC8">
              <w:rPr>
                <w:rFonts w:cs="Arial"/>
                <w:b/>
                <w:bCs/>
                <w:color w:val="000000" w:themeColor="text1"/>
                <w:sz w:val="18"/>
                <w:szCs w:val="18"/>
              </w:rPr>
              <w:t xml:space="preserve"> PPT – post conditioning PPT; kPa)</w:t>
            </w:r>
          </w:p>
        </w:tc>
      </w:tr>
      <w:tr w:rsidR="00D37825" w:rsidRPr="00B15EC8" w14:paraId="417BBF80"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6BE2464E"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1</w:t>
            </w:r>
          </w:p>
        </w:tc>
        <w:tc>
          <w:tcPr>
            <w:tcW w:w="1920" w:type="dxa"/>
            <w:tcBorders>
              <w:top w:val="nil"/>
              <w:left w:val="nil"/>
              <w:bottom w:val="single" w:sz="4" w:space="0" w:color="auto"/>
              <w:right w:val="single" w:sz="4" w:space="0" w:color="auto"/>
            </w:tcBorders>
            <w:shd w:val="clear" w:color="auto" w:fill="auto"/>
            <w:hideMark/>
          </w:tcPr>
          <w:p w14:paraId="62B00CEE"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noWrap/>
            <w:hideMark/>
          </w:tcPr>
          <w:p w14:paraId="16ECE43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-72.1 ± 148.4</w:t>
            </w:r>
          </w:p>
        </w:tc>
        <w:tc>
          <w:tcPr>
            <w:tcW w:w="2160" w:type="dxa"/>
            <w:tcBorders>
              <w:top w:val="nil"/>
              <w:left w:val="nil"/>
              <w:bottom w:val="single" w:sz="4" w:space="0" w:color="auto"/>
              <w:right w:val="single" w:sz="4" w:space="0" w:color="auto"/>
            </w:tcBorders>
            <w:shd w:val="clear" w:color="auto" w:fill="auto"/>
            <w:noWrap/>
            <w:hideMark/>
          </w:tcPr>
          <w:p w14:paraId="18FB34E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-33.4 ± 188.3</w:t>
            </w:r>
          </w:p>
        </w:tc>
        <w:tc>
          <w:tcPr>
            <w:tcW w:w="2100" w:type="dxa"/>
            <w:tcBorders>
              <w:top w:val="nil"/>
              <w:left w:val="nil"/>
              <w:bottom w:val="single" w:sz="4" w:space="0" w:color="auto"/>
              <w:right w:val="single" w:sz="4" w:space="0" w:color="auto"/>
            </w:tcBorders>
            <w:shd w:val="clear" w:color="auto" w:fill="auto"/>
            <w:noWrap/>
            <w:hideMark/>
          </w:tcPr>
          <w:p w14:paraId="782A04A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-30.3 ± 154.0</w:t>
            </w:r>
          </w:p>
        </w:tc>
        <w:tc>
          <w:tcPr>
            <w:tcW w:w="2180" w:type="dxa"/>
            <w:tcBorders>
              <w:top w:val="nil"/>
              <w:left w:val="nil"/>
              <w:bottom w:val="single" w:sz="4" w:space="0" w:color="auto"/>
              <w:right w:val="single" w:sz="4" w:space="0" w:color="auto"/>
            </w:tcBorders>
            <w:shd w:val="clear" w:color="auto" w:fill="auto"/>
            <w:noWrap/>
            <w:hideMark/>
          </w:tcPr>
          <w:p w14:paraId="7F010FA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-28.3 ± 94.9</w:t>
            </w:r>
          </w:p>
        </w:tc>
        <w:tc>
          <w:tcPr>
            <w:tcW w:w="1060" w:type="dxa"/>
            <w:tcBorders>
              <w:top w:val="nil"/>
              <w:left w:val="nil"/>
              <w:bottom w:val="single" w:sz="4" w:space="0" w:color="auto"/>
              <w:right w:val="single" w:sz="4" w:space="0" w:color="auto"/>
            </w:tcBorders>
            <w:shd w:val="clear" w:color="auto" w:fill="auto"/>
            <w:hideMark/>
          </w:tcPr>
          <w:p w14:paraId="66C227BF"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0.287</w:t>
            </w:r>
          </w:p>
        </w:tc>
      </w:tr>
      <w:tr w:rsidR="00D37825" w:rsidRPr="00B15EC8" w14:paraId="34EB0B84"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436E67AB"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7D8BE09C"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7A34CA8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-50.9 (-415.5, 289.1)</w:t>
            </w:r>
          </w:p>
        </w:tc>
        <w:tc>
          <w:tcPr>
            <w:tcW w:w="2160" w:type="dxa"/>
            <w:tcBorders>
              <w:top w:val="nil"/>
              <w:left w:val="nil"/>
              <w:bottom w:val="single" w:sz="4" w:space="0" w:color="auto"/>
              <w:right w:val="single" w:sz="4" w:space="0" w:color="auto"/>
            </w:tcBorders>
            <w:shd w:val="clear" w:color="auto" w:fill="auto"/>
            <w:hideMark/>
          </w:tcPr>
          <w:p w14:paraId="564AF25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-6.85 (-593.4, 532.2)</w:t>
            </w:r>
          </w:p>
        </w:tc>
        <w:tc>
          <w:tcPr>
            <w:tcW w:w="2100" w:type="dxa"/>
            <w:tcBorders>
              <w:top w:val="nil"/>
              <w:left w:val="nil"/>
              <w:bottom w:val="single" w:sz="4" w:space="0" w:color="auto"/>
              <w:right w:val="single" w:sz="4" w:space="0" w:color="auto"/>
            </w:tcBorders>
            <w:shd w:val="clear" w:color="auto" w:fill="auto"/>
            <w:hideMark/>
          </w:tcPr>
          <w:p w14:paraId="1440B8B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-28 (-529.7, 464.9)</w:t>
            </w:r>
          </w:p>
        </w:tc>
        <w:tc>
          <w:tcPr>
            <w:tcW w:w="2180" w:type="dxa"/>
            <w:tcBorders>
              <w:top w:val="nil"/>
              <w:left w:val="nil"/>
              <w:bottom w:val="single" w:sz="4" w:space="0" w:color="auto"/>
              <w:right w:val="single" w:sz="4" w:space="0" w:color="auto"/>
            </w:tcBorders>
            <w:shd w:val="clear" w:color="auto" w:fill="auto"/>
            <w:hideMark/>
          </w:tcPr>
          <w:p w14:paraId="11FB4A0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-27.45 (-236.2, 176.4)</w:t>
            </w:r>
          </w:p>
        </w:tc>
        <w:tc>
          <w:tcPr>
            <w:tcW w:w="1060" w:type="dxa"/>
            <w:tcBorders>
              <w:top w:val="nil"/>
              <w:left w:val="nil"/>
              <w:bottom w:val="single" w:sz="4" w:space="0" w:color="auto"/>
              <w:right w:val="single" w:sz="4" w:space="0" w:color="auto"/>
            </w:tcBorders>
            <w:shd w:val="clear" w:color="auto" w:fill="auto"/>
            <w:hideMark/>
          </w:tcPr>
          <w:p w14:paraId="7052D610"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7F0A430C"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3825896A"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2</w:t>
            </w:r>
          </w:p>
        </w:tc>
        <w:tc>
          <w:tcPr>
            <w:tcW w:w="1920" w:type="dxa"/>
            <w:tcBorders>
              <w:top w:val="nil"/>
              <w:left w:val="nil"/>
              <w:bottom w:val="single" w:sz="4" w:space="0" w:color="auto"/>
              <w:right w:val="single" w:sz="4" w:space="0" w:color="auto"/>
            </w:tcBorders>
            <w:shd w:val="clear" w:color="auto" w:fill="auto"/>
            <w:hideMark/>
          </w:tcPr>
          <w:p w14:paraId="131585C5"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noWrap/>
            <w:hideMark/>
          </w:tcPr>
          <w:p w14:paraId="3BB99D6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-31.3 ± 121.9</w:t>
            </w:r>
          </w:p>
        </w:tc>
        <w:tc>
          <w:tcPr>
            <w:tcW w:w="2160" w:type="dxa"/>
            <w:tcBorders>
              <w:top w:val="nil"/>
              <w:left w:val="nil"/>
              <w:bottom w:val="single" w:sz="4" w:space="0" w:color="auto"/>
              <w:right w:val="single" w:sz="4" w:space="0" w:color="auto"/>
            </w:tcBorders>
            <w:shd w:val="clear" w:color="auto" w:fill="auto"/>
            <w:noWrap/>
            <w:hideMark/>
          </w:tcPr>
          <w:p w14:paraId="5AD7384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-41.1 ± 115.1</w:t>
            </w:r>
          </w:p>
        </w:tc>
        <w:tc>
          <w:tcPr>
            <w:tcW w:w="2100" w:type="dxa"/>
            <w:tcBorders>
              <w:top w:val="nil"/>
              <w:left w:val="nil"/>
              <w:bottom w:val="single" w:sz="4" w:space="0" w:color="auto"/>
              <w:right w:val="single" w:sz="4" w:space="0" w:color="auto"/>
            </w:tcBorders>
            <w:shd w:val="clear" w:color="auto" w:fill="auto"/>
            <w:noWrap/>
            <w:hideMark/>
          </w:tcPr>
          <w:p w14:paraId="0D97C64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-67.1 ± 100.2</w:t>
            </w:r>
          </w:p>
        </w:tc>
        <w:tc>
          <w:tcPr>
            <w:tcW w:w="2180" w:type="dxa"/>
            <w:tcBorders>
              <w:top w:val="nil"/>
              <w:left w:val="nil"/>
              <w:bottom w:val="single" w:sz="4" w:space="0" w:color="auto"/>
              <w:right w:val="single" w:sz="4" w:space="0" w:color="auto"/>
            </w:tcBorders>
            <w:shd w:val="clear" w:color="auto" w:fill="auto"/>
            <w:noWrap/>
            <w:hideMark/>
          </w:tcPr>
          <w:p w14:paraId="129F5A2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-37.7 ± 129.6</w:t>
            </w:r>
          </w:p>
        </w:tc>
        <w:tc>
          <w:tcPr>
            <w:tcW w:w="1060" w:type="dxa"/>
            <w:tcBorders>
              <w:top w:val="nil"/>
              <w:left w:val="nil"/>
              <w:bottom w:val="single" w:sz="4" w:space="0" w:color="auto"/>
              <w:right w:val="single" w:sz="4" w:space="0" w:color="auto"/>
            </w:tcBorders>
            <w:shd w:val="clear" w:color="auto" w:fill="auto"/>
            <w:hideMark/>
          </w:tcPr>
          <w:p w14:paraId="06517BE2"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0.773</w:t>
            </w:r>
          </w:p>
        </w:tc>
      </w:tr>
      <w:tr w:rsidR="00D37825" w:rsidRPr="00B15EC8" w14:paraId="787CA0FB"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47BB1B2B"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700E2B8B"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6AA9550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-51 (-313.6, 277.4)</w:t>
            </w:r>
          </w:p>
        </w:tc>
        <w:tc>
          <w:tcPr>
            <w:tcW w:w="2160" w:type="dxa"/>
            <w:tcBorders>
              <w:top w:val="nil"/>
              <w:left w:val="nil"/>
              <w:bottom w:val="single" w:sz="4" w:space="0" w:color="auto"/>
              <w:right w:val="single" w:sz="4" w:space="0" w:color="auto"/>
            </w:tcBorders>
            <w:shd w:val="clear" w:color="auto" w:fill="auto"/>
            <w:hideMark/>
          </w:tcPr>
          <w:p w14:paraId="7D30C09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-37.75 (-309.7, 258)</w:t>
            </w:r>
          </w:p>
        </w:tc>
        <w:tc>
          <w:tcPr>
            <w:tcW w:w="2100" w:type="dxa"/>
            <w:tcBorders>
              <w:top w:val="nil"/>
              <w:left w:val="nil"/>
              <w:bottom w:val="single" w:sz="4" w:space="0" w:color="auto"/>
              <w:right w:val="single" w:sz="4" w:space="0" w:color="auto"/>
            </w:tcBorders>
            <w:shd w:val="clear" w:color="auto" w:fill="auto"/>
            <w:hideMark/>
          </w:tcPr>
          <w:p w14:paraId="52595E2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-52.6 (-341, 100)</w:t>
            </w:r>
          </w:p>
        </w:tc>
        <w:tc>
          <w:tcPr>
            <w:tcW w:w="2180" w:type="dxa"/>
            <w:tcBorders>
              <w:top w:val="nil"/>
              <w:left w:val="nil"/>
              <w:bottom w:val="single" w:sz="4" w:space="0" w:color="auto"/>
              <w:right w:val="single" w:sz="4" w:space="0" w:color="auto"/>
            </w:tcBorders>
            <w:shd w:val="clear" w:color="auto" w:fill="auto"/>
            <w:hideMark/>
          </w:tcPr>
          <w:p w14:paraId="497D332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-46.1 (-418.2, 215.6)</w:t>
            </w:r>
          </w:p>
        </w:tc>
        <w:tc>
          <w:tcPr>
            <w:tcW w:w="1060" w:type="dxa"/>
            <w:tcBorders>
              <w:top w:val="nil"/>
              <w:left w:val="nil"/>
              <w:bottom w:val="single" w:sz="4" w:space="0" w:color="auto"/>
              <w:right w:val="single" w:sz="4" w:space="0" w:color="auto"/>
            </w:tcBorders>
            <w:shd w:val="clear" w:color="auto" w:fill="auto"/>
            <w:hideMark/>
          </w:tcPr>
          <w:p w14:paraId="6320B2EA"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46823459"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6038C58D"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3</w:t>
            </w:r>
          </w:p>
        </w:tc>
        <w:tc>
          <w:tcPr>
            <w:tcW w:w="1920" w:type="dxa"/>
            <w:tcBorders>
              <w:top w:val="nil"/>
              <w:left w:val="nil"/>
              <w:bottom w:val="single" w:sz="4" w:space="0" w:color="auto"/>
              <w:right w:val="single" w:sz="4" w:space="0" w:color="auto"/>
            </w:tcBorders>
            <w:shd w:val="clear" w:color="auto" w:fill="auto"/>
            <w:hideMark/>
          </w:tcPr>
          <w:p w14:paraId="7CFFA28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noWrap/>
            <w:hideMark/>
          </w:tcPr>
          <w:p w14:paraId="760B6CA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-41.0 ± 97.6</w:t>
            </w:r>
          </w:p>
        </w:tc>
        <w:tc>
          <w:tcPr>
            <w:tcW w:w="2160" w:type="dxa"/>
            <w:tcBorders>
              <w:top w:val="nil"/>
              <w:left w:val="nil"/>
              <w:bottom w:val="single" w:sz="4" w:space="0" w:color="auto"/>
              <w:right w:val="single" w:sz="4" w:space="0" w:color="auto"/>
            </w:tcBorders>
            <w:shd w:val="clear" w:color="auto" w:fill="auto"/>
            <w:noWrap/>
            <w:hideMark/>
          </w:tcPr>
          <w:p w14:paraId="2F556CA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-12.9 ± 115.5</w:t>
            </w:r>
          </w:p>
        </w:tc>
        <w:tc>
          <w:tcPr>
            <w:tcW w:w="2100" w:type="dxa"/>
            <w:tcBorders>
              <w:top w:val="nil"/>
              <w:left w:val="nil"/>
              <w:bottom w:val="single" w:sz="4" w:space="0" w:color="auto"/>
              <w:right w:val="single" w:sz="4" w:space="0" w:color="auto"/>
            </w:tcBorders>
            <w:shd w:val="clear" w:color="auto" w:fill="auto"/>
            <w:noWrap/>
            <w:hideMark/>
          </w:tcPr>
          <w:p w14:paraId="7B3574D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-29.6 ± 111.9</w:t>
            </w:r>
          </w:p>
        </w:tc>
        <w:tc>
          <w:tcPr>
            <w:tcW w:w="2180" w:type="dxa"/>
            <w:tcBorders>
              <w:top w:val="nil"/>
              <w:left w:val="nil"/>
              <w:bottom w:val="single" w:sz="4" w:space="0" w:color="auto"/>
              <w:right w:val="single" w:sz="4" w:space="0" w:color="auto"/>
            </w:tcBorders>
            <w:shd w:val="clear" w:color="auto" w:fill="auto"/>
            <w:noWrap/>
            <w:hideMark/>
          </w:tcPr>
          <w:p w14:paraId="4CCF5A5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-23.8 ± 130.2</w:t>
            </w:r>
          </w:p>
        </w:tc>
        <w:tc>
          <w:tcPr>
            <w:tcW w:w="1060" w:type="dxa"/>
            <w:tcBorders>
              <w:top w:val="nil"/>
              <w:left w:val="nil"/>
              <w:bottom w:val="single" w:sz="4" w:space="0" w:color="auto"/>
              <w:right w:val="single" w:sz="4" w:space="0" w:color="auto"/>
            </w:tcBorders>
            <w:shd w:val="clear" w:color="auto" w:fill="auto"/>
            <w:hideMark/>
          </w:tcPr>
          <w:p w14:paraId="49C931A4"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0.400</w:t>
            </w:r>
          </w:p>
        </w:tc>
      </w:tr>
      <w:tr w:rsidR="00D37825" w:rsidRPr="00B15EC8" w14:paraId="360A1418"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0C1F1706"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1FC2E8BE"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1367974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-29.4 (-274.4, 196)</w:t>
            </w:r>
          </w:p>
        </w:tc>
        <w:tc>
          <w:tcPr>
            <w:tcW w:w="2160" w:type="dxa"/>
            <w:tcBorders>
              <w:top w:val="nil"/>
              <w:left w:val="nil"/>
              <w:bottom w:val="single" w:sz="4" w:space="0" w:color="auto"/>
              <w:right w:val="single" w:sz="4" w:space="0" w:color="auto"/>
            </w:tcBorders>
            <w:shd w:val="clear" w:color="auto" w:fill="auto"/>
            <w:hideMark/>
          </w:tcPr>
          <w:p w14:paraId="0822E82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-7.8 (-316, 376.3)</w:t>
            </w:r>
          </w:p>
        </w:tc>
        <w:tc>
          <w:tcPr>
            <w:tcW w:w="2100" w:type="dxa"/>
            <w:tcBorders>
              <w:top w:val="nil"/>
              <w:left w:val="nil"/>
              <w:bottom w:val="single" w:sz="4" w:space="0" w:color="auto"/>
              <w:right w:val="single" w:sz="4" w:space="0" w:color="auto"/>
            </w:tcBorders>
            <w:shd w:val="clear" w:color="auto" w:fill="auto"/>
            <w:hideMark/>
          </w:tcPr>
          <w:p w14:paraId="3E3172A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-9.95 (-330.3, 196)</w:t>
            </w:r>
          </w:p>
        </w:tc>
        <w:tc>
          <w:tcPr>
            <w:tcW w:w="2180" w:type="dxa"/>
            <w:tcBorders>
              <w:top w:val="nil"/>
              <w:left w:val="nil"/>
              <w:bottom w:val="single" w:sz="4" w:space="0" w:color="auto"/>
              <w:right w:val="single" w:sz="4" w:space="0" w:color="auto"/>
            </w:tcBorders>
            <w:shd w:val="clear" w:color="auto" w:fill="auto"/>
            <w:hideMark/>
          </w:tcPr>
          <w:p w14:paraId="0A07E03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-5.9 (-460.6, 211.7)</w:t>
            </w:r>
          </w:p>
        </w:tc>
        <w:tc>
          <w:tcPr>
            <w:tcW w:w="1060" w:type="dxa"/>
            <w:tcBorders>
              <w:top w:val="nil"/>
              <w:left w:val="nil"/>
              <w:bottom w:val="single" w:sz="4" w:space="0" w:color="auto"/>
              <w:right w:val="single" w:sz="4" w:space="0" w:color="auto"/>
            </w:tcBorders>
            <w:shd w:val="clear" w:color="auto" w:fill="auto"/>
            <w:hideMark/>
          </w:tcPr>
          <w:p w14:paraId="6B30466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289B4E56"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3BB1B06A"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4</w:t>
            </w:r>
          </w:p>
        </w:tc>
        <w:tc>
          <w:tcPr>
            <w:tcW w:w="1920" w:type="dxa"/>
            <w:tcBorders>
              <w:top w:val="nil"/>
              <w:left w:val="nil"/>
              <w:bottom w:val="single" w:sz="4" w:space="0" w:color="auto"/>
              <w:right w:val="single" w:sz="4" w:space="0" w:color="auto"/>
            </w:tcBorders>
            <w:shd w:val="clear" w:color="auto" w:fill="auto"/>
            <w:hideMark/>
          </w:tcPr>
          <w:p w14:paraId="2AC9A83A"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noWrap/>
            <w:hideMark/>
          </w:tcPr>
          <w:p w14:paraId="15478B1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-61.6 ± 117.3</w:t>
            </w:r>
          </w:p>
        </w:tc>
        <w:tc>
          <w:tcPr>
            <w:tcW w:w="2160" w:type="dxa"/>
            <w:tcBorders>
              <w:top w:val="nil"/>
              <w:left w:val="nil"/>
              <w:bottom w:val="single" w:sz="4" w:space="0" w:color="auto"/>
              <w:right w:val="single" w:sz="4" w:space="0" w:color="auto"/>
            </w:tcBorders>
            <w:shd w:val="clear" w:color="auto" w:fill="auto"/>
            <w:hideMark/>
          </w:tcPr>
          <w:p w14:paraId="74B0D3C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 137.3</w:t>
            </w:r>
          </w:p>
        </w:tc>
        <w:tc>
          <w:tcPr>
            <w:tcW w:w="2100" w:type="dxa"/>
            <w:tcBorders>
              <w:top w:val="nil"/>
              <w:left w:val="nil"/>
              <w:bottom w:val="single" w:sz="4" w:space="0" w:color="auto"/>
              <w:right w:val="single" w:sz="4" w:space="0" w:color="auto"/>
            </w:tcBorders>
            <w:shd w:val="clear" w:color="auto" w:fill="auto"/>
            <w:noWrap/>
            <w:hideMark/>
          </w:tcPr>
          <w:p w14:paraId="3EB8E63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-31.6 ± 116.6</w:t>
            </w:r>
          </w:p>
        </w:tc>
        <w:tc>
          <w:tcPr>
            <w:tcW w:w="2180" w:type="dxa"/>
            <w:tcBorders>
              <w:top w:val="nil"/>
              <w:left w:val="nil"/>
              <w:bottom w:val="single" w:sz="4" w:space="0" w:color="auto"/>
              <w:right w:val="single" w:sz="4" w:space="0" w:color="auto"/>
            </w:tcBorders>
            <w:shd w:val="clear" w:color="auto" w:fill="auto"/>
            <w:noWrap/>
            <w:hideMark/>
          </w:tcPr>
          <w:p w14:paraId="56638D2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-20.2 ± 112.4</w:t>
            </w:r>
          </w:p>
        </w:tc>
        <w:tc>
          <w:tcPr>
            <w:tcW w:w="1060" w:type="dxa"/>
            <w:tcBorders>
              <w:top w:val="nil"/>
              <w:left w:val="nil"/>
              <w:bottom w:val="single" w:sz="4" w:space="0" w:color="auto"/>
              <w:right w:val="single" w:sz="4" w:space="0" w:color="auto"/>
            </w:tcBorders>
            <w:shd w:val="clear" w:color="auto" w:fill="auto"/>
            <w:hideMark/>
          </w:tcPr>
          <w:p w14:paraId="442A5F6A"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0.040</w:t>
            </w:r>
          </w:p>
        </w:tc>
      </w:tr>
      <w:tr w:rsidR="00D37825" w:rsidRPr="00B15EC8" w14:paraId="4AA53AF6"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6918F123"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7CE7B8E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60ACA8E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-64.7 (-285.2, 247)</w:t>
            </w:r>
          </w:p>
        </w:tc>
        <w:tc>
          <w:tcPr>
            <w:tcW w:w="2160" w:type="dxa"/>
            <w:tcBorders>
              <w:top w:val="nil"/>
              <w:left w:val="nil"/>
              <w:bottom w:val="single" w:sz="4" w:space="0" w:color="auto"/>
              <w:right w:val="single" w:sz="4" w:space="0" w:color="auto"/>
            </w:tcBorders>
            <w:shd w:val="clear" w:color="auto" w:fill="auto"/>
            <w:hideMark/>
          </w:tcPr>
          <w:p w14:paraId="5AD8172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-1.95 (-235.7, 446.9)</w:t>
            </w:r>
          </w:p>
        </w:tc>
        <w:tc>
          <w:tcPr>
            <w:tcW w:w="2100" w:type="dxa"/>
            <w:tcBorders>
              <w:top w:val="nil"/>
              <w:left w:val="nil"/>
              <w:bottom w:val="single" w:sz="4" w:space="0" w:color="auto"/>
              <w:right w:val="single" w:sz="4" w:space="0" w:color="auto"/>
            </w:tcBorders>
            <w:shd w:val="clear" w:color="auto" w:fill="auto"/>
            <w:hideMark/>
          </w:tcPr>
          <w:p w14:paraId="2EFD3BB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-23.5 (-404.1, 348.1)</w:t>
            </w:r>
          </w:p>
        </w:tc>
        <w:tc>
          <w:tcPr>
            <w:tcW w:w="2180" w:type="dxa"/>
            <w:tcBorders>
              <w:top w:val="nil"/>
              <w:left w:val="nil"/>
              <w:bottom w:val="single" w:sz="4" w:space="0" w:color="auto"/>
              <w:right w:val="single" w:sz="4" w:space="0" w:color="auto"/>
            </w:tcBorders>
            <w:shd w:val="clear" w:color="auto" w:fill="auto"/>
            <w:hideMark/>
          </w:tcPr>
          <w:p w14:paraId="43E7A6D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-17.65 (-308.7, 309.6)</w:t>
            </w:r>
          </w:p>
        </w:tc>
        <w:tc>
          <w:tcPr>
            <w:tcW w:w="1060" w:type="dxa"/>
            <w:tcBorders>
              <w:top w:val="nil"/>
              <w:left w:val="nil"/>
              <w:bottom w:val="single" w:sz="4" w:space="0" w:color="auto"/>
              <w:right w:val="single" w:sz="4" w:space="0" w:color="auto"/>
            </w:tcBorders>
            <w:shd w:val="clear" w:color="auto" w:fill="auto"/>
            <w:hideMark/>
          </w:tcPr>
          <w:p w14:paraId="28F7EF54"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17CD5F4D"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3FD3DA37"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5</w:t>
            </w:r>
          </w:p>
        </w:tc>
        <w:tc>
          <w:tcPr>
            <w:tcW w:w="1920" w:type="dxa"/>
            <w:tcBorders>
              <w:top w:val="nil"/>
              <w:left w:val="nil"/>
              <w:bottom w:val="single" w:sz="4" w:space="0" w:color="auto"/>
              <w:right w:val="single" w:sz="4" w:space="0" w:color="auto"/>
            </w:tcBorders>
            <w:shd w:val="clear" w:color="auto" w:fill="auto"/>
            <w:hideMark/>
          </w:tcPr>
          <w:p w14:paraId="3D674A9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noWrap/>
            <w:hideMark/>
          </w:tcPr>
          <w:p w14:paraId="3EA48DA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-40.9 ± 143.4</w:t>
            </w:r>
          </w:p>
        </w:tc>
        <w:tc>
          <w:tcPr>
            <w:tcW w:w="2160" w:type="dxa"/>
            <w:tcBorders>
              <w:top w:val="nil"/>
              <w:left w:val="nil"/>
              <w:bottom w:val="single" w:sz="4" w:space="0" w:color="auto"/>
              <w:right w:val="single" w:sz="4" w:space="0" w:color="auto"/>
            </w:tcBorders>
            <w:shd w:val="clear" w:color="auto" w:fill="auto"/>
            <w:noWrap/>
            <w:hideMark/>
          </w:tcPr>
          <w:p w14:paraId="49DBAFA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-0.0 ± 102.8</w:t>
            </w:r>
          </w:p>
        </w:tc>
        <w:tc>
          <w:tcPr>
            <w:tcW w:w="2100" w:type="dxa"/>
            <w:tcBorders>
              <w:top w:val="nil"/>
              <w:left w:val="nil"/>
              <w:bottom w:val="single" w:sz="4" w:space="0" w:color="auto"/>
              <w:right w:val="single" w:sz="4" w:space="0" w:color="auto"/>
            </w:tcBorders>
            <w:shd w:val="clear" w:color="auto" w:fill="auto"/>
            <w:noWrap/>
            <w:hideMark/>
          </w:tcPr>
          <w:p w14:paraId="0BEEDEB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-29.6 ± 127.4</w:t>
            </w:r>
          </w:p>
        </w:tc>
        <w:tc>
          <w:tcPr>
            <w:tcW w:w="2180" w:type="dxa"/>
            <w:tcBorders>
              <w:top w:val="nil"/>
              <w:left w:val="nil"/>
              <w:bottom w:val="single" w:sz="4" w:space="0" w:color="auto"/>
              <w:right w:val="single" w:sz="4" w:space="0" w:color="auto"/>
            </w:tcBorders>
            <w:shd w:val="clear" w:color="auto" w:fill="auto"/>
            <w:noWrap/>
            <w:hideMark/>
          </w:tcPr>
          <w:p w14:paraId="65E37AD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-12.2 ± 86.6</w:t>
            </w:r>
          </w:p>
        </w:tc>
        <w:tc>
          <w:tcPr>
            <w:tcW w:w="1060" w:type="dxa"/>
            <w:tcBorders>
              <w:top w:val="nil"/>
              <w:left w:val="nil"/>
              <w:bottom w:val="single" w:sz="4" w:space="0" w:color="auto"/>
              <w:right w:val="single" w:sz="4" w:space="0" w:color="auto"/>
            </w:tcBorders>
            <w:shd w:val="clear" w:color="auto" w:fill="auto"/>
            <w:hideMark/>
          </w:tcPr>
          <w:p w14:paraId="62EC217B"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0.228</w:t>
            </w:r>
          </w:p>
        </w:tc>
      </w:tr>
      <w:tr w:rsidR="00D37825" w:rsidRPr="00B15EC8" w14:paraId="3B375827"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3CCDCADD"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3DEC5B7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2F7E0CF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-51 (-389.2, 511.1)</w:t>
            </w:r>
          </w:p>
        </w:tc>
        <w:tc>
          <w:tcPr>
            <w:tcW w:w="2160" w:type="dxa"/>
            <w:tcBorders>
              <w:top w:val="nil"/>
              <w:left w:val="nil"/>
              <w:bottom w:val="single" w:sz="4" w:space="0" w:color="auto"/>
              <w:right w:val="single" w:sz="4" w:space="0" w:color="auto"/>
            </w:tcBorders>
            <w:shd w:val="clear" w:color="auto" w:fill="auto"/>
            <w:hideMark/>
          </w:tcPr>
          <w:p w14:paraId="11C4620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-12 (-211.3, 301.9)</w:t>
            </w:r>
          </w:p>
        </w:tc>
        <w:tc>
          <w:tcPr>
            <w:tcW w:w="2100" w:type="dxa"/>
            <w:tcBorders>
              <w:top w:val="nil"/>
              <w:left w:val="nil"/>
              <w:bottom w:val="single" w:sz="4" w:space="0" w:color="auto"/>
              <w:right w:val="single" w:sz="4" w:space="0" w:color="auto"/>
            </w:tcBorders>
            <w:shd w:val="clear" w:color="auto" w:fill="auto"/>
            <w:hideMark/>
          </w:tcPr>
          <w:p w14:paraId="35F1A1E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-12.7 (-422.1, 317)</w:t>
            </w:r>
          </w:p>
        </w:tc>
        <w:tc>
          <w:tcPr>
            <w:tcW w:w="2180" w:type="dxa"/>
            <w:tcBorders>
              <w:top w:val="nil"/>
              <w:left w:val="nil"/>
              <w:bottom w:val="single" w:sz="4" w:space="0" w:color="auto"/>
              <w:right w:val="single" w:sz="4" w:space="0" w:color="auto"/>
            </w:tcBorders>
            <w:shd w:val="clear" w:color="auto" w:fill="auto"/>
            <w:hideMark/>
          </w:tcPr>
          <w:p w14:paraId="11DBE77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-27.45 (-203.9, 168)</w:t>
            </w:r>
          </w:p>
        </w:tc>
        <w:tc>
          <w:tcPr>
            <w:tcW w:w="1060" w:type="dxa"/>
            <w:tcBorders>
              <w:top w:val="nil"/>
              <w:left w:val="nil"/>
              <w:bottom w:val="single" w:sz="4" w:space="0" w:color="auto"/>
              <w:right w:val="single" w:sz="4" w:space="0" w:color="auto"/>
            </w:tcBorders>
            <w:shd w:val="clear" w:color="auto" w:fill="auto"/>
            <w:hideMark/>
          </w:tcPr>
          <w:p w14:paraId="3C4B98F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37629AE9" w14:textId="77777777" w:rsidTr="008E7D62">
        <w:trPr>
          <w:trHeight w:val="240"/>
        </w:trPr>
        <w:tc>
          <w:tcPr>
            <w:tcW w:w="130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553D9AA5"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Cold pressor tolerance (time in seconds)</w:t>
            </w:r>
          </w:p>
        </w:tc>
      </w:tr>
      <w:tr w:rsidR="00D37825" w:rsidRPr="00B15EC8" w14:paraId="74C1AA10"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5CDDB6DB"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1</w:t>
            </w:r>
          </w:p>
        </w:tc>
        <w:tc>
          <w:tcPr>
            <w:tcW w:w="1920" w:type="dxa"/>
            <w:tcBorders>
              <w:top w:val="nil"/>
              <w:left w:val="nil"/>
              <w:bottom w:val="single" w:sz="4" w:space="0" w:color="auto"/>
              <w:right w:val="single" w:sz="4" w:space="0" w:color="auto"/>
            </w:tcBorders>
            <w:shd w:val="clear" w:color="auto" w:fill="auto"/>
            <w:hideMark/>
          </w:tcPr>
          <w:p w14:paraId="40BCE413"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298671B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56.3 ± 9.7</w:t>
            </w:r>
          </w:p>
        </w:tc>
        <w:tc>
          <w:tcPr>
            <w:tcW w:w="2160" w:type="dxa"/>
            <w:tcBorders>
              <w:top w:val="nil"/>
              <w:left w:val="nil"/>
              <w:bottom w:val="single" w:sz="4" w:space="0" w:color="auto"/>
              <w:right w:val="single" w:sz="4" w:space="0" w:color="auto"/>
            </w:tcBorders>
            <w:shd w:val="clear" w:color="auto" w:fill="auto"/>
            <w:hideMark/>
          </w:tcPr>
          <w:p w14:paraId="25C43D0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53.0 ± 15.2</w:t>
            </w:r>
          </w:p>
        </w:tc>
        <w:tc>
          <w:tcPr>
            <w:tcW w:w="2100" w:type="dxa"/>
            <w:tcBorders>
              <w:top w:val="nil"/>
              <w:left w:val="nil"/>
              <w:bottom w:val="single" w:sz="4" w:space="0" w:color="auto"/>
              <w:right w:val="single" w:sz="4" w:space="0" w:color="auto"/>
            </w:tcBorders>
            <w:shd w:val="clear" w:color="auto" w:fill="auto"/>
            <w:hideMark/>
          </w:tcPr>
          <w:p w14:paraId="746662C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54.9 ± 11.5</w:t>
            </w:r>
          </w:p>
        </w:tc>
        <w:tc>
          <w:tcPr>
            <w:tcW w:w="2180" w:type="dxa"/>
            <w:tcBorders>
              <w:top w:val="nil"/>
              <w:left w:val="nil"/>
              <w:bottom w:val="single" w:sz="4" w:space="0" w:color="auto"/>
              <w:right w:val="single" w:sz="4" w:space="0" w:color="auto"/>
            </w:tcBorders>
            <w:shd w:val="clear" w:color="auto" w:fill="auto"/>
            <w:hideMark/>
          </w:tcPr>
          <w:p w14:paraId="16E8445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57.4 ± 8.4</w:t>
            </w:r>
          </w:p>
        </w:tc>
        <w:tc>
          <w:tcPr>
            <w:tcW w:w="1060" w:type="dxa"/>
            <w:tcBorders>
              <w:top w:val="nil"/>
              <w:left w:val="nil"/>
              <w:bottom w:val="single" w:sz="4" w:space="0" w:color="auto"/>
              <w:right w:val="single" w:sz="4" w:space="0" w:color="auto"/>
            </w:tcBorders>
            <w:shd w:val="clear" w:color="auto" w:fill="auto"/>
            <w:hideMark/>
          </w:tcPr>
          <w:p w14:paraId="67925B33"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0.476</w:t>
            </w:r>
          </w:p>
        </w:tc>
      </w:tr>
      <w:tr w:rsidR="00D37825" w:rsidRPr="00B15EC8" w14:paraId="20CA8944"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44A60F4A"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31A55DE1"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300F4BF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60.05 (21, 61)</w:t>
            </w:r>
          </w:p>
        </w:tc>
        <w:tc>
          <w:tcPr>
            <w:tcW w:w="2160" w:type="dxa"/>
            <w:tcBorders>
              <w:top w:val="nil"/>
              <w:left w:val="nil"/>
              <w:bottom w:val="single" w:sz="4" w:space="0" w:color="auto"/>
              <w:right w:val="single" w:sz="4" w:space="0" w:color="auto"/>
            </w:tcBorders>
            <w:shd w:val="clear" w:color="auto" w:fill="auto"/>
            <w:hideMark/>
          </w:tcPr>
          <w:p w14:paraId="55E22AA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(6.8, 61)</w:t>
            </w:r>
          </w:p>
        </w:tc>
        <w:tc>
          <w:tcPr>
            <w:tcW w:w="2100" w:type="dxa"/>
            <w:tcBorders>
              <w:top w:val="nil"/>
              <w:left w:val="nil"/>
              <w:bottom w:val="single" w:sz="4" w:space="0" w:color="auto"/>
              <w:right w:val="single" w:sz="4" w:space="0" w:color="auto"/>
            </w:tcBorders>
            <w:shd w:val="clear" w:color="auto" w:fill="auto"/>
            <w:hideMark/>
          </w:tcPr>
          <w:p w14:paraId="608B466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(19.1, 61)</w:t>
            </w:r>
          </w:p>
        </w:tc>
        <w:tc>
          <w:tcPr>
            <w:tcW w:w="2180" w:type="dxa"/>
            <w:tcBorders>
              <w:top w:val="nil"/>
              <w:left w:val="nil"/>
              <w:bottom w:val="single" w:sz="4" w:space="0" w:color="auto"/>
              <w:right w:val="single" w:sz="4" w:space="0" w:color="auto"/>
            </w:tcBorders>
            <w:shd w:val="clear" w:color="auto" w:fill="auto"/>
            <w:hideMark/>
          </w:tcPr>
          <w:p w14:paraId="5A1888F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(25.1, 61)</w:t>
            </w:r>
          </w:p>
        </w:tc>
        <w:tc>
          <w:tcPr>
            <w:tcW w:w="1060" w:type="dxa"/>
            <w:tcBorders>
              <w:top w:val="nil"/>
              <w:left w:val="nil"/>
              <w:bottom w:val="single" w:sz="4" w:space="0" w:color="auto"/>
              <w:right w:val="single" w:sz="4" w:space="0" w:color="auto"/>
            </w:tcBorders>
            <w:shd w:val="clear" w:color="auto" w:fill="auto"/>
            <w:hideMark/>
          </w:tcPr>
          <w:p w14:paraId="7A4AC09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6D04EA08"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1500C2A8"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2</w:t>
            </w:r>
          </w:p>
        </w:tc>
        <w:tc>
          <w:tcPr>
            <w:tcW w:w="1920" w:type="dxa"/>
            <w:tcBorders>
              <w:top w:val="nil"/>
              <w:left w:val="nil"/>
              <w:bottom w:val="single" w:sz="4" w:space="0" w:color="auto"/>
              <w:right w:val="single" w:sz="4" w:space="0" w:color="auto"/>
            </w:tcBorders>
            <w:shd w:val="clear" w:color="auto" w:fill="auto"/>
            <w:hideMark/>
          </w:tcPr>
          <w:p w14:paraId="59386F6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6516FAD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58.6 ± 6.0</w:t>
            </w:r>
          </w:p>
        </w:tc>
        <w:tc>
          <w:tcPr>
            <w:tcW w:w="2160" w:type="dxa"/>
            <w:tcBorders>
              <w:top w:val="nil"/>
              <w:left w:val="nil"/>
              <w:bottom w:val="single" w:sz="4" w:space="0" w:color="auto"/>
              <w:right w:val="single" w:sz="4" w:space="0" w:color="auto"/>
            </w:tcBorders>
            <w:shd w:val="clear" w:color="auto" w:fill="auto"/>
            <w:hideMark/>
          </w:tcPr>
          <w:p w14:paraId="3DA0FE7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55.2 ± 12.5</w:t>
            </w:r>
          </w:p>
        </w:tc>
        <w:tc>
          <w:tcPr>
            <w:tcW w:w="2100" w:type="dxa"/>
            <w:tcBorders>
              <w:top w:val="nil"/>
              <w:left w:val="nil"/>
              <w:bottom w:val="single" w:sz="4" w:space="0" w:color="auto"/>
              <w:right w:val="single" w:sz="4" w:space="0" w:color="auto"/>
            </w:tcBorders>
            <w:shd w:val="clear" w:color="auto" w:fill="auto"/>
            <w:hideMark/>
          </w:tcPr>
          <w:p w14:paraId="644DF8B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56.2 ± 11.1</w:t>
            </w:r>
          </w:p>
        </w:tc>
        <w:tc>
          <w:tcPr>
            <w:tcW w:w="2180" w:type="dxa"/>
            <w:tcBorders>
              <w:top w:val="nil"/>
              <w:left w:val="nil"/>
              <w:bottom w:val="single" w:sz="4" w:space="0" w:color="auto"/>
              <w:right w:val="single" w:sz="4" w:space="0" w:color="auto"/>
            </w:tcBorders>
            <w:shd w:val="clear" w:color="auto" w:fill="auto"/>
            <w:hideMark/>
          </w:tcPr>
          <w:p w14:paraId="1E4B38C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57.1 ± 9.0</w:t>
            </w:r>
          </w:p>
        </w:tc>
        <w:tc>
          <w:tcPr>
            <w:tcW w:w="1060" w:type="dxa"/>
            <w:tcBorders>
              <w:top w:val="nil"/>
              <w:left w:val="nil"/>
              <w:bottom w:val="single" w:sz="4" w:space="0" w:color="auto"/>
              <w:right w:val="single" w:sz="4" w:space="0" w:color="auto"/>
            </w:tcBorders>
            <w:shd w:val="clear" w:color="auto" w:fill="auto"/>
            <w:hideMark/>
          </w:tcPr>
          <w:p w14:paraId="46CE2241"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0.838</w:t>
            </w:r>
          </w:p>
        </w:tc>
      </w:tr>
      <w:tr w:rsidR="00D37825" w:rsidRPr="00B15EC8" w14:paraId="2FA80919"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70932D9D"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5949D1DA"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00046EB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(26.01, 61)</w:t>
            </w:r>
          </w:p>
        </w:tc>
        <w:tc>
          <w:tcPr>
            <w:tcW w:w="2160" w:type="dxa"/>
            <w:tcBorders>
              <w:top w:val="nil"/>
              <w:left w:val="nil"/>
              <w:bottom w:val="single" w:sz="4" w:space="0" w:color="auto"/>
              <w:right w:val="single" w:sz="4" w:space="0" w:color="auto"/>
            </w:tcBorders>
            <w:shd w:val="clear" w:color="auto" w:fill="auto"/>
            <w:hideMark/>
          </w:tcPr>
          <w:p w14:paraId="45191AA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(8.27, 60.1)</w:t>
            </w:r>
          </w:p>
        </w:tc>
        <w:tc>
          <w:tcPr>
            <w:tcW w:w="2100" w:type="dxa"/>
            <w:tcBorders>
              <w:top w:val="nil"/>
              <w:left w:val="nil"/>
              <w:bottom w:val="single" w:sz="4" w:space="0" w:color="auto"/>
              <w:right w:val="single" w:sz="4" w:space="0" w:color="auto"/>
            </w:tcBorders>
            <w:shd w:val="clear" w:color="auto" w:fill="auto"/>
            <w:hideMark/>
          </w:tcPr>
          <w:p w14:paraId="6F1F87C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(8.5, 61)</w:t>
            </w:r>
          </w:p>
        </w:tc>
        <w:tc>
          <w:tcPr>
            <w:tcW w:w="2180" w:type="dxa"/>
            <w:tcBorders>
              <w:top w:val="nil"/>
              <w:left w:val="nil"/>
              <w:bottom w:val="single" w:sz="4" w:space="0" w:color="auto"/>
              <w:right w:val="single" w:sz="4" w:space="0" w:color="auto"/>
            </w:tcBorders>
            <w:shd w:val="clear" w:color="auto" w:fill="auto"/>
            <w:hideMark/>
          </w:tcPr>
          <w:p w14:paraId="27A7C2B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(23, 61)</w:t>
            </w:r>
          </w:p>
        </w:tc>
        <w:tc>
          <w:tcPr>
            <w:tcW w:w="1060" w:type="dxa"/>
            <w:tcBorders>
              <w:top w:val="nil"/>
              <w:left w:val="nil"/>
              <w:bottom w:val="single" w:sz="4" w:space="0" w:color="auto"/>
              <w:right w:val="single" w:sz="4" w:space="0" w:color="auto"/>
            </w:tcBorders>
            <w:shd w:val="clear" w:color="auto" w:fill="auto"/>
            <w:hideMark/>
          </w:tcPr>
          <w:p w14:paraId="69E5CAF5"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746F5838"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5C71D3BB"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3</w:t>
            </w:r>
          </w:p>
        </w:tc>
        <w:tc>
          <w:tcPr>
            <w:tcW w:w="1920" w:type="dxa"/>
            <w:tcBorders>
              <w:top w:val="nil"/>
              <w:left w:val="nil"/>
              <w:bottom w:val="single" w:sz="4" w:space="0" w:color="auto"/>
              <w:right w:val="single" w:sz="4" w:space="0" w:color="auto"/>
            </w:tcBorders>
            <w:shd w:val="clear" w:color="auto" w:fill="auto"/>
            <w:hideMark/>
          </w:tcPr>
          <w:p w14:paraId="15D489FF"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15BEC60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58.6 ± 6.4</w:t>
            </w:r>
          </w:p>
        </w:tc>
        <w:tc>
          <w:tcPr>
            <w:tcW w:w="2160" w:type="dxa"/>
            <w:tcBorders>
              <w:top w:val="nil"/>
              <w:left w:val="nil"/>
              <w:bottom w:val="single" w:sz="4" w:space="0" w:color="auto"/>
              <w:right w:val="single" w:sz="4" w:space="0" w:color="auto"/>
            </w:tcBorders>
            <w:shd w:val="clear" w:color="auto" w:fill="auto"/>
            <w:hideMark/>
          </w:tcPr>
          <w:p w14:paraId="52C055A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54.4 ± 14.6</w:t>
            </w:r>
          </w:p>
        </w:tc>
        <w:tc>
          <w:tcPr>
            <w:tcW w:w="2100" w:type="dxa"/>
            <w:tcBorders>
              <w:top w:val="nil"/>
              <w:left w:val="nil"/>
              <w:bottom w:val="single" w:sz="4" w:space="0" w:color="auto"/>
              <w:right w:val="single" w:sz="4" w:space="0" w:color="auto"/>
            </w:tcBorders>
            <w:shd w:val="clear" w:color="auto" w:fill="auto"/>
            <w:hideMark/>
          </w:tcPr>
          <w:p w14:paraId="37A2063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57.0 ± 9.9</w:t>
            </w:r>
          </w:p>
        </w:tc>
        <w:tc>
          <w:tcPr>
            <w:tcW w:w="2180" w:type="dxa"/>
            <w:tcBorders>
              <w:top w:val="nil"/>
              <w:left w:val="nil"/>
              <w:bottom w:val="single" w:sz="4" w:space="0" w:color="auto"/>
              <w:right w:val="single" w:sz="4" w:space="0" w:color="auto"/>
            </w:tcBorders>
            <w:shd w:val="clear" w:color="auto" w:fill="auto"/>
            <w:hideMark/>
          </w:tcPr>
          <w:p w14:paraId="5DD42D3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57.4 ± 8.0</w:t>
            </w:r>
          </w:p>
        </w:tc>
        <w:tc>
          <w:tcPr>
            <w:tcW w:w="1060" w:type="dxa"/>
            <w:tcBorders>
              <w:top w:val="nil"/>
              <w:left w:val="nil"/>
              <w:bottom w:val="single" w:sz="4" w:space="0" w:color="auto"/>
              <w:right w:val="single" w:sz="4" w:space="0" w:color="auto"/>
            </w:tcBorders>
            <w:shd w:val="clear" w:color="auto" w:fill="auto"/>
            <w:hideMark/>
          </w:tcPr>
          <w:p w14:paraId="2FD75F4A"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0.739</w:t>
            </w:r>
          </w:p>
        </w:tc>
      </w:tr>
      <w:tr w:rsidR="00D37825" w:rsidRPr="00B15EC8" w14:paraId="68D63376"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6E986157"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66DB3054"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01D9EBB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(24.63, 61)</w:t>
            </w:r>
          </w:p>
        </w:tc>
        <w:tc>
          <w:tcPr>
            <w:tcW w:w="2160" w:type="dxa"/>
            <w:tcBorders>
              <w:top w:val="nil"/>
              <w:left w:val="nil"/>
              <w:bottom w:val="single" w:sz="4" w:space="0" w:color="auto"/>
              <w:right w:val="single" w:sz="4" w:space="0" w:color="auto"/>
            </w:tcBorders>
            <w:shd w:val="clear" w:color="auto" w:fill="auto"/>
            <w:hideMark/>
          </w:tcPr>
          <w:p w14:paraId="2035C11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(8, 61)</w:t>
            </w:r>
          </w:p>
        </w:tc>
        <w:tc>
          <w:tcPr>
            <w:tcW w:w="2100" w:type="dxa"/>
            <w:tcBorders>
              <w:top w:val="nil"/>
              <w:left w:val="nil"/>
              <w:bottom w:val="single" w:sz="4" w:space="0" w:color="auto"/>
              <w:right w:val="single" w:sz="4" w:space="0" w:color="auto"/>
            </w:tcBorders>
            <w:shd w:val="clear" w:color="auto" w:fill="auto"/>
            <w:hideMark/>
          </w:tcPr>
          <w:p w14:paraId="493CC2B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(10.2, 61)</w:t>
            </w:r>
          </w:p>
        </w:tc>
        <w:tc>
          <w:tcPr>
            <w:tcW w:w="2180" w:type="dxa"/>
            <w:tcBorders>
              <w:top w:val="nil"/>
              <w:left w:val="nil"/>
              <w:bottom w:val="single" w:sz="4" w:space="0" w:color="auto"/>
              <w:right w:val="single" w:sz="4" w:space="0" w:color="auto"/>
            </w:tcBorders>
            <w:shd w:val="clear" w:color="auto" w:fill="auto"/>
            <w:hideMark/>
          </w:tcPr>
          <w:p w14:paraId="3B066B3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(23, 61)</w:t>
            </w:r>
          </w:p>
        </w:tc>
        <w:tc>
          <w:tcPr>
            <w:tcW w:w="1060" w:type="dxa"/>
            <w:tcBorders>
              <w:top w:val="nil"/>
              <w:left w:val="nil"/>
              <w:bottom w:val="single" w:sz="4" w:space="0" w:color="auto"/>
              <w:right w:val="single" w:sz="4" w:space="0" w:color="auto"/>
            </w:tcBorders>
            <w:shd w:val="clear" w:color="auto" w:fill="auto"/>
            <w:hideMark/>
          </w:tcPr>
          <w:p w14:paraId="004B6E61"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62459A4D"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7C8126DB"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4</w:t>
            </w:r>
          </w:p>
        </w:tc>
        <w:tc>
          <w:tcPr>
            <w:tcW w:w="1920" w:type="dxa"/>
            <w:tcBorders>
              <w:top w:val="nil"/>
              <w:left w:val="nil"/>
              <w:bottom w:val="single" w:sz="4" w:space="0" w:color="auto"/>
              <w:right w:val="single" w:sz="4" w:space="0" w:color="auto"/>
            </w:tcBorders>
            <w:shd w:val="clear" w:color="auto" w:fill="auto"/>
            <w:hideMark/>
          </w:tcPr>
          <w:p w14:paraId="01BCAADB"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3DF33A7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59.2 ± 4.8</w:t>
            </w:r>
          </w:p>
        </w:tc>
        <w:tc>
          <w:tcPr>
            <w:tcW w:w="2160" w:type="dxa"/>
            <w:tcBorders>
              <w:top w:val="nil"/>
              <w:left w:val="nil"/>
              <w:bottom w:val="single" w:sz="4" w:space="0" w:color="auto"/>
              <w:right w:val="single" w:sz="4" w:space="0" w:color="auto"/>
            </w:tcBorders>
            <w:shd w:val="clear" w:color="auto" w:fill="auto"/>
            <w:hideMark/>
          </w:tcPr>
          <w:p w14:paraId="37160BA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55.0 ± 13.7</w:t>
            </w:r>
          </w:p>
        </w:tc>
        <w:tc>
          <w:tcPr>
            <w:tcW w:w="2100" w:type="dxa"/>
            <w:tcBorders>
              <w:top w:val="nil"/>
              <w:left w:val="nil"/>
              <w:bottom w:val="single" w:sz="4" w:space="0" w:color="auto"/>
              <w:right w:val="single" w:sz="4" w:space="0" w:color="auto"/>
            </w:tcBorders>
            <w:shd w:val="clear" w:color="auto" w:fill="auto"/>
            <w:hideMark/>
          </w:tcPr>
          <w:p w14:paraId="63CA914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57.7 ± 9.1</w:t>
            </w:r>
          </w:p>
        </w:tc>
        <w:tc>
          <w:tcPr>
            <w:tcW w:w="2180" w:type="dxa"/>
            <w:tcBorders>
              <w:top w:val="nil"/>
              <w:left w:val="nil"/>
              <w:bottom w:val="single" w:sz="4" w:space="0" w:color="auto"/>
              <w:right w:val="single" w:sz="4" w:space="0" w:color="auto"/>
            </w:tcBorders>
            <w:shd w:val="clear" w:color="auto" w:fill="auto"/>
            <w:hideMark/>
          </w:tcPr>
          <w:p w14:paraId="6D357D0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57.6 ± 8.1</w:t>
            </w:r>
          </w:p>
        </w:tc>
        <w:tc>
          <w:tcPr>
            <w:tcW w:w="1060" w:type="dxa"/>
            <w:tcBorders>
              <w:top w:val="nil"/>
              <w:left w:val="nil"/>
              <w:bottom w:val="single" w:sz="4" w:space="0" w:color="auto"/>
              <w:right w:val="single" w:sz="4" w:space="0" w:color="auto"/>
            </w:tcBorders>
            <w:shd w:val="clear" w:color="auto" w:fill="auto"/>
            <w:hideMark/>
          </w:tcPr>
          <w:p w14:paraId="3809927D"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0.659</w:t>
            </w:r>
          </w:p>
        </w:tc>
      </w:tr>
      <w:tr w:rsidR="00D37825" w:rsidRPr="00B15EC8" w14:paraId="4F7EAD04"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233D7476"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07A98958"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0E06AA7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60.05 (27.16, 61)</w:t>
            </w:r>
          </w:p>
        </w:tc>
        <w:tc>
          <w:tcPr>
            <w:tcW w:w="2160" w:type="dxa"/>
            <w:tcBorders>
              <w:top w:val="nil"/>
              <w:left w:val="nil"/>
              <w:bottom w:val="single" w:sz="4" w:space="0" w:color="auto"/>
              <w:right w:val="single" w:sz="4" w:space="0" w:color="auto"/>
            </w:tcBorders>
            <w:shd w:val="clear" w:color="auto" w:fill="auto"/>
            <w:hideMark/>
          </w:tcPr>
          <w:p w14:paraId="30C68B9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(7.56, 60.1)</w:t>
            </w:r>
          </w:p>
        </w:tc>
        <w:tc>
          <w:tcPr>
            <w:tcW w:w="2100" w:type="dxa"/>
            <w:tcBorders>
              <w:top w:val="nil"/>
              <w:left w:val="nil"/>
              <w:bottom w:val="single" w:sz="4" w:space="0" w:color="auto"/>
              <w:right w:val="single" w:sz="4" w:space="0" w:color="auto"/>
            </w:tcBorders>
            <w:shd w:val="clear" w:color="auto" w:fill="auto"/>
            <w:hideMark/>
          </w:tcPr>
          <w:p w14:paraId="4BE6236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(8.5, 60.1)</w:t>
            </w:r>
          </w:p>
        </w:tc>
        <w:tc>
          <w:tcPr>
            <w:tcW w:w="2180" w:type="dxa"/>
            <w:tcBorders>
              <w:top w:val="nil"/>
              <w:left w:val="nil"/>
              <w:bottom w:val="single" w:sz="4" w:space="0" w:color="auto"/>
              <w:right w:val="single" w:sz="4" w:space="0" w:color="auto"/>
            </w:tcBorders>
            <w:shd w:val="clear" w:color="auto" w:fill="auto"/>
            <w:hideMark/>
          </w:tcPr>
          <w:p w14:paraId="56EA0B4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(20.96, 61)</w:t>
            </w:r>
          </w:p>
        </w:tc>
        <w:tc>
          <w:tcPr>
            <w:tcW w:w="1060" w:type="dxa"/>
            <w:tcBorders>
              <w:top w:val="nil"/>
              <w:left w:val="nil"/>
              <w:bottom w:val="single" w:sz="4" w:space="0" w:color="auto"/>
              <w:right w:val="single" w:sz="4" w:space="0" w:color="auto"/>
            </w:tcBorders>
            <w:shd w:val="clear" w:color="auto" w:fill="auto"/>
            <w:hideMark/>
          </w:tcPr>
          <w:p w14:paraId="6BC068BB"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132EB217"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49C05FA0"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5</w:t>
            </w:r>
          </w:p>
        </w:tc>
        <w:tc>
          <w:tcPr>
            <w:tcW w:w="1920" w:type="dxa"/>
            <w:tcBorders>
              <w:top w:val="nil"/>
              <w:left w:val="nil"/>
              <w:bottom w:val="single" w:sz="4" w:space="0" w:color="auto"/>
              <w:right w:val="single" w:sz="4" w:space="0" w:color="auto"/>
            </w:tcBorders>
            <w:shd w:val="clear" w:color="auto" w:fill="auto"/>
            <w:hideMark/>
          </w:tcPr>
          <w:p w14:paraId="7421498D"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3C0F8A8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59.1 ± 5.4</w:t>
            </w:r>
          </w:p>
        </w:tc>
        <w:tc>
          <w:tcPr>
            <w:tcW w:w="2160" w:type="dxa"/>
            <w:tcBorders>
              <w:top w:val="nil"/>
              <w:left w:val="nil"/>
              <w:bottom w:val="single" w:sz="4" w:space="0" w:color="auto"/>
              <w:right w:val="single" w:sz="4" w:space="0" w:color="auto"/>
            </w:tcBorders>
            <w:shd w:val="clear" w:color="auto" w:fill="auto"/>
            <w:hideMark/>
          </w:tcPr>
          <w:p w14:paraId="3B43257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54.4 ± 14.7</w:t>
            </w:r>
          </w:p>
        </w:tc>
        <w:tc>
          <w:tcPr>
            <w:tcW w:w="2100" w:type="dxa"/>
            <w:tcBorders>
              <w:top w:val="nil"/>
              <w:left w:val="nil"/>
              <w:bottom w:val="single" w:sz="4" w:space="0" w:color="auto"/>
              <w:right w:val="single" w:sz="4" w:space="0" w:color="auto"/>
            </w:tcBorders>
            <w:shd w:val="clear" w:color="auto" w:fill="auto"/>
            <w:hideMark/>
          </w:tcPr>
          <w:p w14:paraId="1A00B20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57.5 ± 9.7</w:t>
            </w:r>
          </w:p>
        </w:tc>
        <w:tc>
          <w:tcPr>
            <w:tcW w:w="2180" w:type="dxa"/>
            <w:tcBorders>
              <w:top w:val="nil"/>
              <w:left w:val="nil"/>
              <w:bottom w:val="single" w:sz="4" w:space="0" w:color="auto"/>
              <w:right w:val="single" w:sz="4" w:space="0" w:color="auto"/>
            </w:tcBorders>
            <w:shd w:val="clear" w:color="auto" w:fill="auto"/>
            <w:hideMark/>
          </w:tcPr>
          <w:p w14:paraId="27B9823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58.1 ± 7.4</w:t>
            </w:r>
          </w:p>
        </w:tc>
        <w:tc>
          <w:tcPr>
            <w:tcW w:w="1060" w:type="dxa"/>
            <w:tcBorders>
              <w:top w:val="nil"/>
              <w:left w:val="nil"/>
              <w:bottom w:val="single" w:sz="4" w:space="0" w:color="auto"/>
              <w:right w:val="single" w:sz="4" w:space="0" w:color="auto"/>
            </w:tcBorders>
            <w:shd w:val="clear" w:color="auto" w:fill="auto"/>
            <w:hideMark/>
          </w:tcPr>
          <w:p w14:paraId="12C463A0"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0.834</w:t>
            </w:r>
          </w:p>
        </w:tc>
      </w:tr>
      <w:tr w:rsidR="00D37825" w:rsidRPr="00B15EC8" w14:paraId="15351821"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0172E258"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2F61F01C"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5B45271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(21.3, 60.1)</w:t>
            </w:r>
          </w:p>
        </w:tc>
        <w:tc>
          <w:tcPr>
            <w:tcW w:w="2160" w:type="dxa"/>
            <w:tcBorders>
              <w:top w:val="nil"/>
              <w:left w:val="nil"/>
              <w:bottom w:val="single" w:sz="4" w:space="0" w:color="auto"/>
              <w:right w:val="single" w:sz="4" w:space="0" w:color="auto"/>
            </w:tcBorders>
            <w:shd w:val="clear" w:color="auto" w:fill="auto"/>
            <w:hideMark/>
          </w:tcPr>
          <w:p w14:paraId="06FA205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(8.93, 61)</w:t>
            </w:r>
          </w:p>
        </w:tc>
        <w:tc>
          <w:tcPr>
            <w:tcW w:w="2100" w:type="dxa"/>
            <w:tcBorders>
              <w:top w:val="nil"/>
              <w:left w:val="nil"/>
              <w:bottom w:val="single" w:sz="4" w:space="0" w:color="auto"/>
              <w:right w:val="single" w:sz="4" w:space="0" w:color="auto"/>
            </w:tcBorders>
            <w:shd w:val="clear" w:color="auto" w:fill="auto"/>
            <w:hideMark/>
          </w:tcPr>
          <w:p w14:paraId="44B7B6E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(15.39, 61)</w:t>
            </w:r>
          </w:p>
        </w:tc>
        <w:tc>
          <w:tcPr>
            <w:tcW w:w="2180" w:type="dxa"/>
            <w:tcBorders>
              <w:top w:val="nil"/>
              <w:left w:val="nil"/>
              <w:bottom w:val="single" w:sz="4" w:space="0" w:color="auto"/>
              <w:right w:val="single" w:sz="4" w:space="0" w:color="auto"/>
            </w:tcBorders>
            <w:shd w:val="clear" w:color="auto" w:fill="auto"/>
            <w:hideMark/>
          </w:tcPr>
          <w:p w14:paraId="56F1453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(27.15, 61)</w:t>
            </w:r>
          </w:p>
        </w:tc>
        <w:tc>
          <w:tcPr>
            <w:tcW w:w="1060" w:type="dxa"/>
            <w:tcBorders>
              <w:top w:val="nil"/>
              <w:left w:val="nil"/>
              <w:bottom w:val="single" w:sz="4" w:space="0" w:color="auto"/>
              <w:right w:val="single" w:sz="4" w:space="0" w:color="auto"/>
            </w:tcBorders>
            <w:shd w:val="clear" w:color="auto" w:fill="auto"/>
            <w:hideMark/>
          </w:tcPr>
          <w:p w14:paraId="00FA1645"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53B1F5C5" w14:textId="77777777" w:rsidTr="008E7D62">
        <w:trPr>
          <w:trHeight w:val="240"/>
        </w:trPr>
        <w:tc>
          <w:tcPr>
            <w:tcW w:w="130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30EB7345"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Average presure pain threshold (PPT) of Ipsilateral/Dominant Deltoid - kPa</w:t>
            </w:r>
          </w:p>
        </w:tc>
      </w:tr>
      <w:tr w:rsidR="00D37825" w:rsidRPr="00B15EC8" w14:paraId="51647B26"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6D2E64A3"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1</w:t>
            </w:r>
          </w:p>
        </w:tc>
        <w:tc>
          <w:tcPr>
            <w:tcW w:w="1920" w:type="dxa"/>
            <w:tcBorders>
              <w:top w:val="nil"/>
              <w:left w:val="nil"/>
              <w:bottom w:val="single" w:sz="4" w:space="0" w:color="auto"/>
              <w:right w:val="single" w:sz="4" w:space="0" w:color="auto"/>
            </w:tcBorders>
            <w:shd w:val="clear" w:color="auto" w:fill="auto"/>
            <w:hideMark/>
          </w:tcPr>
          <w:p w14:paraId="27D7B02F"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188ED55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326.6 ± 206.9</w:t>
            </w:r>
          </w:p>
        </w:tc>
        <w:tc>
          <w:tcPr>
            <w:tcW w:w="2160" w:type="dxa"/>
            <w:tcBorders>
              <w:top w:val="nil"/>
              <w:left w:val="nil"/>
              <w:bottom w:val="single" w:sz="4" w:space="0" w:color="auto"/>
              <w:right w:val="single" w:sz="4" w:space="0" w:color="auto"/>
            </w:tcBorders>
            <w:shd w:val="clear" w:color="auto" w:fill="auto"/>
            <w:hideMark/>
          </w:tcPr>
          <w:p w14:paraId="3A9C25E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315.1 ± 153.9</w:t>
            </w:r>
          </w:p>
        </w:tc>
        <w:tc>
          <w:tcPr>
            <w:tcW w:w="2100" w:type="dxa"/>
            <w:tcBorders>
              <w:top w:val="nil"/>
              <w:left w:val="nil"/>
              <w:bottom w:val="single" w:sz="4" w:space="0" w:color="auto"/>
              <w:right w:val="single" w:sz="4" w:space="0" w:color="auto"/>
            </w:tcBorders>
            <w:shd w:val="clear" w:color="auto" w:fill="auto"/>
            <w:hideMark/>
          </w:tcPr>
          <w:p w14:paraId="1366F5F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320.7 ± 191.1</w:t>
            </w:r>
          </w:p>
        </w:tc>
        <w:tc>
          <w:tcPr>
            <w:tcW w:w="2180" w:type="dxa"/>
            <w:tcBorders>
              <w:top w:val="nil"/>
              <w:left w:val="nil"/>
              <w:bottom w:val="single" w:sz="4" w:space="0" w:color="auto"/>
              <w:right w:val="single" w:sz="4" w:space="0" w:color="auto"/>
            </w:tcBorders>
            <w:shd w:val="clear" w:color="auto" w:fill="auto"/>
            <w:hideMark/>
          </w:tcPr>
          <w:p w14:paraId="6FF6156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271.2 ± 154.6</w:t>
            </w:r>
          </w:p>
        </w:tc>
        <w:tc>
          <w:tcPr>
            <w:tcW w:w="1060" w:type="dxa"/>
            <w:tcBorders>
              <w:top w:val="nil"/>
              <w:left w:val="nil"/>
              <w:bottom w:val="single" w:sz="4" w:space="0" w:color="auto"/>
              <w:right w:val="single" w:sz="4" w:space="0" w:color="auto"/>
            </w:tcBorders>
            <w:shd w:val="clear" w:color="auto" w:fill="auto"/>
            <w:hideMark/>
          </w:tcPr>
          <w:p w14:paraId="4E9F53F3"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0.214</w:t>
            </w:r>
          </w:p>
        </w:tc>
      </w:tr>
      <w:tr w:rsidR="00D37825" w:rsidRPr="00B15EC8" w14:paraId="15A98B08"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16D553E6"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1100520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5457CE9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270.96 (64.86, 1000.1)</w:t>
            </w:r>
          </w:p>
        </w:tc>
        <w:tc>
          <w:tcPr>
            <w:tcW w:w="2160" w:type="dxa"/>
            <w:tcBorders>
              <w:top w:val="nil"/>
              <w:left w:val="nil"/>
              <w:bottom w:val="single" w:sz="4" w:space="0" w:color="auto"/>
              <w:right w:val="single" w:sz="4" w:space="0" w:color="auto"/>
            </w:tcBorders>
            <w:shd w:val="clear" w:color="auto" w:fill="auto"/>
            <w:hideMark/>
          </w:tcPr>
          <w:p w14:paraId="479CDD2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303.02 (118, 971.48)</w:t>
            </w:r>
          </w:p>
        </w:tc>
        <w:tc>
          <w:tcPr>
            <w:tcW w:w="2100" w:type="dxa"/>
            <w:tcBorders>
              <w:top w:val="nil"/>
              <w:left w:val="nil"/>
              <w:bottom w:val="single" w:sz="4" w:space="0" w:color="auto"/>
              <w:right w:val="single" w:sz="4" w:space="0" w:color="auto"/>
            </w:tcBorders>
            <w:shd w:val="clear" w:color="auto" w:fill="auto"/>
            <w:hideMark/>
          </w:tcPr>
          <w:p w14:paraId="67DD15C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258.91 (70.56, 828.8)</w:t>
            </w:r>
          </w:p>
        </w:tc>
        <w:tc>
          <w:tcPr>
            <w:tcW w:w="2180" w:type="dxa"/>
            <w:tcBorders>
              <w:top w:val="nil"/>
              <w:left w:val="nil"/>
              <w:bottom w:val="single" w:sz="4" w:space="0" w:color="auto"/>
              <w:right w:val="single" w:sz="4" w:space="0" w:color="auto"/>
            </w:tcBorders>
            <w:shd w:val="clear" w:color="auto" w:fill="auto"/>
            <w:hideMark/>
          </w:tcPr>
          <w:p w14:paraId="27987F3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230.31 (88.6, 804.78)</w:t>
            </w:r>
          </w:p>
        </w:tc>
        <w:tc>
          <w:tcPr>
            <w:tcW w:w="1060" w:type="dxa"/>
            <w:tcBorders>
              <w:top w:val="nil"/>
              <w:left w:val="nil"/>
              <w:bottom w:val="single" w:sz="4" w:space="0" w:color="auto"/>
              <w:right w:val="single" w:sz="4" w:space="0" w:color="auto"/>
            </w:tcBorders>
            <w:shd w:val="clear" w:color="auto" w:fill="auto"/>
            <w:hideMark/>
          </w:tcPr>
          <w:p w14:paraId="2055C66A"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06FA4F69"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24476010"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2</w:t>
            </w:r>
          </w:p>
        </w:tc>
        <w:tc>
          <w:tcPr>
            <w:tcW w:w="1920" w:type="dxa"/>
            <w:tcBorders>
              <w:top w:val="nil"/>
              <w:left w:val="nil"/>
              <w:bottom w:val="single" w:sz="4" w:space="0" w:color="auto"/>
              <w:right w:val="single" w:sz="4" w:space="0" w:color="auto"/>
            </w:tcBorders>
            <w:shd w:val="clear" w:color="auto" w:fill="auto"/>
            <w:hideMark/>
          </w:tcPr>
          <w:p w14:paraId="613D1B74"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0053229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250.8 ± 162.2</w:t>
            </w:r>
          </w:p>
        </w:tc>
        <w:tc>
          <w:tcPr>
            <w:tcW w:w="2160" w:type="dxa"/>
            <w:tcBorders>
              <w:top w:val="nil"/>
              <w:left w:val="nil"/>
              <w:bottom w:val="single" w:sz="4" w:space="0" w:color="auto"/>
              <w:right w:val="single" w:sz="4" w:space="0" w:color="auto"/>
            </w:tcBorders>
            <w:shd w:val="clear" w:color="auto" w:fill="auto"/>
            <w:hideMark/>
          </w:tcPr>
          <w:p w14:paraId="1062881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270.0 ± 135.9</w:t>
            </w:r>
          </w:p>
        </w:tc>
        <w:tc>
          <w:tcPr>
            <w:tcW w:w="2100" w:type="dxa"/>
            <w:tcBorders>
              <w:top w:val="nil"/>
              <w:left w:val="nil"/>
              <w:bottom w:val="single" w:sz="4" w:space="0" w:color="auto"/>
              <w:right w:val="single" w:sz="4" w:space="0" w:color="auto"/>
            </w:tcBorders>
            <w:shd w:val="clear" w:color="auto" w:fill="auto"/>
            <w:hideMark/>
          </w:tcPr>
          <w:p w14:paraId="2F0CC68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256.6 ± 173.8</w:t>
            </w:r>
          </w:p>
        </w:tc>
        <w:tc>
          <w:tcPr>
            <w:tcW w:w="2180" w:type="dxa"/>
            <w:tcBorders>
              <w:top w:val="nil"/>
              <w:left w:val="nil"/>
              <w:bottom w:val="single" w:sz="4" w:space="0" w:color="auto"/>
              <w:right w:val="single" w:sz="4" w:space="0" w:color="auto"/>
            </w:tcBorders>
            <w:shd w:val="clear" w:color="auto" w:fill="auto"/>
            <w:hideMark/>
          </w:tcPr>
          <w:p w14:paraId="182848B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235.3 ± 143.3</w:t>
            </w:r>
          </w:p>
        </w:tc>
        <w:tc>
          <w:tcPr>
            <w:tcW w:w="1060" w:type="dxa"/>
            <w:tcBorders>
              <w:top w:val="nil"/>
              <w:left w:val="nil"/>
              <w:bottom w:val="single" w:sz="4" w:space="0" w:color="auto"/>
              <w:right w:val="single" w:sz="4" w:space="0" w:color="auto"/>
            </w:tcBorders>
            <w:shd w:val="clear" w:color="auto" w:fill="auto"/>
            <w:hideMark/>
          </w:tcPr>
          <w:p w14:paraId="5C7B7312"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0.311</w:t>
            </w:r>
          </w:p>
        </w:tc>
      </w:tr>
      <w:tr w:rsidR="00D37825" w:rsidRPr="00B15EC8" w14:paraId="38507925"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4BC528C4"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65B9B4D4"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205B09C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199.39 (46.06, 1000.1)</w:t>
            </w:r>
          </w:p>
        </w:tc>
        <w:tc>
          <w:tcPr>
            <w:tcW w:w="2160" w:type="dxa"/>
            <w:tcBorders>
              <w:top w:val="nil"/>
              <w:left w:val="nil"/>
              <w:bottom w:val="single" w:sz="4" w:space="0" w:color="auto"/>
              <w:right w:val="single" w:sz="4" w:space="0" w:color="auto"/>
            </w:tcBorders>
            <w:shd w:val="clear" w:color="auto" w:fill="auto"/>
            <w:hideMark/>
          </w:tcPr>
          <w:p w14:paraId="5F91D15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248.12 (110.92, 740.36)</w:t>
            </w:r>
          </w:p>
        </w:tc>
        <w:tc>
          <w:tcPr>
            <w:tcW w:w="2100" w:type="dxa"/>
            <w:tcBorders>
              <w:top w:val="nil"/>
              <w:left w:val="nil"/>
              <w:bottom w:val="single" w:sz="4" w:space="0" w:color="auto"/>
              <w:right w:val="single" w:sz="4" w:space="0" w:color="auto"/>
            </w:tcBorders>
            <w:shd w:val="clear" w:color="auto" w:fill="auto"/>
            <w:hideMark/>
          </w:tcPr>
          <w:p w14:paraId="781887C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218.36 (35.66, 724)</w:t>
            </w:r>
          </w:p>
        </w:tc>
        <w:tc>
          <w:tcPr>
            <w:tcW w:w="2180" w:type="dxa"/>
            <w:tcBorders>
              <w:top w:val="nil"/>
              <w:left w:val="nil"/>
              <w:bottom w:val="single" w:sz="4" w:space="0" w:color="auto"/>
              <w:right w:val="single" w:sz="4" w:space="0" w:color="auto"/>
            </w:tcBorders>
            <w:shd w:val="clear" w:color="auto" w:fill="auto"/>
            <w:hideMark/>
          </w:tcPr>
          <w:p w14:paraId="601D348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189.92 (83.48, 665.22)</w:t>
            </w:r>
          </w:p>
        </w:tc>
        <w:tc>
          <w:tcPr>
            <w:tcW w:w="1060" w:type="dxa"/>
            <w:tcBorders>
              <w:top w:val="nil"/>
              <w:left w:val="nil"/>
              <w:bottom w:val="single" w:sz="4" w:space="0" w:color="auto"/>
              <w:right w:val="single" w:sz="4" w:space="0" w:color="auto"/>
            </w:tcBorders>
            <w:shd w:val="clear" w:color="auto" w:fill="auto"/>
            <w:hideMark/>
          </w:tcPr>
          <w:p w14:paraId="5B752670"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141FF25D"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02444DD9"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3</w:t>
            </w:r>
          </w:p>
        </w:tc>
        <w:tc>
          <w:tcPr>
            <w:tcW w:w="1920" w:type="dxa"/>
            <w:tcBorders>
              <w:top w:val="nil"/>
              <w:left w:val="nil"/>
              <w:bottom w:val="single" w:sz="4" w:space="0" w:color="auto"/>
              <w:right w:val="single" w:sz="4" w:space="0" w:color="auto"/>
            </w:tcBorders>
            <w:shd w:val="clear" w:color="auto" w:fill="auto"/>
            <w:hideMark/>
          </w:tcPr>
          <w:p w14:paraId="116B234D"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5635ED8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243.0 ± 159.8</w:t>
            </w:r>
          </w:p>
        </w:tc>
        <w:tc>
          <w:tcPr>
            <w:tcW w:w="2160" w:type="dxa"/>
            <w:tcBorders>
              <w:top w:val="nil"/>
              <w:left w:val="nil"/>
              <w:bottom w:val="single" w:sz="4" w:space="0" w:color="auto"/>
              <w:right w:val="single" w:sz="4" w:space="0" w:color="auto"/>
            </w:tcBorders>
            <w:shd w:val="clear" w:color="auto" w:fill="auto"/>
            <w:hideMark/>
          </w:tcPr>
          <w:p w14:paraId="6DE7545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259.0 ± 130.7</w:t>
            </w:r>
          </w:p>
        </w:tc>
        <w:tc>
          <w:tcPr>
            <w:tcW w:w="2100" w:type="dxa"/>
            <w:tcBorders>
              <w:top w:val="nil"/>
              <w:left w:val="nil"/>
              <w:bottom w:val="single" w:sz="4" w:space="0" w:color="auto"/>
              <w:right w:val="single" w:sz="4" w:space="0" w:color="auto"/>
            </w:tcBorders>
            <w:shd w:val="clear" w:color="auto" w:fill="auto"/>
            <w:hideMark/>
          </w:tcPr>
          <w:p w14:paraId="5E9BCC8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259.0 ± 159.8</w:t>
            </w:r>
          </w:p>
        </w:tc>
        <w:tc>
          <w:tcPr>
            <w:tcW w:w="2180" w:type="dxa"/>
            <w:tcBorders>
              <w:top w:val="nil"/>
              <w:left w:val="nil"/>
              <w:bottom w:val="single" w:sz="4" w:space="0" w:color="auto"/>
              <w:right w:val="single" w:sz="4" w:space="0" w:color="auto"/>
            </w:tcBorders>
            <w:shd w:val="clear" w:color="auto" w:fill="auto"/>
            <w:hideMark/>
          </w:tcPr>
          <w:p w14:paraId="1A0203A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230.9 ± 145.5</w:t>
            </w:r>
          </w:p>
        </w:tc>
        <w:tc>
          <w:tcPr>
            <w:tcW w:w="1060" w:type="dxa"/>
            <w:tcBorders>
              <w:top w:val="nil"/>
              <w:left w:val="nil"/>
              <w:bottom w:val="single" w:sz="4" w:space="0" w:color="auto"/>
              <w:right w:val="single" w:sz="4" w:space="0" w:color="auto"/>
            </w:tcBorders>
            <w:shd w:val="clear" w:color="auto" w:fill="auto"/>
            <w:hideMark/>
          </w:tcPr>
          <w:p w14:paraId="5A51EDE3"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0.301</w:t>
            </w:r>
          </w:p>
        </w:tc>
      </w:tr>
      <w:tr w:rsidR="00D37825" w:rsidRPr="00B15EC8" w14:paraId="32F9DDD3"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28A1858C"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578D0255"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579F52B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191.82 (44.3, 1000.1)</w:t>
            </w:r>
          </w:p>
        </w:tc>
        <w:tc>
          <w:tcPr>
            <w:tcW w:w="2160" w:type="dxa"/>
            <w:tcBorders>
              <w:top w:val="nil"/>
              <w:left w:val="nil"/>
              <w:bottom w:val="single" w:sz="4" w:space="0" w:color="auto"/>
              <w:right w:val="single" w:sz="4" w:space="0" w:color="auto"/>
            </w:tcBorders>
            <w:shd w:val="clear" w:color="auto" w:fill="auto"/>
            <w:hideMark/>
          </w:tcPr>
          <w:p w14:paraId="1636110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235.49 (86.24, 817.32)</w:t>
            </w:r>
          </w:p>
        </w:tc>
        <w:tc>
          <w:tcPr>
            <w:tcW w:w="2100" w:type="dxa"/>
            <w:tcBorders>
              <w:top w:val="nil"/>
              <w:left w:val="nil"/>
              <w:bottom w:val="single" w:sz="4" w:space="0" w:color="auto"/>
              <w:right w:val="single" w:sz="4" w:space="0" w:color="auto"/>
            </w:tcBorders>
            <w:shd w:val="clear" w:color="auto" w:fill="auto"/>
            <w:hideMark/>
          </w:tcPr>
          <w:p w14:paraId="3337F06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220.78 (42.72, 794.78)</w:t>
            </w:r>
          </w:p>
        </w:tc>
        <w:tc>
          <w:tcPr>
            <w:tcW w:w="2180" w:type="dxa"/>
            <w:tcBorders>
              <w:top w:val="nil"/>
              <w:left w:val="nil"/>
              <w:bottom w:val="single" w:sz="4" w:space="0" w:color="auto"/>
              <w:right w:val="single" w:sz="4" w:space="0" w:color="auto"/>
            </w:tcBorders>
            <w:shd w:val="clear" w:color="auto" w:fill="auto"/>
            <w:hideMark/>
          </w:tcPr>
          <w:p w14:paraId="040E04A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174.82 (61.92, 604.28)</w:t>
            </w:r>
          </w:p>
        </w:tc>
        <w:tc>
          <w:tcPr>
            <w:tcW w:w="1060" w:type="dxa"/>
            <w:tcBorders>
              <w:top w:val="nil"/>
              <w:left w:val="nil"/>
              <w:bottom w:val="single" w:sz="4" w:space="0" w:color="auto"/>
              <w:right w:val="single" w:sz="4" w:space="0" w:color="auto"/>
            </w:tcBorders>
            <w:shd w:val="clear" w:color="auto" w:fill="auto"/>
            <w:hideMark/>
          </w:tcPr>
          <w:p w14:paraId="28D5F3E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2CC3AF5A"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36BFAE63"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4</w:t>
            </w:r>
          </w:p>
        </w:tc>
        <w:tc>
          <w:tcPr>
            <w:tcW w:w="1920" w:type="dxa"/>
            <w:tcBorders>
              <w:top w:val="nil"/>
              <w:left w:val="nil"/>
              <w:bottom w:val="single" w:sz="4" w:space="0" w:color="auto"/>
              <w:right w:val="single" w:sz="4" w:space="0" w:color="auto"/>
            </w:tcBorders>
            <w:shd w:val="clear" w:color="auto" w:fill="auto"/>
            <w:hideMark/>
          </w:tcPr>
          <w:p w14:paraId="7291D16C"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5F1C04A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242.0 ± 171.7</w:t>
            </w:r>
          </w:p>
        </w:tc>
        <w:tc>
          <w:tcPr>
            <w:tcW w:w="2160" w:type="dxa"/>
            <w:tcBorders>
              <w:top w:val="nil"/>
              <w:left w:val="nil"/>
              <w:bottom w:val="single" w:sz="4" w:space="0" w:color="auto"/>
              <w:right w:val="single" w:sz="4" w:space="0" w:color="auto"/>
            </w:tcBorders>
            <w:shd w:val="clear" w:color="auto" w:fill="auto"/>
            <w:hideMark/>
          </w:tcPr>
          <w:p w14:paraId="50EC8F5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250.8 ± 133.8</w:t>
            </w:r>
          </w:p>
        </w:tc>
        <w:tc>
          <w:tcPr>
            <w:tcW w:w="2100" w:type="dxa"/>
            <w:tcBorders>
              <w:top w:val="nil"/>
              <w:left w:val="nil"/>
              <w:bottom w:val="single" w:sz="4" w:space="0" w:color="auto"/>
              <w:right w:val="single" w:sz="4" w:space="0" w:color="auto"/>
            </w:tcBorders>
            <w:shd w:val="clear" w:color="auto" w:fill="auto"/>
            <w:hideMark/>
          </w:tcPr>
          <w:p w14:paraId="1E44717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257.5 ± 158.0</w:t>
            </w:r>
          </w:p>
        </w:tc>
        <w:tc>
          <w:tcPr>
            <w:tcW w:w="2180" w:type="dxa"/>
            <w:tcBorders>
              <w:top w:val="nil"/>
              <w:left w:val="nil"/>
              <w:bottom w:val="single" w:sz="4" w:space="0" w:color="auto"/>
              <w:right w:val="single" w:sz="4" w:space="0" w:color="auto"/>
            </w:tcBorders>
            <w:shd w:val="clear" w:color="auto" w:fill="auto"/>
            <w:hideMark/>
          </w:tcPr>
          <w:p w14:paraId="42C1F98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245.0 ± 178.8</w:t>
            </w:r>
          </w:p>
        </w:tc>
        <w:tc>
          <w:tcPr>
            <w:tcW w:w="1060" w:type="dxa"/>
            <w:tcBorders>
              <w:top w:val="nil"/>
              <w:left w:val="nil"/>
              <w:bottom w:val="single" w:sz="4" w:space="0" w:color="auto"/>
              <w:right w:val="single" w:sz="4" w:space="0" w:color="auto"/>
            </w:tcBorders>
            <w:shd w:val="clear" w:color="auto" w:fill="auto"/>
            <w:hideMark/>
          </w:tcPr>
          <w:p w14:paraId="268DE62A"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0.529</w:t>
            </w:r>
          </w:p>
        </w:tc>
      </w:tr>
      <w:tr w:rsidR="00D37825" w:rsidRPr="00B15EC8" w14:paraId="3CCA7D34"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6A2ADE38"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099BF1F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3E9E98F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202.77 (37.64, 1000.1)</w:t>
            </w:r>
          </w:p>
        </w:tc>
        <w:tc>
          <w:tcPr>
            <w:tcW w:w="2160" w:type="dxa"/>
            <w:tcBorders>
              <w:top w:val="nil"/>
              <w:left w:val="nil"/>
              <w:bottom w:val="single" w:sz="4" w:space="0" w:color="auto"/>
              <w:right w:val="single" w:sz="4" w:space="0" w:color="auto"/>
            </w:tcBorders>
            <w:shd w:val="clear" w:color="auto" w:fill="auto"/>
            <w:hideMark/>
          </w:tcPr>
          <w:p w14:paraId="655E84A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228.45 (101.9, 924.4)</w:t>
            </w:r>
          </w:p>
        </w:tc>
        <w:tc>
          <w:tcPr>
            <w:tcW w:w="2100" w:type="dxa"/>
            <w:tcBorders>
              <w:top w:val="nil"/>
              <w:left w:val="nil"/>
              <w:bottom w:val="single" w:sz="4" w:space="0" w:color="auto"/>
              <w:right w:val="single" w:sz="4" w:space="0" w:color="auto"/>
            </w:tcBorders>
            <w:shd w:val="clear" w:color="auto" w:fill="auto"/>
            <w:hideMark/>
          </w:tcPr>
          <w:p w14:paraId="76140DD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216.06 (40.38, 782.06)</w:t>
            </w:r>
          </w:p>
        </w:tc>
        <w:tc>
          <w:tcPr>
            <w:tcW w:w="2180" w:type="dxa"/>
            <w:tcBorders>
              <w:top w:val="nil"/>
              <w:left w:val="nil"/>
              <w:bottom w:val="single" w:sz="4" w:space="0" w:color="auto"/>
              <w:right w:val="single" w:sz="4" w:space="0" w:color="auto"/>
            </w:tcBorders>
            <w:shd w:val="clear" w:color="auto" w:fill="auto"/>
            <w:hideMark/>
          </w:tcPr>
          <w:p w14:paraId="7A634DF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194.6 (49.78, 921.58)</w:t>
            </w:r>
          </w:p>
        </w:tc>
        <w:tc>
          <w:tcPr>
            <w:tcW w:w="1060" w:type="dxa"/>
            <w:tcBorders>
              <w:top w:val="nil"/>
              <w:left w:val="nil"/>
              <w:bottom w:val="single" w:sz="4" w:space="0" w:color="auto"/>
              <w:right w:val="single" w:sz="4" w:space="0" w:color="auto"/>
            </w:tcBorders>
            <w:shd w:val="clear" w:color="auto" w:fill="auto"/>
            <w:hideMark/>
          </w:tcPr>
          <w:p w14:paraId="4EB2CF60"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188E0220"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3F31F9E0"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5</w:t>
            </w:r>
          </w:p>
        </w:tc>
        <w:tc>
          <w:tcPr>
            <w:tcW w:w="1920" w:type="dxa"/>
            <w:tcBorders>
              <w:top w:val="nil"/>
              <w:left w:val="nil"/>
              <w:bottom w:val="single" w:sz="4" w:space="0" w:color="auto"/>
              <w:right w:val="single" w:sz="4" w:space="0" w:color="auto"/>
            </w:tcBorders>
            <w:shd w:val="clear" w:color="auto" w:fill="auto"/>
            <w:hideMark/>
          </w:tcPr>
          <w:p w14:paraId="7B4BD2E0"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26E5C6A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251.2 ± 162.4</w:t>
            </w:r>
          </w:p>
        </w:tc>
        <w:tc>
          <w:tcPr>
            <w:tcW w:w="2160" w:type="dxa"/>
            <w:tcBorders>
              <w:top w:val="nil"/>
              <w:left w:val="nil"/>
              <w:bottom w:val="single" w:sz="4" w:space="0" w:color="auto"/>
              <w:right w:val="single" w:sz="4" w:space="0" w:color="auto"/>
            </w:tcBorders>
            <w:shd w:val="clear" w:color="auto" w:fill="auto"/>
            <w:hideMark/>
          </w:tcPr>
          <w:p w14:paraId="5803928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280.1 ± 147.4</w:t>
            </w:r>
          </w:p>
        </w:tc>
        <w:tc>
          <w:tcPr>
            <w:tcW w:w="2100" w:type="dxa"/>
            <w:tcBorders>
              <w:top w:val="nil"/>
              <w:left w:val="nil"/>
              <w:bottom w:val="single" w:sz="4" w:space="0" w:color="auto"/>
              <w:right w:val="single" w:sz="4" w:space="0" w:color="auto"/>
            </w:tcBorders>
            <w:shd w:val="clear" w:color="auto" w:fill="auto"/>
            <w:hideMark/>
          </w:tcPr>
          <w:p w14:paraId="1C18D09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282.0 ± 206.3</w:t>
            </w:r>
          </w:p>
        </w:tc>
        <w:tc>
          <w:tcPr>
            <w:tcW w:w="2180" w:type="dxa"/>
            <w:tcBorders>
              <w:top w:val="nil"/>
              <w:left w:val="nil"/>
              <w:bottom w:val="single" w:sz="4" w:space="0" w:color="auto"/>
              <w:right w:val="single" w:sz="4" w:space="0" w:color="auto"/>
            </w:tcBorders>
            <w:shd w:val="clear" w:color="auto" w:fill="auto"/>
            <w:hideMark/>
          </w:tcPr>
          <w:p w14:paraId="7F06BCE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235.1 ± 163.3</w:t>
            </w:r>
          </w:p>
        </w:tc>
        <w:tc>
          <w:tcPr>
            <w:tcW w:w="1060" w:type="dxa"/>
            <w:tcBorders>
              <w:top w:val="nil"/>
              <w:left w:val="nil"/>
              <w:bottom w:val="single" w:sz="4" w:space="0" w:color="auto"/>
              <w:right w:val="single" w:sz="4" w:space="0" w:color="auto"/>
            </w:tcBorders>
            <w:shd w:val="clear" w:color="auto" w:fill="auto"/>
            <w:hideMark/>
          </w:tcPr>
          <w:p w14:paraId="408A6694"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0.068</w:t>
            </w:r>
          </w:p>
        </w:tc>
      </w:tr>
      <w:tr w:rsidR="00D37825" w:rsidRPr="00B15EC8" w14:paraId="4B2D9F57"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1AF44E9C"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29786701"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0B144AE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216.26 (47.04, 1000.1)</w:t>
            </w:r>
          </w:p>
        </w:tc>
        <w:tc>
          <w:tcPr>
            <w:tcW w:w="2160" w:type="dxa"/>
            <w:tcBorders>
              <w:top w:val="nil"/>
              <w:left w:val="nil"/>
              <w:bottom w:val="single" w:sz="4" w:space="0" w:color="auto"/>
              <w:right w:val="single" w:sz="4" w:space="0" w:color="auto"/>
            </w:tcBorders>
            <w:shd w:val="clear" w:color="auto" w:fill="auto"/>
            <w:hideMark/>
          </w:tcPr>
          <w:p w14:paraId="248A934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264.6 (68.2, 966.58)</w:t>
            </w:r>
          </w:p>
        </w:tc>
        <w:tc>
          <w:tcPr>
            <w:tcW w:w="2100" w:type="dxa"/>
            <w:tcBorders>
              <w:top w:val="nil"/>
              <w:left w:val="nil"/>
              <w:bottom w:val="single" w:sz="4" w:space="0" w:color="auto"/>
              <w:right w:val="single" w:sz="4" w:space="0" w:color="auto"/>
            </w:tcBorders>
            <w:shd w:val="clear" w:color="auto" w:fill="auto"/>
            <w:hideMark/>
          </w:tcPr>
          <w:p w14:paraId="7341D5D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208.16 (34.88, 922.28)</w:t>
            </w:r>
          </w:p>
        </w:tc>
        <w:tc>
          <w:tcPr>
            <w:tcW w:w="2180" w:type="dxa"/>
            <w:tcBorders>
              <w:top w:val="nil"/>
              <w:left w:val="nil"/>
              <w:bottom w:val="single" w:sz="4" w:space="0" w:color="auto"/>
              <w:right w:val="single" w:sz="4" w:space="0" w:color="auto"/>
            </w:tcBorders>
            <w:shd w:val="clear" w:color="auto" w:fill="auto"/>
            <w:hideMark/>
          </w:tcPr>
          <w:p w14:paraId="3FB4EC3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188.54 (52.92, 828.7)</w:t>
            </w:r>
          </w:p>
        </w:tc>
        <w:tc>
          <w:tcPr>
            <w:tcW w:w="1060" w:type="dxa"/>
            <w:tcBorders>
              <w:top w:val="nil"/>
              <w:left w:val="nil"/>
              <w:bottom w:val="single" w:sz="4" w:space="0" w:color="auto"/>
              <w:right w:val="single" w:sz="4" w:space="0" w:color="auto"/>
            </w:tcBorders>
            <w:shd w:val="clear" w:color="auto" w:fill="auto"/>
            <w:hideMark/>
          </w:tcPr>
          <w:p w14:paraId="1AD72831"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219A3305" w14:textId="77777777" w:rsidTr="008E7D62">
        <w:trPr>
          <w:trHeight w:val="240"/>
        </w:trPr>
        <w:tc>
          <w:tcPr>
            <w:tcW w:w="130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3046A7A5"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Average presure pain threshold (PPT) of Ipsilateral/Dominant Tibialis Anterior - kPa</w:t>
            </w:r>
          </w:p>
        </w:tc>
      </w:tr>
      <w:tr w:rsidR="00D37825" w:rsidRPr="00B15EC8" w14:paraId="4F9411F2" w14:textId="77777777" w:rsidTr="008E7D62">
        <w:trPr>
          <w:trHeight w:val="314"/>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33A404A2"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1</w:t>
            </w:r>
          </w:p>
        </w:tc>
        <w:tc>
          <w:tcPr>
            <w:tcW w:w="1920" w:type="dxa"/>
            <w:tcBorders>
              <w:top w:val="nil"/>
              <w:left w:val="nil"/>
              <w:bottom w:val="single" w:sz="4" w:space="0" w:color="auto"/>
              <w:right w:val="single" w:sz="4" w:space="0" w:color="auto"/>
            </w:tcBorders>
            <w:shd w:val="clear" w:color="auto" w:fill="auto"/>
            <w:hideMark/>
          </w:tcPr>
          <w:p w14:paraId="36528F1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184785A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467.2 ± 224.2</w:t>
            </w:r>
          </w:p>
        </w:tc>
        <w:tc>
          <w:tcPr>
            <w:tcW w:w="2160" w:type="dxa"/>
            <w:tcBorders>
              <w:top w:val="nil"/>
              <w:left w:val="nil"/>
              <w:bottom w:val="single" w:sz="4" w:space="0" w:color="auto"/>
              <w:right w:val="single" w:sz="4" w:space="0" w:color="auto"/>
            </w:tcBorders>
            <w:shd w:val="clear" w:color="auto" w:fill="auto"/>
            <w:hideMark/>
          </w:tcPr>
          <w:p w14:paraId="0ADFF30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461.7 ± 197.4</w:t>
            </w:r>
          </w:p>
        </w:tc>
        <w:tc>
          <w:tcPr>
            <w:tcW w:w="2100" w:type="dxa"/>
            <w:tcBorders>
              <w:top w:val="nil"/>
              <w:left w:val="nil"/>
              <w:bottom w:val="single" w:sz="4" w:space="0" w:color="auto"/>
              <w:right w:val="single" w:sz="4" w:space="0" w:color="auto"/>
            </w:tcBorders>
            <w:shd w:val="clear" w:color="auto" w:fill="auto"/>
            <w:hideMark/>
          </w:tcPr>
          <w:p w14:paraId="4C7BEBD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454.6 ± 216.4</w:t>
            </w:r>
          </w:p>
        </w:tc>
        <w:tc>
          <w:tcPr>
            <w:tcW w:w="2180" w:type="dxa"/>
            <w:tcBorders>
              <w:top w:val="nil"/>
              <w:left w:val="nil"/>
              <w:bottom w:val="single" w:sz="4" w:space="0" w:color="auto"/>
              <w:right w:val="single" w:sz="4" w:space="0" w:color="auto"/>
            </w:tcBorders>
            <w:shd w:val="clear" w:color="auto" w:fill="auto"/>
            <w:hideMark/>
          </w:tcPr>
          <w:p w14:paraId="4913D18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392.6 ± 202.6</w:t>
            </w:r>
          </w:p>
        </w:tc>
        <w:tc>
          <w:tcPr>
            <w:tcW w:w="1060" w:type="dxa"/>
            <w:tcBorders>
              <w:top w:val="nil"/>
              <w:left w:val="nil"/>
              <w:bottom w:val="single" w:sz="4" w:space="0" w:color="auto"/>
              <w:right w:val="single" w:sz="4" w:space="0" w:color="auto"/>
            </w:tcBorders>
            <w:shd w:val="clear" w:color="auto" w:fill="auto"/>
            <w:hideMark/>
          </w:tcPr>
          <w:p w14:paraId="1859FEE3"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0.101</w:t>
            </w:r>
          </w:p>
        </w:tc>
      </w:tr>
      <w:tr w:rsidR="00D37825" w:rsidRPr="00B15EC8" w14:paraId="390D7D03" w14:textId="77777777" w:rsidTr="008E7D62">
        <w:trPr>
          <w:trHeight w:val="52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7E8155B0"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42C14CE7"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0CB01F7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452.96 (57.575, 1000.1)</w:t>
            </w:r>
          </w:p>
        </w:tc>
        <w:tc>
          <w:tcPr>
            <w:tcW w:w="2160" w:type="dxa"/>
            <w:tcBorders>
              <w:top w:val="nil"/>
              <w:left w:val="nil"/>
              <w:bottom w:val="single" w:sz="4" w:space="0" w:color="auto"/>
              <w:right w:val="single" w:sz="4" w:space="0" w:color="auto"/>
            </w:tcBorders>
            <w:shd w:val="clear" w:color="auto" w:fill="auto"/>
            <w:hideMark/>
          </w:tcPr>
          <w:p w14:paraId="5BB336F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446.875 (177.36, 951.96)</w:t>
            </w:r>
          </w:p>
        </w:tc>
        <w:tc>
          <w:tcPr>
            <w:tcW w:w="2100" w:type="dxa"/>
            <w:tcBorders>
              <w:top w:val="nil"/>
              <w:left w:val="nil"/>
              <w:bottom w:val="single" w:sz="4" w:space="0" w:color="auto"/>
              <w:right w:val="single" w:sz="4" w:space="0" w:color="auto"/>
            </w:tcBorders>
            <w:shd w:val="clear" w:color="auto" w:fill="auto"/>
            <w:hideMark/>
          </w:tcPr>
          <w:p w14:paraId="0550D12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424.43 (130.14, 1000.1)</w:t>
            </w:r>
          </w:p>
        </w:tc>
        <w:tc>
          <w:tcPr>
            <w:tcW w:w="2180" w:type="dxa"/>
            <w:tcBorders>
              <w:top w:val="nil"/>
              <w:left w:val="nil"/>
              <w:bottom w:val="single" w:sz="4" w:space="0" w:color="auto"/>
              <w:right w:val="single" w:sz="4" w:space="0" w:color="auto"/>
            </w:tcBorders>
            <w:shd w:val="clear" w:color="auto" w:fill="auto"/>
            <w:hideMark/>
          </w:tcPr>
          <w:p w14:paraId="08740E0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307.72 (166.22, 1000.1)</w:t>
            </w:r>
          </w:p>
        </w:tc>
        <w:tc>
          <w:tcPr>
            <w:tcW w:w="1060" w:type="dxa"/>
            <w:tcBorders>
              <w:top w:val="nil"/>
              <w:left w:val="nil"/>
              <w:bottom w:val="single" w:sz="4" w:space="0" w:color="auto"/>
              <w:right w:val="single" w:sz="4" w:space="0" w:color="auto"/>
            </w:tcBorders>
            <w:shd w:val="clear" w:color="auto" w:fill="auto"/>
            <w:hideMark/>
          </w:tcPr>
          <w:p w14:paraId="674ABBA4"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181A8AC8"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5581AE49"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2</w:t>
            </w:r>
          </w:p>
        </w:tc>
        <w:tc>
          <w:tcPr>
            <w:tcW w:w="1920" w:type="dxa"/>
            <w:tcBorders>
              <w:top w:val="nil"/>
              <w:left w:val="nil"/>
              <w:bottom w:val="single" w:sz="4" w:space="0" w:color="auto"/>
              <w:right w:val="single" w:sz="4" w:space="0" w:color="auto"/>
            </w:tcBorders>
            <w:shd w:val="clear" w:color="auto" w:fill="auto"/>
            <w:hideMark/>
          </w:tcPr>
          <w:p w14:paraId="6B080A5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2E80E9E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380.6 ± 207.9</w:t>
            </w:r>
          </w:p>
        </w:tc>
        <w:tc>
          <w:tcPr>
            <w:tcW w:w="2160" w:type="dxa"/>
            <w:tcBorders>
              <w:top w:val="nil"/>
              <w:left w:val="nil"/>
              <w:bottom w:val="single" w:sz="4" w:space="0" w:color="auto"/>
              <w:right w:val="single" w:sz="4" w:space="0" w:color="auto"/>
            </w:tcBorders>
            <w:shd w:val="clear" w:color="auto" w:fill="auto"/>
            <w:hideMark/>
          </w:tcPr>
          <w:p w14:paraId="2299C4A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406.0 ± 173.2</w:t>
            </w:r>
          </w:p>
        </w:tc>
        <w:tc>
          <w:tcPr>
            <w:tcW w:w="2100" w:type="dxa"/>
            <w:tcBorders>
              <w:top w:val="nil"/>
              <w:left w:val="nil"/>
              <w:bottom w:val="single" w:sz="4" w:space="0" w:color="auto"/>
              <w:right w:val="single" w:sz="4" w:space="0" w:color="auto"/>
            </w:tcBorders>
            <w:shd w:val="clear" w:color="auto" w:fill="auto"/>
            <w:hideMark/>
          </w:tcPr>
          <w:p w14:paraId="0019A83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404.9 ± 227.6</w:t>
            </w:r>
          </w:p>
        </w:tc>
        <w:tc>
          <w:tcPr>
            <w:tcW w:w="2180" w:type="dxa"/>
            <w:tcBorders>
              <w:top w:val="nil"/>
              <w:left w:val="nil"/>
              <w:bottom w:val="single" w:sz="4" w:space="0" w:color="auto"/>
              <w:right w:val="single" w:sz="4" w:space="0" w:color="auto"/>
            </w:tcBorders>
            <w:shd w:val="clear" w:color="auto" w:fill="auto"/>
            <w:hideMark/>
          </w:tcPr>
          <w:p w14:paraId="7357EBC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352.9 ± 198.8</w:t>
            </w:r>
          </w:p>
        </w:tc>
        <w:tc>
          <w:tcPr>
            <w:tcW w:w="1060" w:type="dxa"/>
            <w:tcBorders>
              <w:top w:val="nil"/>
              <w:left w:val="nil"/>
              <w:bottom w:val="single" w:sz="4" w:space="0" w:color="auto"/>
              <w:right w:val="single" w:sz="4" w:space="0" w:color="auto"/>
            </w:tcBorders>
            <w:shd w:val="clear" w:color="auto" w:fill="auto"/>
            <w:hideMark/>
          </w:tcPr>
          <w:p w14:paraId="0EFCECF1"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0.216</w:t>
            </w:r>
          </w:p>
        </w:tc>
      </w:tr>
      <w:tr w:rsidR="00D37825" w:rsidRPr="00B15EC8" w14:paraId="06B9E831" w14:textId="77777777" w:rsidTr="008E7D62">
        <w:trPr>
          <w:trHeight w:val="52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4D4ADB18"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4BC409A6"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3AB30EA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349.33 (64.28, 1000.1)</w:t>
            </w:r>
          </w:p>
        </w:tc>
        <w:tc>
          <w:tcPr>
            <w:tcW w:w="2160" w:type="dxa"/>
            <w:tcBorders>
              <w:top w:val="nil"/>
              <w:left w:val="nil"/>
              <w:bottom w:val="single" w:sz="4" w:space="0" w:color="auto"/>
              <w:right w:val="single" w:sz="4" w:space="0" w:color="auto"/>
            </w:tcBorders>
            <w:shd w:val="clear" w:color="auto" w:fill="auto"/>
            <w:hideMark/>
          </w:tcPr>
          <w:p w14:paraId="0246055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372 (138.46, 842.32)</w:t>
            </w:r>
          </w:p>
        </w:tc>
        <w:tc>
          <w:tcPr>
            <w:tcW w:w="2100" w:type="dxa"/>
            <w:tcBorders>
              <w:top w:val="nil"/>
              <w:left w:val="nil"/>
              <w:bottom w:val="single" w:sz="4" w:space="0" w:color="auto"/>
              <w:right w:val="single" w:sz="4" w:space="0" w:color="auto"/>
            </w:tcBorders>
            <w:shd w:val="clear" w:color="auto" w:fill="auto"/>
            <w:hideMark/>
          </w:tcPr>
          <w:p w14:paraId="5347D14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321.44 (104.66, 1000.1)</w:t>
            </w:r>
          </w:p>
        </w:tc>
        <w:tc>
          <w:tcPr>
            <w:tcW w:w="2180" w:type="dxa"/>
            <w:tcBorders>
              <w:top w:val="nil"/>
              <w:left w:val="nil"/>
              <w:bottom w:val="single" w:sz="4" w:space="0" w:color="auto"/>
              <w:right w:val="single" w:sz="4" w:space="0" w:color="auto"/>
            </w:tcBorders>
            <w:shd w:val="clear" w:color="auto" w:fill="auto"/>
            <w:hideMark/>
          </w:tcPr>
          <w:p w14:paraId="0534F94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265.77 (122.8, 944.34)</w:t>
            </w:r>
          </w:p>
        </w:tc>
        <w:tc>
          <w:tcPr>
            <w:tcW w:w="1060" w:type="dxa"/>
            <w:tcBorders>
              <w:top w:val="nil"/>
              <w:left w:val="nil"/>
              <w:bottom w:val="single" w:sz="4" w:space="0" w:color="auto"/>
              <w:right w:val="single" w:sz="4" w:space="0" w:color="auto"/>
            </w:tcBorders>
            <w:shd w:val="clear" w:color="auto" w:fill="auto"/>
            <w:hideMark/>
          </w:tcPr>
          <w:p w14:paraId="5C4CBB4A"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5B4D68D1"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250D5F44"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3</w:t>
            </w:r>
          </w:p>
        </w:tc>
        <w:tc>
          <w:tcPr>
            <w:tcW w:w="1920" w:type="dxa"/>
            <w:tcBorders>
              <w:top w:val="nil"/>
              <w:left w:val="nil"/>
              <w:bottom w:val="single" w:sz="4" w:space="0" w:color="auto"/>
              <w:right w:val="single" w:sz="4" w:space="0" w:color="auto"/>
            </w:tcBorders>
            <w:shd w:val="clear" w:color="auto" w:fill="auto"/>
            <w:hideMark/>
          </w:tcPr>
          <w:p w14:paraId="0D0C87C7"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34C1892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380.8 ± 202.7</w:t>
            </w:r>
          </w:p>
        </w:tc>
        <w:tc>
          <w:tcPr>
            <w:tcW w:w="2160" w:type="dxa"/>
            <w:tcBorders>
              <w:top w:val="nil"/>
              <w:left w:val="nil"/>
              <w:bottom w:val="single" w:sz="4" w:space="0" w:color="auto"/>
              <w:right w:val="single" w:sz="4" w:space="0" w:color="auto"/>
            </w:tcBorders>
            <w:shd w:val="clear" w:color="auto" w:fill="auto"/>
            <w:hideMark/>
          </w:tcPr>
          <w:p w14:paraId="7FB6746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398.7 ± 171.2</w:t>
            </w:r>
          </w:p>
        </w:tc>
        <w:tc>
          <w:tcPr>
            <w:tcW w:w="2100" w:type="dxa"/>
            <w:tcBorders>
              <w:top w:val="nil"/>
              <w:left w:val="nil"/>
              <w:bottom w:val="single" w:sz="4" w:space="0" w:color="auto"/>
              <w:right w:val="single" w:sz="4" w:space="0" w:color="auto"/>
            </w:tcBorders>
            <w:shd w:val="clear" w:color="auto" w:fill="auto"/>
            <w:hideMark/>
          </w:tcPr>
          <w:p w14:paraId="159D77B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404.5 ± 222.7</w:t>
            </w:r>
          </w:p>
        </w:tc>
        <w:tc>
          <w:tcPr>
            <w:tcW w:w="2180" w:type="dxa"/>
            <w:tcBorders>
              <w:top w:val="nil"/>
              <w:left w:val="nil"/>
              <w:bottom w:val="single" w:sz="4" w:space="0" w:color="auto"/>
              <w:right w:val="single" w:sz="4" w:space="0" w:color="auto"/>
            </w:tcBorders>
            <w:shd w:val="clear" w:color="auto" w:fill="auto"/>
            <w:hideMark/>
          </w:tcPr>
          <w:p w14:paraId="550602D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347.3 ± 193.6</w:t>
            </w:r>
          </w:p>
        </w:tc>
        <w:tc>
          <w:tcPr>
            <w:tcW w:w="1060" w:type="dxa"/>
            <w:tcBorders>
              <w:top w:val="nil"/>
              <w:left w:val="nil"/>
              <w:bottom w:val="single" w:sz="4" w:space="0" w:color="auto"/>
              <w:right w:val="single" w:sz="4" w:space="0" w:color="auto"/>
            </w:tcBorders>
            <w:shd w:val="clear" w:color="auto" w:fill="auto"/>
            <w:hideMark/>
          </w:tcPr>
          <w:p w14:paraId="62A7D2C3"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0.249</w:t>
            </w:r>
          </w:p>
        </w:tc>
      </w:tr>
      <w:tr w:rsidR="00D37825" w:rsidRPr="00B15EC8" w14:paraId="552C491A"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43BAFBEF"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775FC9C7"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30CCBBD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359.84 (57.82, 1000.1)</w:t>
            </w:r>
          </w:p>
        </w:tc>
        <w:tc>
          <w:tcPr>
            <w:tcW w:w="2160" w:type="dxa"/>
            <w:tcBorders>
              <w:top w:val="nil"/>
              <w:left w:val="nil"/>
              <w:bottom w:val="single" w:sz="4" w:space="0" w:color="auto"/>
              <w:right w:val="single" w:sz="4" w:space="0" w:color="auto"/>
            </w:tcBorders>
            <w:shd w:val="clear" w:color="auto" w:fill="auto"/>
            <w:hideMark/>
          </w:tcPr>
          <w:p w14:paraId="394F448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365.84 (136.44, 900.7)</w:t>
            </w:r>
          </w:p>
        </w:tc>
        <w:tc>
          <w:tcPr>
            <w:tcW w:w="2100" w:type="dxa"/>
            <w:tcBorders>
              <w:top w:val="nil"/>
              <w:left w:val="nil"/>
              <w:bottom w:val="single" w:sz="4" w:space="0" w:color="auto"/>
              <w:right w:val="single" w:sz="4" w:space="0" w:color="auto"/>
            </w:tcBorders>
            <w:shd w:val="clear" w:color="auto" w:fill="auto"/>
            <w:hideMark/>
          </w:tcPr>
          <w:p w14:paraId="3104E0E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343.17 (86.24, 981.18)</w:t>
            </w:r>
          </w:p>
        </w:tc>
        <w:tc>
          <w:tcPr>
            <w:tcW w:w="2180" w:type="dxa"/>
            <w:tcBorders>
              <w:top w:val="nil"/>
              <w:left w:val="nil"/>
              <w:bottom w:val="single" w:sz="4" w:space="0" w:color="auto"/>
              <w:right w:val="single" w:sz="4" w:space="0" w:color="auto"/>
            </w:tcBorders>
            <w:shd w:val="clear" w:color="auto" w:fill="auto"/>
            <w:hideMark/>
          </w:tcPr>
          <w:p w14:paraId="23360E4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295.8 (107.4, 949.4)</w:t>
            </w:r>
          </w:p>
        </w:tc>
        <w:tc>
          <w:tcPr>
            <w:tcW w:w="1060" w:type="dxa"/>
            <w:tcBorders>
              <w:top w:val="nil"/>
              <w:left w:val="nil"/>
              <w:bottom w:val="single" w:sz="4" w:space="0" w:color="auto"/>
              <w:right w:val="single" w:sz="4" w:space="0" w:color="auto"/>
            </w:tcBorders>
            <w:shd w:val="clear" w:color="auto" w:fill="auto"/>
            <w:hideMark/>
          </w:tcPr>
          <w:p w14:paraId="6BCDE738"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202E3D27"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1EFD4ABB"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4</w:t>
            </w:r>
          </w:p>
        </w:tc>
        <w:tc>
          <w:tcPr>
            <w:tcW w:w="1920" w:type="dxa"/>
            <w:tcBorders>
              <w:top w:val="nil"/>
              <w:left w:val="nil"/>
              <w:bottom w:val="single" w:sz="4" w:space="0" w:color="auto"/>
              <w:right w:val="single" w:sz="4" w:space="0" w:color="auto"/>
            </w:tcBorders>
            <w:shd w:val="clear" w:color="auto" w:fill="auto"/>
            <w:hideMark/>
          </w:tcPr>
          <w:p w14:paraId="7628AB11"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1137A1C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375.2 ± 219.6</w:t>
            </w:r>
          </w:p>
        </w:tc>
        <w:tc>
          <w:tcPr>
            <w:tcW w:w="2160" w:type="dxa"/>
            <w:tcBorders>
              <w:top w:val="nil"/>
              <w:left w:val="nil"/>
              <w:bottom w:val="single" w:sz="4" w:space="0" w:color="auto"/>
              <w:right w:val="single" w:sz="4" w:space="0" w:color="auto"/>
            </w:tcBorders>
            <w:shd w:val="clear" w:color="auto" w:fill="auto"/>
            <w:hideMark/>
          </w:tcPr>
          <w:p w14:paraId="1E468A8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400.7 ± 180.0</w:t>
            </w:r>
          </w:p>
        </w:tc>
        <w:tc>
          <w:tcPr>
            <w:tcW w:w="2100" w:type="dxa"/>
            <w:tcBorders>
              <w:top w:val="nil"/>
              <w:left w:val="nil"/>
              <w:bottom w:val="single" w:sz="4" w:space="0" w:color="auto"/>
              <w:right w:val="single" w:sz="4" w:space="0" w:color="auto"/>
            </w:tcBorders>
            <w:shd w:val="clear" w:color="auto" w:fill="auto"/>
            <w:hideMark/>
          </w:tcPr>
          <w:p w14:paraId="133DA6E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399.4 ± 219.4</w:t>
            </w:r>
          </w:p>
        </w:tc>
        <w:tc>
          <w:tcPr>
            <w:tcW w:w="2180" w:type="dxa"/>
            <w:tcBorders>
              <w:top w:val="nil"/>
              <w:left w:val="nil"/>
              <w:bottom w:val="single" w:sz="4" w:space="0" w:color="auto"/>
              <w:right w:val="single" w:sz="4" w:space="0" w:color="auto"/>
            </w:tcBorders>
            <w:shd w:val="clear" w:color="auto" w:fill="auto"/>
            <w:hideMark/>
          </w:tcPr>
          <w:p w14:paraId="3F38AC6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352.7 ± 198.8</w:t>
            </w:r>
          </w:p>
        </w:tc>
        <w:tc>
          <w:tcPr>
            <w:tcW w:w="1060" w:type="dxa"/>
            <w:tcBorders>
              <w:top w:val="nil"/>
              <w:left w:val="nil"/>
              <w:bottom w:val="single" w:sz="4" w:space="0" w:color="auto"/>
              <w:right w:val="single" w:sz="4" w:space="0" w:color="auto"/>
            </w:tcBorders>
            <w:shd w:val="clear" w:color="auto" w:fill="auto"/>
            <w:hideMark/>
          </w:tcPr>
          <w:p w14:paraId="7C3BE0DB"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0.286</w:t>
            </w:r>
          </w:p>
        </w:tc>
      </w:tr>
      <w:tr w:rsidR="00D37825" w:rsidRPr="00B15EC8" w14:paraId="5117B654"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28ECC3EE"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1E25553C"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1943951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288.61 (47.8, 1000.1)</w:t>
            </w:r>
          </w:p>
        </w:tc>
        <w:tc>
          <w:tcPr>
            <w:tcW w:w="2160" w:type="dxa"/>
            <w:tcBorders>
              <w:top w:val="nil"/>
              <w:left w:val="nil"/>
              <w:bottom w:val="single" w:sz="4" w:space="0" w:color="auto"/>
              <w:right w:val="single" w:sz="4" w:space="0" w:color="auto"/>
            </w:tcBorders>
            <w:shd w:val="clear" w:color="auto" w:fill="auto"/>
            <w:hideMark/>
          </w:tcPr>
          <w:p w14:paraId="50BC943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369.54 (144.26, 944.05)</w:t>
            </w:r>
          </w:p>
        </w:tc>
        <w:tc>
          <w:tcPr>
            <w:tcW w:w="2100" w:type="dxa"/>
            <w:tcBorders>
              <w:top w:val="nil"/>
              <w:left w:val="nil"/>
              <w:bottom w:val="single" w:sz="4" w:space="0" w:color="auto"/>
              <w:right w:val="single" w:sz="4" w:space="0" w:color="auto"/>
            </w:tcBorders>
            <w:shd w:val="clear" w:color="auto" w:fill="auto"/>
            <w:hideMark/>
          </w:tcPr>
          <w:p w14:paraId="6D8DCBA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337.9 (93.34, 1000.1)</w:t>
            </w:r>
          </w:p>
        </w:tc>
        <w:tc>
          <w:tcPr>
            <w:tcW w:w="2180" w:type="dxa"/>
            <w:tcBorders>
              <w:top w:val="nil"/>
              <w:left w:val="nil"/>
              <w:bottom w:val="single" w:sz="4" w:space="0" w:color="auto"/>
              <w:right w:val="single" w:sz="4" w:space="0" w:color="auto"/>
            </w:tcBorders>
            <w:shd w:val="clear" w:color="auto" w:fill="auto"/>
            <w:hideMark/>
          </w:tcPr>
          <w:p w14:paraId="73CBAEA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291.15 (128.58, 996.34)</w:t>
            </w:r>
          </w:p>
        </w:tc>
        <w:tc>
          <w:tcPr>
            <w:tcW w:w="1060" w:type="dxa"/>
            <w:tcBorders>
              <w:top w:val="nil"/>
              <w:left w:val="nil"/>
              <w:bottom w:val="single" w:sz="4" w:space="0" w:color="auto"/>
              <w:right w:val="single" w:sz="4" w:space="0" w:color="auto"/>
            </w:tcBorders>
            <w:shd w:val="clear" w:color="auto" w:fill="auto"/>
            <w:hideMark/>
          </w:tcPr>
          <w:p w14:paraId="67F8DBDE"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1697442F"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15BA96D3"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lastRenderedPageBreak/>
              <w:t>Day 5</w:t>
            </w:r>
          </w:p>
        </w:tc>
        <w:tc>
          <w:tcPr>
            <w:tcW w:w="1920" w:type="dxa"/>
            <w:tcBorders>
              <w:top w:val="nil"/>
              <w:left w:val="nil"/>
              <w:bottom w:val="single" w:sz="4" w:space="0" w:color="auto"/>
              <w:right w:val="single" w:sz="4" w:space="0" w:color="auto"/>
            </w:tcBorders>
            <w:shd w:val="clear" w:color="auto" w:fill="auto"/>
            <w:hideMark/>
          </w:tcPr>
          <w:p w14:paraId="3238DC1E"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4A613EF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364.8 ± 210.0</w:t>
            </w:r>
          </w:p>
        </w:tc>
        <w:tc>
          <w:tcPr>
            <w:tcW w:w="2160" w:type="dxa"/>
            <w:tcBorders>
              <w:top w:val="nil"/>
              <w:left w:val="nil"/>
              <w:bottom w:val="single" w:sz="4" w:space="0" w:color="auto"/>
              <w:right w:val="single" w:sz="4" w:space="0" w:color="auto"/>
            </w:tcBorders>
            <w:shd w:val="clear" w:color="auto" w:fill="auto"/>
            <w:hideMark/>
          </w:tcPr>
          <w:p w14:paraId="0FB9824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392.2 ± 182.9</w:t>
            </w:r>
          </w:p>
        </w:tc>
        <w:tc>
          <w:tcPr>
            <w:tcW w:w="2100" w:type="dxa"/>
            <w:tcBorders>
              <w:top w:val="nil"/>
              <w:left w:val="nil"/>
              <w:bottom w:val="single" w:sz="4" w:space="0" w:color="auto"/>
              <w:right w:val="single" w:sz="4" w:space="0" w:color="auto"/>
            </w:tcBorders>
            <w:shd w:val="clear" w:color="auto" w:fill="auto"/>
            <w:hideMark/>
          </w:tcPr>
          <w:p w14:paraId="5AC834B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403.9 ± 229.4</w:t>
            </w:r>
          </w:p>
        </w:tc>
        <w:tc>
          <w:tcPr>
            <w:tcW w:w="2180" w:type="dxa"/>
            <w:tcBorders>
              <w:top w:val="nil"/>
              <w:left w:val="nil"/>
              <w:bottom w:val="single" w:sz="4" w:space="0" w:color="auto"/>
              <w:right w:val="single" w:sz="4" w:space="0" w:color="auto"/>
            </w:tcBorders>
            <w:shd w:val="clear" w:color="auto" w:fill="auto"/>
            <w:hideMark/>
          </w:tcPr>
          <w:p w14:paraId="4D9A1BA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336.1 ± 185.7</w:t>
            </w:r>
          </w:p>
        </w:tc>
        <w:tc>
          <w:tcPr>
            <w:tcW w:w="1060" w:type="dxa"/>
            <w:tcBorders>
              <w:top w:val="nil"/>
              <w:left w:val="nil"/>
              <w:bottom w:val="single" w:sz="4" w:space="0" w:color="auto"/>
              <w:right w:val="single" w:sz="4" w:space="0" w:color="auto"/>
            </w:tcBorders>
            <w:shd w:val="clear" w:color="auto" w:fill="auto"/>
            <w:hideMark/>
          </w:tcPr>
          <w:p w14:paraId="2C24B096"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0.259</w:t>
            </w:r>
          </w:p>
        </w:tc>
      </w:tr>
      <w:tr w:rsidR="00D37825" w:rsidRPr="00B15EC8" w14:paraId="20A7AA4A"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441F82CF"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07EA20D6"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3BFA58D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321.64 (43.5, 1000.1)</w:t>
            </w:r>
          </w:p>
        </w:tc>
        <w:tc>
          <w:tcPr>
            <w:tcW w:w="2160" w:type="dxa"/>
            <w:tcBorders>
              <w:top w:val="nil"/>
              <w:left w:val="nil"/>
              <w:bottom w:val="single" w:sz="4" w:space="0" w:color="auto"/>
              <w:right w:val="single" w:sz="4" w:space="0" w:color="auto"/>
            </w:tcBorders>
            <w:shd w:val="clear" w:color="auto" w:fill="auto"/>
            <w:hideMark/>
          </w:tcPr>
          <w:p w14:paraId="0E2F9C5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356.34 (135.24, 951.42)</w:t>
            </w:r>
          </w:p>
        </w:tc>
        <w:tc>
          <w:tcPr>
            <w:tcW w:w="2100" w:type="dxa"/>
            <w:tcBorders>
              <w:top w:val="nil"/>
              <w:left w:val="nil"/>
              <w:bottom w:val="single" w:sz="4" w:space="0" w:color="auto"/>
              <w:right w:val="single" w:sz="4" w:space="0" w:color="auto"/>
            </w:tcBorders>
            <w:shd w:val="clear" w:color="auto" w:fill="auto"/>
            <w:hideMark/>
          </w:tcPr>
          <w:p w14:paraId="538E1DE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333.58 (94.88, 983.54)</w:t>
            </w:r>
          </w:p>
        </w:tc>
        <w:tc>
          <w:tcPr>
            <w:tcW w:w="2180" w:type="dxa"/>
            <w:tcBorders>
              <w:top w:val="nil"/>
              <w:left w:val="nil"/>
              <w:bottom w:val="single" w:sz="4" w:space="0" w:color="auto"/>
              <w:right w:val="single" w:sz="4" w:space="0" w:color="auto"/>
            </w:tcBorders>
            <w:shd w:val="clear" w:color="auto" w:fill="auto"/>
            <w:hideMark/>
          </w:tcPr>
          <w:p w14:paraId="0E1D443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284.01 (88.2, 800.46)</w:t>
            </w:r>
          </w:p>
        </w:tc>
        <w:tc>
          <w:tcPr>
            <w:tcW w:w="1060" w:type="dxa"/>
            <w:tcBorders>
              <w:top w:val="nil"/>
              <w:left w:val="nil"/>
              <w:bottom w:val="single" w:sz="4" w:space="0" w:color="auto"/>
              <w:right w:val="single" w:sz="4" w:space="0" w:color="auto"/>
            </w:tcBorders>
            <w:shd w:val="clear" w:color="auto" w:fill="auto"/>
            <w:hideMark/>
          </w:tcPr>
          <w:p w14:paraId="13CFA98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3D9C4EB0" w14:textId="77777777" w:rsidTr="008E7D62">
        <w:trPr>
          <w:trHeight w:val="240"/>
        </w:trPr>
        <w:tc>
          <w:tcPr>
            <w:tcW w:w="130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5B3C913A"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Cold pressor pain - rating using 101-point NRS</w:t>
            </w:r>
          </w:p>
        </w:tc>
      </w:tr>
      <w:tr w:rsidR="00D37825" w:rsidRPr="00B15EC8" w14:paraId="68241BA9"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30839001"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1</w:t>
            </w:r>
          </w:p>
        </w:tc>
        <w:tc>
          <w:tcPr>
            <w:tcW w:w="1920" w:type="dxa"/>
            <w:tcBorders>
              <w:top w:val="nil"/>
              <w:left w:val="nil"/>
              <w:bottom w:val="single" w:sz="4" w:space="0" w:color="auto"/>
              <w:right w:val="single" w:sz="4" w:space="0" w:color="auto"/>
            </w:tcBorders>
            <w:shd w:val="clear" w:color="auto" w:fill="auto"/>
            <w:hideMark/>
          </w:tcPr>
          <w:p w14:paraId="42383694"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019298C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47.9 ± 21.2</w:t>
            </w:r>
          </w:p>
        </w:tc>
        <w:tc>
          <w:tcPr>
            <w:tcW w:w="2160" w:type="dxa"/>
            <w:tcBorders>
              <w:top w:val="nil"/>
              <w:left w:val="nil"/>
              <w:bottom w:val="single" w:sz="4" w:space="0" w:color="auto"/>
              <w:right w:val="single" w:sz="4" w:space="0" w:color="auto"/>
            </w:tcBorders>
            <w:shd w:val="clear" w:color="auto" w:fill="auto"/>
            <w:hideMark/>
          </w:tcPr>
          <w:p w14:paraId="6FFC731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60.9 ± 74.3</w:t>
            </w:r>
          </w:p>
        </w:tc>
        <w:tc>
          <w:tcPr>
            <w:tcW w:w="2100" w:type="dxa"/>
            <w:tcBorders>
              <w:top w:val="nil"/>
              <w:left w:val="nil"/>
              <w:bottom w:val="single" w:sz="4" w:space="0" w:color="auto"/>
              <w:right w:val="single" w:sz="4" w:space="0" w:color="auto"/>
            </w:tcBorders>
            <w:shd w:val="clear" w:color="auto" w:fill="auto"/>
            <w:hideMark/>
          </w:tcPr>
          <w:p w14:paraId="42D8474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48.7 ± 19.5</w:t>
            </w:r>
          </w:p>
        </w:tc>
        <w:tc>
          <w:tcPr>
            <w:tcW w:w="2180" w:type="dxa"/>
            <w:tcBorders>
              <w:top w:val="nil"/>
              <w:left w:val="nil"/>
              <w:bottom w:val="single" w:sz="4" w:space="0" w:color="auto"/>
              <w:right w:val="single" w:sz="4" w:space="0" w:color="auto"/>
            </w:tcBorders>
            <w:shd w:val="clear" w:color="auto" w:fill="auto"/>
            <w:hideMark/>
          </w:tcPr>
          <w:p w14:paraId="7E33087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50.5 ± 25.9</w:t>
            </w:r>
          </w:p>
        </w:tc>
        <w:tc>
          <w:tcPr>
            <w:tcW w:w="1060" w:type="dxa"/>
            <w:tcBorders>
              <w:top w:val="nil"/>
              <w:left w:val="nil"/>
              <w:bottom w:val="single" w:sz="4" w:space="0" w:color="auto"/>
              <w:right w:val="single" w:sz="4" w:space="0" w:color="auto"/>
            </w:tcBorders>
            <w:shd w:val="clear" w:color="auto" w:fill="auto"/>
            <w:hideMark/>
          </w:tcPr>
          <w:p w14:paraId="06D9AF3B"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0.795</w:t>
            </w:r>
          </w:p>
        </w:tc>
      </w:tr>
      <w:tr w:rsidR="00D37825" w:rsidRPr="00B15EC8" w14:paraId="281C3E07"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4C460932"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35DBA51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4659731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46.5 (0, 100)</w:t>
            </w:r>
          </w:p>
        </w:tc>
        <w:tc>
          <w:tcPr>
            <w:tcW w:w="2160" w:type="dxa"/>
            <w:tcBorders>
              <w:top w:val="nil"/>
              <w:left w:val="nil"/>
              <w:bottom w:val="single" w:sz="4" w:space="0" w:color="auto"/>
              <w:right w:val="single" w:sz="4" w:space="0" w:color="auto"/>
            </w:tcBorders>
            <w:shd w:val="clear" w:color="auto" w:fill="auto"/>
            <w:hideMark/>
          </w:tcPr>
          <w:p w14:paraId="70A03BD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(0, 570.4)</w:t>
            </w:r>
          </w:p>
        </w:tc>
        <w:tc>
          <w:tcPr>
            <w:tcW w:w="2100" w:type="dxa"/>
            <w:tcBorders>
              <w:top w:val="nil"/>
              <w:left w:val="nil"/>
              <w:bottom w:val="single" w:sz="4" w:space="0" w:color="auto"/>
              <w:right w:val="single" w:sz="4" w:space="0" w:color="auto"/>
            </w:tcBorders>
            <w:shd w:val="clear" w:color="auto" w:fill="auto"/>
            <w:hideMark/>
          </w:tcPr>
          <w:p w14:paraId="4E24EA8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(10, 95)</w:t>
            </w:r>
          </w:p>
        </w:tc>
        <w:tc>
          <w:tcPr>
            <w:tcW w:w="2180" w:type="dxa"/>
            <w:tcBorders>
              <w:top w:val="nil"/>
              <w:left w:val="nil"/>
              <w:bottom w:val="single" w:sz="4" w:space="0" w:color="auto"/>
              <w:right w:val="single" w:sz="4" w:space="0" w:color="auto"/>
            </w:tcBorders>
            <w:shd w:val="clear" w:color="auto" w:fill="auto"/>
            <w:hideMark/>
          </w:tcPr>
          <w:p w14:paraId="7945BF5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(2, 100)</w:t>
            </w:r>
          </w:p>
        </w:tc>
        <w:tc>
          <w:tcPr>
            <w:tcW w:w="1060" w:type="dxa"/>
            <w:tcBorders>
              <w:top w:val="nil"/>
              <w:left w:val="nil"/>
              <w:bottom w:val="single" w:sz="4" w:space="0" w:color="auto"/>
              <w:right w:val="single" w:sz="4" w:space="0" w:color="auto"/>
            </w:tcBorders>
            <w:shd w:val="clear" w:color="auto" w:fill="auto"/>
            <w:hideMark/>
          </w:tcPr>
          <w:p w14:paraId="03CB44D4"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6C051C5B"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5E84512E"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2</w:t>
            </w:r>
          </w:p>
        </w:tc>
        <w:tc>
          <w:tcPr>
            <w:tcW w:w="1920" w:type="dxa"/>
            <w:tcBorders>
              <w:top w:val="nil"/>
              <w:left w:val="nil"/>
              <w:bottom w:val="single" w:sz="4" w:space="0" w:color="auto"/>
              <w:right w:val="single" w:sz="4" w:space="0" w:color="auto"/>
            </w:tcBorders>
            <w:shd w:val="clear" w:color="auto" w:fill="auto"/>
            <w:hideMark/>
          </w:tcPr>
          <w:p w14:paraId="152B4C3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3917D98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56.8 ± 48.1</w:t>
            </w:r>
          </w:p>
        </w:tc>
        <w:tc>
          <w:tcPr>
            <w:tcW w:w="2160" w:type="dxa"/>
            <w:tcBorders>
              <w:top w:val="nil"/>
              <w:left w:val="nil"/>
              <w:bottom w:val="single" w:sz="4" w:space="0" w:color="auto"/>
              <w:right w:val="single" w:sz="4" w:space="0" w:color="auto"/>
            </w:tcBorders>
            <w:shd w:val="clear" w:color="auto" w:fill="auto"/>
            <w:hideMark/>
          </w:tcPr>
          <w:p w14:paraId="63002FE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53.8 ± 24.7</w:t>
            </w:r>
          </w:p>
        </w:tc>
        <w:tc>
          <w:tcPr>
            <w:tcW w:w="2100" w:type="dxa"/>
            <w:tcBorders>
              <w:top w:val="nil"/>
              <w:left w:val="nil"/>
              <w:bottom w:val="single" w:sz="4" w:space="0" w:color="auto"/>
              <w:right w:val="single" w:sz="4" w:space="0" w:color="auto"/>
            </w:tcBorders>
            <w:shd w:val="clear" w:color="auto" w:fill="auto"/>
            <w:hideMark/>
          </w:tcPr>
          <w:p w14:paraId="193AD5C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55.7 ± 47.7</w:t>
            </w:r>
          </w:p>
        </w:tc>
        <w:tc>
          <w:tcPr>
            <w:tcW w:w="2180" w:type="dxa"/>
            <w:tcBorders>
              <w:top w:val="nil"/>
              <w:left w:val="nil"/>
              <w:bottom w:val="single" w:sz="4" w:space="0" w:color="auto"/>
              <w:right w:val="single" w:sz="4" w:space="0" w:color="auto"/>
            </w:tcBorders>
            <w:shd w:val="clear" w:color="auto" w:fill="auto"/>
            <w:hideMark/>
          </w:tcPr>
          <w:p w14:paraId="012764B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52.9 ± 27.4</w:t>
            </w:r>
          </w:p>
        </w:tc>
        <w:tc>
          <w:tcPr>
            <w:tcW w:w="1060" w:type="dxa"/>
            <w:tcBorders>
              <w:top w:val="nil"/>
              <w:left w:val="nil"/>
              <w:bottom w:val="single" w:sz="4" w:space="0" w:color="auto"/>
              <w:right w:val="single" w:sz="4" w:space="0" w:color="auto"/>
            </w:tcBorders>
            <w:shd w:val="clear" w:color="auto" w:fill="auto"/>
            <w:hideMark/>
          </w:tcPr>
          <w:p w14:paraId="5F4EC5BF"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0.937</w:t>
            </w:r>
          </w:p>
        </w:tc>
      </w:tr>
      <w:tr w:rsidR="00D37825" w:rsidRPr="00B15EC8" w14:paraId="1145775E"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1B1DD0E9"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61E44C3D"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0E4DB8F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(5, 364.6)</w:t>
            </w:r>
          </w:p>
        </w:tc>
        <w:tc>
          <w:tcPr>
            <w:tcW w:w="2160" w:type="dxa"/>
            <w:tcBorders>
              <w:top w:val="nil"/>
              <w:left w:val="nil"/>
              <w:bottom w:val="single" w:sz="4" w:space="0" w:color="auto"/>
              <w:right w:val="single" w:sz="4" w:space="0" w:color="auto"/>
            </w:tcBorders>
            <w:shd w:val="clear" w:color="auto" w:fill="auto"/>
            <w:hideMark/>
          </w:tcPr>
          <w:p w14:paraId="56BCEE4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(5, 100)</w:t>
            </w:r>
          </w:p>
        </w:tc>
        <w:tc>
          <w:tcPr>
            <w:tcW w:w="2100" w:type="dxa"/>
            <w:tcBorders>
              <w:top w:val="nil"/>
              <w:left w:val="nil"/>
              <w:bottom w:val="single" w:sz="4" w:space="0" w:color="auto"/>
              <w:right w:val="single" w:sz="4" w:space="0" w:color="auto"/>
            </w:tcBorders>
            <w:shd w:val="clear" w:color="auto" w:fill="auto"/>
            <w:hideMark/>
          </w:tcPr>
          <w:p w14:paraId="290D4BB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48 (10, 374.4)</w:t>
            </w:r>
          </w:p>
        </w:tc>
        <w:tc>
          <w:tcPr>
            <w:tcW w:w="2180" w:type="dxa"/>
            <w:tcBorders>
              <w:top w:val="nil"/>
              <w:left w:val="nil"/>
              <w:bottom w:val="single" w:sz="4" w:space="0" w:color="auto"/>
              <w:right w:val="single" w:sz="4" w:space="0" w:color="auto"/>
            </w:tcBorders>
            <w:shd w:val="clear" w:color="auto" w:fill="auto"/>
            <w:hideMark/>
          </w:tcPr>
          <w:p w14:paraId="7E1EA15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54.5 (2, 100)</w:t>
            </w:r>
          </w:p>
        </w:tc>
        <w:tc>
          <w:tcPr>
            <w:tcW w:w="1060" w:type="dxa"/>
            <w:tcBorders>
              <w:top w:val="nil"/>
              <w:left w:val="nil"/>
              <w:bottom w:val="single" w:sz="4" w:space="0" w:color="auto"/>
              <w:right w:val="single" w:sz="4" w:space="0" w:color="auto"/>
            </w:tcBorders>
            <w:shd w:val="clear" w:color="auto" w:fill="auto"/>
            <w:hideMark/>
          </w:tcPr>
          <w:p w14:paraId="78207C17"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667884B0"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3101121D"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3</w:t>
            </w:r>
          </w:p>
        </w:tc>
        <w:tc>
          <w:tcPr>
            <w:tcW w:w="1920" w:type="dxa"/>
            <w:tcBorders>
              <w:top w:val="nil"/>
              <w:left w:val="nil"/>
              <w:bottom w:val="single" w:sz="4" w:space="0" w:color="auto"/>
              <w:right w:val="single" w:sz="4" w:space="0" w:color="auto"/>
            </w:tcBorders>
            <w:shd w:val="clear" w:color="auto" w:fill="auto"/>
            <w:hideMark/>
          </w:tcPr>
          <w:p w14:paraId="1120A885"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2CEDC2D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58.7 ± 46.2</w:t>
            </w:r>
          </w:p>
        </w:tc>
        <w:tc>
          <w:tcPr>
            <w:tcW w:w="2160" w:type="dxa"/>
            <w:tcBorders>
              <w:top w:val="nil"/>
              <w:left w:val="nil"/>
              <w:bottom w:val="single" w:sz="4" w:space="0" w:color="auto"/>
              <w:right w:val="single" w:sz="4" w:space="0" w:color="auto"/>
            </w:tcBorders>
            <w:shd w:val="clear" w:color="auto" w:fill="auto"/>
            <w:hideMark/>
          </w:tcPr>
          <w:p w14:paraId="3857B73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51.7 ± 22.8</w:t>
            </w:r>
          </w:p>
        </w:tc>
        <w:tc>
          <w:tcPr>
            <w:tcW w:w="2100" w:type="dxa"/>
            <w:tcBorders>
              <w:top w:val="nil"/>
              <w:left w:val="nil"/>
              <w:bottom w:val="single" w:sz="4" w:space="0" w:color="auto"/>
              <w:right w:val="single" w:sz="4" w:space="0" w:color="auto"/>
            </w:tcBorders>
            <w:shd w:val="clear" w:color="auto" w:fill="auto"/>
            <w:hideMark/>
          </w:tcPr>
          <w:p w14:paraId="181CE3B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50.0 ± 21.1</w:t>
            </w:r>
          </w:p>
        </w:tc>
        <w:tc>
          <w:tcPr>
            <w:tcW w:w="2180" w:type="dxa"/>
            <w:tcBorders>
              <w:top w:val="nil"/>
              <w:left w:val="nil"/>
              <w:bottom w:val="single" w:sz="4" w:space="0" w:color="auto"/>
              <w:right w:val="single" w:sz="4" w:space="0" w:color="auto"/>
            </w:tcBorders>
            <w:shd w:val="clear" w:color="auto" w:fill="auto"/>
            <w:hideMark/>
          </w:tcPr>
          <w:p w14:paraId="2759C84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62.9 ± 52.4</w:t>
            </w:r>
          </w:p>
        </w:tc>
        <w:tc>
          <w:tcPr>
            <w:tcW w:w="1060" w:type="dxa"/>
            <w:tcBorders>
              <w:top w:val="nil"/>
              <w:left w:val="nil"/>
              <w:bottom w:val="single" w:sz="4" w:space="0" w:color="auto"/>
              <w:right w:val="single" w:sz="4" w:space="0" w:color="auto"/>
            </w:tcBorders>
            <w:shd w:val="clear" w:color="auto" w:fill="auto"/>
            <w:hideMark/>
          </w:tcPr>
          <w:p w14:paraId="3A6597AC"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0.650</w:t>
            </w:r>
          </w:p>
        </w:tc>
      </w:tr>
      <w:tr w:rsidR="00D37825" w:rsidRPr="00B15EC8" w14:paraId="5A15905A"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388740A9"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37C85C60"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1C8CA59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56.5 (0, 348.9)</w:t>
            </w:r>
          </w:p>
        </w:tc>
        <w:tc>
          <w:tcPr>
            <w:tcW w:w="2160" w:type="dxa"/>
            <w:tcBorders>
              <w:top w:val="nil"/>
              <w:left w:val="nil"/>
              <w:bottom w:val="single" w:sz="4" w:space="0" w:color="auto"/>
              <w:right w:val="single" w:sz="4" w:space="0" w:color="auto"/>
            </w:tcBorders>
            <w:shd w:val="clear" w:color="auto" w:fill="auto"/>
            <w:hideMark/>
          </w:tcPr>
          <w:p w14:paraId="5AB88B9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(10, 90)</w:t>
            </w:r>
          </w:p>
        </w:tc>
        <w:tc>
          <w:tcPr>
            <w:tcW w:w="2100" w:type="dxa"/>
            <w:tcBorders>
              <w:top w:val="nil"/>
              <w:left w:val="nil"/>
              <w:bottom w:val="single" w:sz="4" w:space="0" w:color="auto"/>
              <w:right w:val="single" w:sz="4" w:space="0" w:color="auto"/>
            </w:tcBorders>
            <w:shd w:val="clear" w:color="auto" w:fill="auto"/>
            <w:hideMark/>
          </w:tcPr>
          <w:p w14:paraId="74CFC02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(5, 90)</w:t>
            </w:r>
          </w:p>
        </w:tc>
        <w:tc>
          <w:tcPr>
            <w:tcW w:w="2180" w:type="dxa"/>
            <w:tcBorders>
              <w:top w:val="nil"/>
              <w:left w:val="nil"/>
              <w:bottom w:val="single" w:sz="4" w:space="0" w:color="auto"/>
              <w:right w:val="single" w:sz="4" w:space="0" w:color="auto"/>
            </w:tcBorders>
            <w:shd w:val="clear" w:color="auto" w:fill="auto"/>
            <w:hideMark/>
          </w:tcPr>
          <w:p w14:paraId="610B56A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60 (0, 332.2)</w:t>
            </w:r>
          </w:p>
        </w:tc>
        <w:tc>
          <w:tcPr>
            <w:tcW w:w="1060" w:type="dxa"/>
            <w:tcBorders>
              <w:top w:val="nil"/>
              <w:left w:val="nil"/>
              <w:bottom w:val="single" w:sz="4" w:space="0" w:color="auto"/>
              <w:right w:val="single" w:sz="4" w:space="0" w:color="auto"/>
            </w:tcBorders>
            <w:shd w:val="clear" w:color="auto" w:fill="auto"/>
            <w:hideMark/>
          </w:tcPr>
          <w:p w14:paraId="0B08579B"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4927E3C9"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084FABA2"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4</w:t>
            </w:r>
          </w:p>
        </w:tc>
        <w:tc>
          <w:tcPr>
            <w:tcW w:w="1920" w:type="dxa"/>
            <w:tcBorders>
              <w:top w:val="nil"/>
              <w:left w:val="nil"/>
              <w:bottom w:val="single" w:sz="4" w:space="0" w:color="auto"/>
              <w:right w:val="single" w:sz="4" w:space="0" w:color="auto"/>
            </w:tcBorders>
            <w:shd w:val="clear" w:color="auto" w:fill="auto"/>
            <w:hideMark/>
          </w:tcPr>
          <w:p w14:paraId="73781EA5"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623C940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59.3 ± 67.8</w:t>
            </w:r>
          </w:p>
        </w:tc>
        <w:tc>
          <w:tcPr>
            <w:tcW w:w="2160" w:type="dxa"/>
            <w:tcBorders>
              <w:top w:val="nil"/>
              <w:left w:val="nil"/>
              <w:bottom w:val="single" w:sz="4" w:space="0" w:color="auto"/>
              <w:right w:val="single" w:sz="4" w:space="0" w:color="auto"/>
            </w:tcBorders>
            <w:shd w:val="clear" w:color="auto" w:fill="auto"/>
            <w:hideMark/>
          </w:tcPr>
          <w:p w14:paraId="4906D22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51.9 ± 22.6</w:t>
            </w:r>
          </w:p>
        </w:tc>
        <w:tc>
          <w:tcPr>
            <w:tcW w:w="2100" w:type="dxa"/>
            <w:tcBorders>
              <w:top w:val="nil"/>
              <w:left w:val="nil"/>
              <w:bottom w:val="single" w:sz="4" w:space="0" w:color="auto"/>
              <w:right w:val="single" w:sz="4" w:space="0" w:color="auto"/>
            </w:tcBorders>
            <w:shd w:val="clear" w:color="auto" w:fill="auto"/>
            <w:hideMark/>
          </w:tcPr>
          <w:p w14:paraId="25B8788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49.1 ± 20.1</w:t>
            </w:r>
          </w:p>
        </w:tc>
        <w:tc>
          <w:tcPr>
            <w:tcW w:w="2180" w:type="dxa"/>
            <w:tcBorders>
              <w:top w:val="nil"/>
              <w:left w:val="nil"/>
              <w:bottom w:val="single" w:sz="4" w:space="0" w:color="auto"/>
              <w:right w:val="single" w:sz="4" w:space="0" w:color="auto"/>
            </w:tcBorders>
            <w:shd w:val="clear" w:color="auto" w:fill="auto"/>
            <w:hideMark/>
          </w:tcPr>
          <w:p w14:paraId="30F3ED5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63.8 ± 63.0</w:t>
            </w:r>
          </w:p>
        </w:tc>
        <w:tc>
          <w:tcPr>
            <w:tcW w:w="1060" w:type="dxa"/>
            <w:tcBorders>
              <w:top w:val="nil"/>
              <w:left w:val="nil"/>
              <w:bottom w:val="single" w:sz="4" w:space="0" w:color="auto"/>
              <w:right w:val="single" w:sz="4" w:space="0" w:color="auto"/>
            </w:tcBorders>
            <w:shd w:val="clear" w:color="auto" w:fill="auto"/>
            <w:hideMark/>
          </w:tcPr>
          <w:p w14:paraId="18E5F655"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0.620</w:t>
            </w:r>
          </w:p>
        </w:tc>
      </w:tr>
      <w:tr w:rsidR="00D37825" w:rsidRPr="00B15EC8" w14:paraId="009C0DD7"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1A5A65BF"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18FE0E0E"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656DF55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(0, 521.4)</w:t>
            </w:r>
          </w:p>
        </w:tc>
        <w:tc>
          <w:tcPr>
            <w:tcW w:w="2160" w:type="dxa"/>
            <w:tcBorders>
              <w:top w:val="nil"/>
              <w:left w:val="nil"/>
              <w:bottom w:val="single" w:sz="4" w:space="0" w:color="auto"/>
              <w:right w:val="single" w:sz="4" w:space="0" w:color="auto"/>
            </w:tcBorders>
            <w:shd w:val="clear" w:color="auto" w:fill="auto"/>
            <w:hideMark/>
          </w:tcPr>
          <w:p w14:paraId="466AFF8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(5, 95)</w:t>
            </w:r>
          </w:p>
        </w:tc>
        <w:tc>
          <w:tcPr>
            <w:tcW w:w="2100" w:type="dxa"/>
            <w:tcBorders>
              <w:top w:val="nil"/>
              <w:left w:val="nil"/>
              <w:bottom w:val="single" w:sz="4" w:space="0" w:color="auto"/>
              <w:right w:val="single" w:sz="4" w:space="0" w:color="auto"/>
            </w:tcBorders>
            <w:shd w:val="clear" w:color="auto" w:fill="auto"/>
            <w:hideMark/>
          </w:tcPr>
          <w:p w14:paraId="11D9927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47.5 (5, 90)</w:t>
            </w:r>
          </w:p>
        </w:tc>
        <w:tc>
          <w:tcPr>
            <w:tcW w:w="2180" w:type="dxa"/>
            <w:tcBorders>
              <w:top w:val="nil"/>
              <w:left w:val="nil"/>
              <w:bottom w:val="single" w:sz="4" w:space="0" w:color="auto"/>
              <w:right w:val="single" w:sz="4" w:space="0" w:color="auto"/>
            </w:tcBorders>
            <w:shd w:val="clear" w:color="auto" w:fill="auto"/>
            <w:hideMark/>
          </w:tcPr>
          <w:p w14:paraId="62D5CB4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61 (1, 414.2)</w:t>
            </w:r>
          </w:p>
        </w:tc>
        <w:tc>
          <w:tcPr>
            <w:tcW w:w="1060" w:type="dxa"/>
            <w:tcBorders>
              <w:top w:val="nil"/>
              <w:left w:val="nil"/>
              <w:bottom w:val="single" w:sz="4" w:space="0" w:color="auto"/>
              <w:right w:val="single" w:sz="4" w:space="0" w:color="auto"/>
            </w:tcBorders>
            <w:shd w:val="clear" w:color="auto" w:fill="auto"/>
            <w:hideMark/>
          </w:tcPr>
          <w:p w14:paraId="3EE55FE1"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4979C862"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7DCB8F13"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5</w:t>
            </w:r>
          </w:p>
        </w:tc>
        <w:tc>
          <w:tcPr>
            <w:tcW w:w="1920" w:type="dxa"/>
            <w:tcBorders>
              <w:top w:val="nil"/>
              <w:left w:val="nil"/>
              <w:bottom w:val="single" w:sz="4" w:space="0" w:color="auto"/>
              <w:right w:val="single" w:sz="4" w:space="0" w:color="auto"/>
            </w:tcBorders>
            <w:shd w:val="clear" w:color="auto" w:fill="auto"/>
            <w:hideMark/>
          </w:tcPr>
          <w:p w14:paraId="053CBEEC"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06751BB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51.1 ± 23.4</w:t>
            </w:r>
          </w:p>
        </w:tc>
        <w:tc>
          <w:tcPr>
            <w:tcW w:w="2160" w:type="dxa"/>
            <w:tcBorders>
              <w:top w:val="nil"/>
              <w:left w:val="nil"/>
              <w:bottom w:val="single" w:sz="4" w:space="0" w:color="auto"/>
              <w:right w:val="single" w:sz="4" w:space="0" w:color="auto"/>
            </w:tcBorders>
            <w:shd w:val="clear" w:color="auto" w:fill="auto"/>
            <w:hideMark/>
          </w:tcPr>
          <w:p w14:paraId="55B4BC8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52.8 ± 23.9</w:t>
            </w:r>
          </w:p>
        </w:tc>
        <w:tc>
          <w:tcPr>
            <w:tcW w:w="2100" w:type="dxa"/>
            <w:tcBorders>
              <w:top w:val="nil"/>
              <w:left w:val="nil"/>
              <w:bottom w:val="single" w:sz="4" w:space="0" w:color="auto"/>
              <w:right w:val="single" w:sz="4" w:space="0" w:color="auto"/>
            </w:tcBorders>
            <w:shd w:val="clear" w:color="auto" w:fill="auto"/>
            <w:hideMark/>
          </w:tcPr>
          <w:p w14:paraId="11B175B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49.9 ± 24.7</w:t>
            </w:r>
          </w:p>
        </w:tc>
        <w:tc>
          <w:tcPr>
            <w:tcW w:w="2180" w:type="dxa"/>
            <w:tcBorders>
              <w:top w:val="nil"/>
              <w:left w:val="nil"/>
              <w:bottom w:val="single" w:sz="4" w:space="0" w:color="auto"/>
              <w:right w:val="single" w:sz="4" w:space="0" w:color="auto"/>
            </w:tcBorders>
            <w:shd w:val="clear" w:color="auto" w:fill="auto"/>
            <w:hideMark/>
          </w:tcPr>
          <w:p w14:paraId="5FFDABD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62.9 ± 91.1</w:t>
            </w:r>
          </w:p>
        </w:tc>
        <w:tc>
          <w:tcPr>
            <w:tcW w:w="1060" w:type="dxa"/>
            <w:tcBorders>
              <w:top w:val="nil"/>
              <w:left w:val="nil"/>
              <w:bottom w:val="single" w:sz="4" w:space="0" w:color="auto"/>
              <w:right w:val="single" w:sz="4" w:space="0" w:color="auto"/>
            </w:tcBorders>
            <w:shd w:val="clear" w:color="auto" w:fill="auto"/>
            <w:hideMark/>
          </w:tcPr>
          <w:p w14:paraId="21B575ED"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0.865</w:t>
            </w:r>
          </w:p>
        </w:tc>
      </w:tr>
      <w:tr w:rsidR="00D37825" w:rsidRPr="00B15EC8" w14:paraId="64004837"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600935C9"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5C614638"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1ACFC94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(0, 100)</w:t>
            </w:r>
          </w:p>
        </w:tc>
        <w:tc>
          <w:tcPr>
            <w:tcW w:w="2160" w:type="dxa"/>
            <w:tcBorders>
              <w:top w:val="nil"/>
              <w:left w:val="nil"/>
              <w:bottom w:val="single" w:sz="4" w:space="0" w:color="auto"/>
              <w:right w:val="single" w:sz="4" w:space="0" w:color="auto"/>
            </w:tcBorders>
            <w:shd w:val="clear" w:color="auto" w:fill="auto"/>
            <w:hideMark/>
          </w:tcPr>
          <w:p w14:paraId="3068A69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56 (5, 95)</w:t>
            </w:r>
          </w:p>
        </w:tc>
        <w:tc>
          <w:tcPr>
            <w:tcW w:w="2100" w:type="dxa"/>
            <w:tcBorders>
              <w:top w:val="nil"/>
              <w:left w:val="nil"/>
              <w:bottom w:val="single" w:sz="4" w:space="0" w:color="auto"/>
              <w:right w:val="single" w:sz="4" w:space="0" w:color="auto"/>
            </w:tcBorders>
            <w:shd w:val="clear" w:color="auto" w:fill="auto"/>
            <w:hideMark/>
          </w:tcPr>
          <w:p w14:paraId="39CAEE5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45 (5, 138)</w:t>
            </w:r>
          </w:p>
        </w:tc>
        <w:tc>
          <w:tcPr>
            <w:tcW w:w="2180" w:type="dxa"/>
            <w:tcBorders>
              <w:top w:val="nil"/>
              <w:left w:val="nil"/>
              <w:bottom w:val="single" w:sz="4" w:space="0" w:color="auto"/>
              <w:right w:val="single" w:sz="4" w:space="0" w:color="auto"/>
            </w:tcBorders>
            <w:shd w:val="clear" w:color="auto" w:fill="auto"/>
            <w:hideMark/>
          </w:tcPr>
          <w:p w14:paraId="3926DF3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50 (2, 693.8)</w:t>
            </w:r>
          </w:p>
        </w:tc>
        <w:tc>
          <w:tcPr>
            <w:tcW w:w="1060" w:type="dxa"/>
            <w:tcBorders>
              <w:top w:val="nil"/>
              <w:left w:val="nil"/>
              <w:bottom w:val="single" w:sz="4" w:space="0" w:color="auto"/>
              <w:right w:val="single" w:sz="4" w:space="0" w:color="auto"/>
            </w:tcBorders>
            <w:shd w:val="clear" w:color="auto" w:fill="auto"/>
            <w:hideMark/>
          </w:tcPr>
          <w:p w14:paraId="234D353E"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055DE46E" w14:textId="77777777" w:rsidTr="008E7D62">
        <w:trPr>
          <w:trHeight w:val="240"/>
        </w:trPr>
        <w:tc>
          <w:tcPr>
            <w:tcW w:w="130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79DF44C3"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Rating thermal ipsilateral/dominant forearm midline (49°C) using 101-point NRS</w:t>
            </w:r>
          </w:p>
        </w:tc>
      </w:tr>
      <w:tr w:rsidR="00D37825" w:rsidRPr="00B15EC8" w14:paraId="628FF91C"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7E10FF89"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1</w:t>
            </w:r>
          </w:p>
        </w:tc>
        <w:tc>
          <w:tcPr>
            <w:tcW w:w="1920" w:type="dxa"/>
            <w:tcBorders>
              <w:top w:val="nil"/>
              <w:left w:val="nil"/>
              <w:bottom w:val="single" w:sz="4" w:space="0" w:color="auto"/>
              <w:right w:val="single" w:sz="4" w:space="0" w:color="auto"/>
            </w:tcBorders>
            <w:shd w:val="clear" w:color="auto" w:fill="auto"/>
            <w:hideMark/>
          </w:tcPr>
          <w:p w14:paraId="6D283815"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3AFC6D7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17.6 ± 13.3</w:t>
            </w:r>
          </w:p>
        </w:tc>
        <w:tc>
          <w:tcPr>
            <w:tcW w:w="2160" w:type="dxa"/>
            <w:tcBorders>
              <w:top w:val="nil"/>
              <w:left w:val="nil"/>
              <w:bottom w:val="single" w:sz="4" w:space="0" w:color="auto"/>
              <w:right w:val="single" w:sz="4" w:space="0" w:color="auto"/>
            </w:tcBorders>
            <w:shd w:val="clear" w:color="auto" w:fill="auto"/>
            <w:hideMark/>
          </w:tcPr>
          <w:p w14:paraId="0101825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19.6 ± 16.0</w:t>
            </w:r>
          </w:p>
        </w:tc>
        <w:tc>
          <w:tcPr>
            <w:tcW w:w="2100" w:type="dxa"/>
            <w:tcBorders>
              <w:top w:val="nil"/>
              <w:left w:val="nil"/>
              <w:bottom w:val="single" w:sz="4" w:space="0" w:color="auto"/>
              <w:right w:val="single" w:sz="4" w:space="0" w:color="auto"/>
            </w:tcBorders>
            <w:shd w:val="clear" w:color="auto" w:fill="auto"/>
            <w:hideMark/>
          </w:tcPr>
          <w:p w14:paraId="31F14DD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19.7 ± 15.5</w:t>
            </w:r>
          </w:p>
        </w:tc>
        <w:tc>
          <w:tcPr>
            <w:tcW w:w="2180" w:type="dxa"/>
            <w:tcBorders>
              <w:top w:val="nil"/>
              <w:left w:val="nil"/>
              <w:bottom w:val="single" w:sz="4" w:space="0" w:color="auto"/>
              <w:right w:val="single" w:sz="4" w:space="0" w:color="auto"/>
            </w:tcBorders>
            <w:shd w:val="clear" w:color="auto" w:fill="auto"/>
            <w:hideMark/>
          </w:tcPr>
          <w:p w14:paraId="1143367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20.4 ± 20.1</w:t>
            </w:r>
          </w:p>
        </w:tc>
        <w:tc>
          <w:tcPr>
            <w:tcW w:w="1060" w:type="dxa"/>
            <w:tcBorders>
              <w:top w:val="nil"/>
              <w:left w:val="nil"/>
              <w:bottom w:val="single" w:sz="4" w:space="0" w:color="auto"/>
              <w:right w:val="single" w:sz="4" w:space="0" w:color="auto"/>
            </w:tcBorders>
            <w:shd w:val="clear" w:color="auto" w:fill="auto"/>
            <w:hideMark/>
          </w:tcPr>
          <w:p w14:paraId="5A8CB1DB"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0.875</w:t>
            </w:r>
          </w:p>
        </w:tc>
      </w:tr>
      <w:tr w:rsidR="00D37825" w:rsidRPr="00B15EC8" w14:paraId="669C6A1D"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48548189"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6CFA40DB"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5796F47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15 (0, 60)</w:t>
            </w:r>
          </w:p>
        </w:tc>
        <w:tc>
          <w:tcPr>
            <w:tcW w:w="2160" w:type="dxa"/>
            <w:tcBorders>
              <w:top w:val="nil"/>
              <w:left w:val="nil"/>
              <w:bottom w:val="single" w:sz="4" w:space="0" w:color="auto"/>
              <w:right w:val="single" w:sz="4" w:space="0" w:color="auto"/>
            </w:tcBorders>
            <w:shd w:val="clear" w:color="auto" w:fill="auto"/>
            <w:hideMark/>
          </w:tcPr>
          <w:p w14:paraId="552D4A1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15 (0, 60)</w:t>
            </w:r>
          </w:p>
        </w:tc>
        <w:tc>
          <w:tcPr>
            <w:tcW w:w="2100" w:type="dxa"/>
            <w:tcBorders>
              <w:top w:val="nil"/>
              <w:left w:val="nil"/>
              <w:bottom w:val="single" w:sz="4" w:space="0" w:color="auto"/>
              <w:right w:val="single" w:sz="4" w:space="0" w:color="auto"/>
            </w:tcBorders>
            <w:shd w:val="clear" w:color="auto" w:fill="auto"/>
            <w:hideMark/>
          </w:tcPr>
          <w:p w14:paraId="457FBAB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15 (0, 70)</w:t>
            </w:r>
          </w:p>
        </w:tc>
        <w:tc>
          <w:tcPr>
            <w:tcW w:w="2180" w:type="dxa"/>
            <w:tcBorders>
              <w:top w:val="nil"/>
              <w:left w:val="nil"/>
              <w:bottom w:val="single" w:sz="4" w:space="0" w:color="auto"/>
              <w:right w:val="single" w:sz="4" w:space="0" w:color="auto"/>
            </w:tcBorders>
            <w:shd w:val="clear" w:color="auto" w:fill="auto"/>
            <w:hideMark/>
          </w:tcPr>
          <w:p w14:paraId="502B6D2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13 (0, 80)</w:t>
            </w:r>
          </w:p>
        </w:tc>
        <w:tc>
          <w:tcPr>
            <w:tcW w:w="1060" w:type="dxa"/>
            <w:tcBorders>
              <w:top w:val="nil"/>
              <w:left w:val="nil"/>
              <w:bottom w:val="single" w:sz="4" w:space="0" w:color="auto"/>
              <w:right w:val="single" w:sz="4" w:space="0" w:color="auto"/>
            </w:tcBorders>
            <w:shd w:val="clear" w:color="auto" w:fill="auto"/>
            <w:hideMark/>
          </w:tcPr>
          <w:p w14:paraId="2D06529F"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149458AB"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199FB7E6"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2</w:t>
            </w:r>
          </w:p>
        </w:tc>
        <w:tc>
          <w:tcPr>
            <w:tcW w:w="1920" w:type="dxa"/>
            <w:tcBorders>
              <w:top w:val="nil"/>
              <w:left w:val="nil"/>
              <w:bottom w:val="single" w:sz="4" w:space="0" w:color="auto"/>
              <w:right w:val="single" w:sz="4" w:space="0" w:color="auto"/>
            </w:tcBorders>
            <w:shd w:val="clear" w:color="auto" w:fill="auto"/>
            <w:hideMark/>
          </w:tcPr>
          <w:p w14:paraId="1F5EB27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0EF17D1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15.7 ± 12.8</w:t>
            </w:r>
          </w:p>
        </w:tc>
        <w:tc>
          <w:tcPr>
            <w:tcW w:w="2160" w:type="dxa"/>
            <w:tcBorders>
              <w:top w:val="nil"/>
              <w:left w:val="nil"/>
              <w:bottom w:val="single" w:sz="4" w:space="0" w:color="auto"/>
              <w:right w:val="single" w:sz="4" w:space="0" w:color="auto"/>
            </w:tcBorders>
            <w:shd w:val="clear" w:color="auto" w:fill="auto"/>
            <w:hideMark/>
          </w:tcPr>
          <w:p w14:paraId="61597B0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17.7 ± 13.3</w:t>
            </w:r>
          </w:p>
        </w:tc>
        <w:tc>
          <w:tcPr>
            <w:tcW w:w="2100" w:type="dxa"/>
            <w:tcBorders>
              <w:top w:val="nil"/>
              <w:left w:val="nil"/>
              <w:bottom w:val="single" w:sz="4" w:space="0" w:color="auto"/>
              <w:right w:val="single" w:sz="4" w:space="0" w:color="auto"/>
            </w:tcBorders>
            <w:shd w:val="clear" w:color="auto" w:fill="auto"/>
            <w:hideMark/>
          </w:tcPr>
          <w:p w14:paraId="40D0BB6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15.7 ± 13.8</w:t>
            </w:r>
          </w:p>
        </w:tc>
        <w:tc>
          <w:tcPr>
            <w:tcW w:w="2180" w:type="dxa"/>
            <w:tcBorders>
              <w:top w:val="nil"/>
              <w:left w:val="nil"/>
              <w:bottom w:val="single" w:sz="4" w:space="0" w:color="auto"/>
              <w:right w:val="single" w:sz="4" w:space="0" w:color="auto"/>
            </w:tcBorders>
            <w:shd w:val="clear" w:color="auto" w:fill="auto"/>
            <w:hideMark/>
          </w:tcPr>
          <w:p w14:paraId="22B2BA7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17.3 ± 16.6</w:t>
            </w:r>
          </w:p>
        </w:tc>
        <w:tc>
          <w:tcPr>
            <w:tcW w:w="1060" w:type="dxa"/>
            <w:tcBorders>
              <w:top w:val="nil"/>
              <w:left w:val="nil"/>
              <w:bottom w:val="single" w:sz="4" w:space="0" w:color="auto"/>
              <w:right w:val="single" w:sz="4" w:space="0" w:color="auto"/>
            </w:tcBorders>
            <w:shd w:val="clear" w:color="auto" w:fill="auto"/>
            <w:hideMark/>
          </w:tcPr>
          <w:p w14:paraId="3DA8ECE1"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0.697</w:t>
            </w:r>
          </w:p>
        </w:tc>
      </w:tr>
      <w:tr w:rsidR="00D37825" w:rsidRPr="00B15EC8" w14:paraId="6F7176D4"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1A1A654D"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01ACF1E6"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62C8BD80"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11.5 (0, 60)</w:t>
            </w:r>
          </w:p>
        </w:tc>
        <w:tc>
          <w:tcPr>
            <w:tcW w:w="2160" w:type="dxa"/>
            <w:tcBorders>
              <w:top w:val="nil"/>
              <w:left w:val="nil"/>
              <w:bottom w:val="single" w:sz="4" w:space="0" w:color="auto"/>
              <w:right w:val="single" w:sz="4" w:space="0" w:color="auto"/>
            </w:tcBorders>
            <w:shd w:val="clear" w:color="auto" w:fill="auto"/>
            <w:hideMark/>
          </w:tcPr>
          <w:p w14:paraId="4A1AB32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18 (0, 60)</w:t>
            </w:r>
          </w:p>
        </w:tc>
        <w:tc>
          <w:tcPr>
            <w:tcW w:w="2100" w:type="dxa"/>
            <w:tcBorders>
              <w:top w:val="nil"/>
              <w:left w:val="nil"/>
              <w:bottom w:val="single" w:sz="4" w:space="0" w:color="auto"/>
              <w:right w:val="single" w:sz="4" w:space="0" w:color="auto"/>
            </w:tcBorders>
            <w:shd w:val="clear" w:color="auto" w:fill="auto"/>
            <w:hideMark/>
          </w:tcPr>
          <w:p w14:paraId="7D573C2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10 (0, 55)</w:t>
            </w:r>
          </w:p>
        </w:tc>
        <w:tc>
          <w:tcPr>
            <w:tcW w:w="2180" w:type="dxa"/>
            <w:tcBorders>
              <w:top w:val="nil"/>
              <w:left w:val="nil"/>
              <w:bottom w:val="single" w:sz="4" w:space="0" w:color="auto"/>
              <w:right w:val="single" w:sz="4" w:space="0" w:color="auto"/>
            </w:tcBorders>
            <w:shd w:val="clear" w:color="auto" w:fill="auto"/>
            <w:hideMark/>
          </w:tcPr>
          <w:p w14:paraId="16AC6AD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10 (0, 80)</w:t>
            </w:r>
          </w:p>
        </w:tc>
        <w:tc>
          <w:tcPr>
            <w:tcW w:w="1060" w:type="dxa"/>
            <w:tcBorders>
              <w:top w:val="nil"/>
              <w:left w:val="nil"/>
              <w:bottom w:val="single" w:sz="4" w:space="0" w:color="auto"/>
              <w:right w:val="single" w:sz="4" w:space="0" w:color="auto"/>
            </w:tcBorders>
            <w:shd w:val="clear" w:color="auto" w:fill="auto"/>
            <w:hideMark/>
          </w:tcPr>
          <w:p w14:paraId="6F8C2B9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03E7BE81"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6EE89295"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3</w:t>
            </w:r>
          </w:p>
        </w:tc>
        <w:tc>
          <w:tcPr>
            <w:tcW w:w="1920" w:type="dxa"/>
            <w:tcBorders>
              <w:top w:val="nil"/>
              <w:left w:val="nil"/>
              <w:bottom w:val="single" w:sz="4" w:space="0" w:color="auto"/>
              <w:right w:val="single" w:sz="4" w:space="0" w:color="auto"/>
            </w:tcBorders>
            <w:shd w:val="clear" w:color="auto" w:fill="auto"/>
            <w:hideMark/>
          </w:tcPr>
          <w:p w14:paraId="6B4C49CC"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68B8180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13.2 ± 10.8</w:t>
            </w:r>
          </w:p>
        </w:tc>
        <w:tc>
          <w:tcPr>
            <w:tcW w:w="2160" w:type="dxa"/>
            <w:tcBorders>
              <w:top w:val="nil"/>
              <w:left w:val="nil"/>
              <w:bottom w:val="single" w:sz="4" w:space="0" w:color="auto"/>
              <w:right w:val="single" w:sz="4" w:space="0" w:color="auto"/>
            </w:tcBorders>
            <w:shd w:val="clear" w:color="auto" w:fill="auto"/>
            <w:hideMark/>
          </w:tcPr>
          <w:p w14:paraId="797FE88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16.1 ± 13.6</w:t>
            </w:r>
          </w:p>
        </w:tc>
        <w:tc>
          <w:tcPr>
            <w:tcW w:w="2100" w:type="dxa"/>
            <w:tcBorders>
              <w:top w:val="nil"/>
              <w:left w:val="nil"/>
              <w:bottom w:val="single" w:sz="4" w:space="0" w:color="auto"/>
              <w:right w:val="single" w:sz="4" w:space="0" w:color="auto"/>
            </w:tcBorders>
            <w:shd w:val="clear" w:color="auto" w:fill="auto"/>
            <w:hideMark/>
          </w:tcPr>
          <w:p w14:paraId="3B07ED7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16.2 ± 13.2</w:t>
            </w:r>
          </w:p>
        </w:tc>
        <w:tc>
          <w:tcPr>
            <w:tcW w:w="2180" w:type="dxa"/>
            <w:tcBorders>
              <w:top w:val="nil"/>
              <w:left w:val="nil"/>
              <w:bottom w:val="single" w:sz="4" w:space="0" w:color="auto"/>
              <w:right w:val="single" w:sz="4" w:space="0" w:color="auto"/>
            </w:tcBorders>
            <w:shd w:val="clear" w:color="auto" w:fill="auto"/>
            <w:hideMark/>
          </w:tcPr>
          <w:p w14:paraId="3A2DBC1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14.7 ± 13.8</w:t>
            </w:r>
          </w:p>
        </w:tc>
        <w:tc>
          <w:tcPr>
            <w:tcW w:w="1060" w:type="dxa"/>
            <w:tcBorders>
              <w:top w:val="nil"/>
              <w:left w:val="nil"/>
              <w:bottom w:val="single" w:sz="4" w:space="0" w:color="auto"/>
              <w:right w:val="single" w:sz="4" w:space="0" w:color="auto"/>
            </w:tcBorders>
            <w:shd w:val="clear" w:color="auto" w:fill="auto"/>
            <w:hideMark/>
          </w:tcPr>
          <w:p w14:paraId="079540E8"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0.642</w:t>
            </w:r>
          </w:p>
        </w:tc>
      </w:tr>
      <w:tr w:rsidR="00D37825" w:rsidRPr="00B15EC8" w14:paraId="1F521225"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6C841382"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21ED485B"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26FD94B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10 (0, 46)</w:t>
            </w:r>
          </w:p>
        </w:tc>
        <w:tc>
          <w:tcPr>
            <w:tcW w:w="2160" w:type="dxa"/>
            <w:tcBorders>
              <w:top w:val="nil"/>
              <w:left w:val="nil"/>
              <w:bottom w:val="single" w:sz="4" w:space="0" w:color="auto"/>
              <w:right w:val="single" w:sz="4" w:space="0" w:color="auto"/>
            </w:tcBorders>
            <w:shd w:val="clear" w:color="auto" w:fill="auto"/>
            <w:hideMark/>
          </w:tcPr>
          <w:p w14:paraId="693EF92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15 (0, 55)</w:t>
            </w:r>
          </w:p>
        </w:tc>
        <w:tc>
          <w:tcPr>
            <w:tcW w:w="2100" w:type="dxa"/>
            <w:tcBorders>
              <w:top w:val="nil"/>
              <w:left w:val="nil"/>
              <w:bottom w:val="single" w:sz="4" w:space="0" w:color="auto"/>
              <w:right w:val="single" w:sz="4" w:space="0" w:color="auto"/>
            </w:tcBorders>
            <w:shd w:val="clear" w:color="auto" w:fill="auto"/>
            <w:hideMark/>
          </w:tcPr>
          <w:p w14:paraId="2FE97B1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10 (0, 60)</w:t>
            </w:r>
          </w:p>
        </w:tc>
        <w:tc>
          <w:tcPr>
            <w:tcW w:w="2180" w:type="dxa"/>
            <w:tcBorders>
              <w:top w:val="nil"/>
              <w:left w:val="nil"/>
              <w:bottom w:val="single" w:sz="4" w:space="0" w:color="auto"/>
              <w:right w:val="single" w:sz="4" w:space="0" w:color="auto"/>
            </w:tcBorders>
            <w:shd w:val="clear" w:color="auto" w:fill="auto"/>
            <w:hideMark/>
          </w:tcPr>
          <w:p w14:paraId="2B23784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10 (0, 60)</w:t>
            </w:r>
          </w:p>
        </w:tc>
        <w:tc>
          <w:tcPr>
            <w:tcW w:w="1060" w:type="dxa"/>
            <w:tcBorders>
              <w:top w:val="nil"/>
              <w:left w:val="nil"/>
              <w:bottom w:val="single" w:sz="4" w:space="0" w:color="auto"/>
              <w:right w:val="single" w:sz="4" w:space="0" w:color="auto"/>
            </w:tcBorders>
            <w:shd w:val="clear" w:color="auto" w:fill="auto"/>
            <w:hideMark/>
          </w:tcPr>
          <w:p w14:paraId="0ACAC0C6"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161D629E"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2A8EE158"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lastRenderedPageBreak/>
              <w:t>Day 4</w:t>
            </w:r>
          </w:p>
        </w:tc>
        <w:tc>
          <w:tcPr>
            <w:tcW w:w="1920" w:type="dxa"/>
            <w:tcBorders>
              <w:top w:val="nil"/>
              <w:left w:val="nil"/>
              <w:bottom w:val="single" w:sz="4" w:space="0" w:color="auto"/>
              <w:right w:val="single" w:sz="4" w:space="0" w:color="auto"/>
            </w:tcBorders>
            <w:shd w:val="clear" w:color="auto" w:fill="auto"/>
            <w:hideMark/>
          </w:tcPr>
          <w:p w14:paraId="4667C6E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1645A4B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11.0 ± 9.3</w:t>
            </w:r>
          </w:p>
        </w:tc>
        <w:tc>
          <w:tcPr>
            <w:tcW w:w="2160" w:type="dxa"/>
            <w:tcBorders>
              <w:top w:val="nil"/>
              <w:left w:val="nil"/>
              <w:bottom w:val="single" w:sz="4" w:space="0" w:color="auto"/>
              <w:right w:val="single" w:sz="4" w:space="0" w:color="auto"/>
            </w:tcBorders>
            <w:shd w:val="clear" w:color="auto" w:fill="auto"/>
            <w:hideMark/>
          </w:tcPr>
          <w:p w14:paraId="08CDE24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14.6 ± 14.1</w:t>
            </w:r>
          </w:p>
        </w:tc>
        <w:tc>
          <w:tcPr>
            <w:tcW w:w="2100" w:type="dxa"/>
            <w:tcBorders>
              <w:top w:val="nil"/>
              <w:left w:val="nil"/>
              <w:bottom w:val="single" w:sz="4" w:space="0" w:color="auto"/>
              <w:right w:val="single" w:sz="4" w:space="0" w:color="auto"/>
            </w:tcBorders>
            <w:shd w:val="clear" w:color="auto" w:fill="auto"/>
            <w:hideMark/>
          </w:tcPr>
          <w:p w14:paraId="5D6F25D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13.6 ± 12.7</w:t>
            </w:r>
          </w:p>
        </w:tc>
        <w:tc>
          <w:tcPr>
            <w:tcW w:w="2180" w:type="dxa"/>
            <w:tcBorders>
              <w:top w:val="nil"/>
              <w:left w:val="nil"/>
              <w:bottom w:val="single" w:sz="4" w:space="0" w:color="auto"/>
              <w:right w:val="single" w:sz="4" w:space="0" w:color="auto"/>
            </w:tcBorders>
            <w:shd w:val="clear" w:color="auto" w:fill="auto"/>
            <w:hideMark/>
          </w:tcPr>
          <w:p w14:paraId="0C0BBE1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14.3 ± 13.9</w:t>
            </w:r>
          </w:p>
        </w:tc>
        <w:tc>
          <w:tcPr>
            <w:tcW w:w="1060" w:type="dxa"/>
            <w:tcBorders>
              <w:top w:val="nil"/>
              <w:left w:val="nil"/>
              <w:bottom w:val="single" w:sz="4" w:space="0" w:color="auto"/>
              <w:right w:val="single" w:sz="4" w:space="0" w:color="auto"/>
            </w:tcBorders>
            <w:shd w:val="clear" w:color="auto" w:fill="auto"/>
            <w:hideMark/>
          </w:tcPr>
          <w:p w14:paraId="3987498C"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0.710</w:t>
            </w:r>
          </w:p>
        </w:tc>
      </w:tr>
      <w:tr w:rsidR="00D37825" w:rsidRPr="00B15EC8" w14:paraId="68F612B5"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005D0A50"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0C615A69"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0DD61C3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9 (0, 35)</w:t>
            </w:r>
          </w:p>
        </w:tc>
        <w:tc>
          <w:tcPr>
            <w:tcW w:w="2160" w:type="dxa"/>
            <w:tcBorders>
              <w:top w:val="nil"/>
              <w:left w:val="nil"/>
              <w:bottom w:val="single" w:sz="4" w:space="0" w:color="auto"/>
              <w:right w:val="single" w:sz="4" w:space="0" w:color="auto"/>
            </w:tcBorders>
            <w:shd w:val="clear" w:color="auto" w:fill="auto"/>
            <w:hideMark/>
          </w:tcPr>
          <w:p w14:paraId="6A05BA1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10 (0, 65)</w:t>
            </w:r>
          </w:p>
        </w:tc>
        <w:tc>
          <w:tcPr>
            <w:tcW w:w="2100" w:type="dxa"/>
            <w:tcBorders>
              <w:top w:val="nil"/>
              <w:left w:val="nil"/>
              <w:bottom w:val="single" w:sz="4" w:space="0" w:color="auto"/>
              <w:right w:val="single" w:sz="4" w:space="0" w:color="auto"/>
            </w:tcBorders>
            <w:shd w:val="clear" w:color="auto" w:fill="auto"/>
            <w:hideMark/>
          </w:tcPr>
          <w:p w14:paraId="78C218C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10 (0, 60)</w:t>
            </w:r>
          </w:p>
        </w:tc>
        <w:tc>
          <w:tcPr>
            <w:tcW w:w="2180" w:type="dxa"/>
            <w:tcBorders>
              <w:top w:val="nil"/>
              <w:left w:val="nil"/>
              <w:bottom w:val="single" w:sz="4" w:space="0" w:color="auto"/>
              <w:right w:val="single" w:sz="4" w:space="0" w:color="auto"/>
            </w:tcBorders>
            <w:shd w:val="clear" w:color="auto" w:fill="auto"/>
            <w:hideMark/>
          </w:tcPr>
          <w:p w14:paraId="493D86E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10 (0, 60)</w:t>
            </w:r>
          </w:p>
        </w:tc>
        <w:tc>
          <w:tcPr>
            <w:tcW w:w="1060" w:type="dxa"/>
            <w:tcBorders>
              <w:top w:val="nil"/>
              <w:left w:val="nil"/>
              <w:bottom w:val="single" w:sz="4" w:space="0" w:color="auto"/>
              <w:right w:val="single" w:sz="4" w:space="0" w:color="auto"/>
            </w:tcBorders>
            <w:shd w:val="clear" w:color="auto" w:fill="auto"/>
            <w:hideMark/>
          </w:tcPr>
          <w:p w14:paraId="586D0217"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269B997A"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4338883D"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5</w:t>
            </w:r>
          </w:p>
        </w:tc>
        <w:tc>
          <w:tcPr>
            <w:tcW w:w="1920" w:type="dxa"/>
            <w:tcBorders>
              <w:top w:val="nil"/>
              <w:left w:val="nil"/>
              <w:bottom w:val="single" w:sz="4" w:space="0" w:color="auto"/>
              <w:right w:val="single" w:sz="4" w:space="0" w:color="auto"/>
            </w:tcBorders>
            <w:shd w:val="clear" w:color="auto" w:fill="auto"/>
            <w:hideMark/>
          </w:tcPr>
          <w:p w14:paraId="6ACF67DF"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31D0BC7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12.0 ± 11.2</w:t>
            </w:r>
          </w:p>
        </w:tc>
        <w:tc>
          <w:tcPr>
            <w:tcW w:w="2160" w:type="dxa"/>
            <w:tcBorders>
              <w:top w:val="nil"/>
              <w:left w:val="nil"/>
              <w:bottom w:val="single" w:sz="4" w:space="0" w:color="auto"/>
              <w:right w:val="single" w:sz="4" w:space="0" w:color="auto"/>
            </w:tcBorders>
            <w:shd w:val="clear" w:color="auto" w:fill="auto"/>
            <w:hideMark/>
          </w:tcPr>
          <w:p w14:paraId="2FD9FA3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12.9 ± 11.8</w:t>
            </w:r>
          </w:p>
        </w:tc>
        <w:tc>
          <w:tcPr>
            <w:tcW w:w="2100" w:type="dxa"/>
            <w:tcBorders>
              <w:top w:val="nil"/>
              <w:left w:val="nil"/>
              <w:bottom w:val="single" w:sz="4" w:space="0" w:color="auto"/>
              <w:right w:val="single" w:sz="4" w:space="0" w:color="auto"/>
            </w:tcBorders>
            <w:shd w:val="clear" w:color="auto" w:fill="auto"/>
            <w:hideMark/>
          </w:tcPr>
          <w:p w14:paraId="5860EE8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13.6 ± 11.9</w:t>
            </w:r>
          </w:p>
        </w:tc>
        <w:tc>
          <w:tcPr>
            <w:tcW w:w="2180" w:type="dxa"/>
            <w:tcBorders>
              <w:top w:val="nil"/>
              <w:left w:val="nil"/>
              <w:bottom w:val="single" w:sz="4" w:space="0" w:color="auto"/>
              <w:right w:val="single" w:sz="4" w:space="0" w:color="auto"/>
            </w:tcBorders>
            <w:shd w:val="clear" w:color="auto" w:fill="auto"/>
            <w:hideMark/>
          </w:tcPr>
          <w:p w14:paraId="19AC06D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12.8 ± 13.3</w:t>
            </w:r>
          </w:p>
        </w:tc>
        <w:tc>
          <w:tcPr>
            <w:tcW w:w="1060" w:type="dxa"/>
            <w:tcBorders>
              <w:top w:val="nil"/>
              <w:left w:val="nil"/>
              <w:bottom w:val="single" w:sz="4" w:space="0" w:color="auto"/>
              <w:right w:val="single" w:sz="4" w:space="0" w:color="auto"/>
            </w:tcBorders>
            <w:shd w:val="clear" w:color="auto" w:fill="auto"/>
            <w:hideMark/>
          </w:tcPr>
          <w:p w14:paraId="778E3BDE"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0.708</w:t>
            </w:r>
          </w:p>
        </w:tc>
      </w:tr>
      <w:tr w:rsidR="00D37825" w:rsidRPr="00B15EC8" w14:paraId="4DD4849D"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3A5BB177"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6AB3FB65"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15C0316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9 (0, 50)</w:t>
            </w:r>
          </w:p>
        </w:tc>
        <w:tc>
          <w:tcPr>
            <w:tcW w:w="2160" w:type="dxa"/>
            <w:tcBorders>
              <w:top w:val="nil"/>
              <w:left w:val="nil"/>
              <w:bottom w:val="single" w:sz="4" w:space="0" w:color="auto"/>
              <w:right w:val="single" w:sz="4" w:space="0" w:color="auto"/>
            </w:tcBorders>
            <w:shd w:val="clear" w:color="auto" w:fill="auto"/>
            <w:hideMark/>
          </w:tcPr>
          <w:p w14:paraId="093307F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10 (0, 40)</w:t>
            </w:r>
          </w:p>
        </w:tc>
        <w:tc>
          <w:tcPr>
            <w:tcW w:w="2100" w:type="dxa"/>
            <w:tcBorders>
              <w:top w:val="nil"/>
              <w:left w:val="nil"/>
              <w:bottom w:val="single" w:sz="4" w:space="0" w:color="auto"/>
              <w:right w:val="single" w:sz="4" w:space="0" w:color="auto"/>
            </w:tcBorders>
            <w:shd w:val="clear" w:color="auto" w:fill="auto"/>
            <w:hideMark/>
          </w:tcPr>
          <w:p w14:paraId="05C6662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10 (0, 50)</w:t>
            </w:r>
          </w:p>
        </w:tc>
        <w:tc>
          <w:tcPr>
            <w:tcW w:w="2180" w:type="dxa"/>
            <w:tcBorders>
              <w:top w:val="nil"/>
              <w:left w:val="nil"/>
              <w:bottom w:val="single" w:sz="4" w:space="0" w:color="auto"/>
              <w:right w:val="single" w:sz="4" w:space="0" w:color="auto"/>
            </w:tcBorders>
            <w:shd w:val="clear" w:color="auto" w:fill="auto"/>
            <w:hideMark/>
          </w:tcPr>
          <w:p w14:paraId="2748C51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10 (0, 60)</w:t>
            </w:r>
          </w:p>
        </w:tc>
        <w:tc>
          <w:tcPr>
            <w:tcW w:w="1060" w:type="dxa"/>
            <w:tcBorders>
              <w:top w:val="nil"/>
              <w:left w:val="nil"/>
              <w:bottom w:val="single" w:sz="4" w:space="0" w:color="auto"/>
              <w:right w:val="single" w:sz="4" w:space="0" w:color="auto"/>
            </w:tcBorders>
            <w:shd w:val="clear" w:color="auto" w:fill="auto"/>
            <w:hideMark/>
          </w:tcPr>
          <w:p w14:paraId="2DBD2F83"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5AE96790" w14:textId="77777777" w:rsidTr="008E7D62">
        <w:trPr>
          <w:trHeight w:val="240"/>
        </w:trPr>
        <w:tc>
          <w:tcPr>
            <w:tcW w:w="130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6CF05492" w14:textId="77777777" w:rsidR="00D37825" w:rsidRPr="00B15EC8" w:rsidRDefault="00D37825" w:rsidP="008E7D62">
            <w:pPr>
              <w:rPr>
                <w:rFonts w:cs="Arial"/>
                <w:b/>
                <w:bCs/>
                <w:color w:val="000000" w:themeColor="text1"/>
                <w:sz w:val="18"/>
                <w:szCs w:val="18"/>
              </w:rPr>
            </w:pPr>
            <w:r w:rsidRPr="00B15EC8">
              <w:rPr>
                <w:rFonts w:cs="Arial"/>
                <w:b/>
                <w:bCs/>
                <w:color w:val="000000" w:themeColor="text1"/>
                <w:sz w:val="18"/>
                <w:szCs w:val="18"/>
              </w:rPr>
              <w:t>Average presure pain threshold (PPT) of Contralateral/Non-Dominant Deltoid - kPa</w:t>
            </w:r>
          </w:p>
        </w:tc>
      </w:tr>
      <w:tr w:rsidR="00D37825" w:rsidRPr="00B15EC8" w14:paraId="300D9427"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4736E930"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1</w:t>
            </w:r>
          </w:p>
        </w:tc>
        <w:tc>
          <w:tcPr>
            <w:tcW w:w="1920" w:type="dxa"/>
            <w:tcBorders>
              <w:top w:val="nil"/>
              <w:left w:val="nil"/>
              <w:bottom w:val="single" w:sz="4" w:space="0" w:color="auto"/>
              <w:right w:val="single" w:sz="4" w:space="0" w:color="auto"/>
            </w:tcBorders>
            <w:shd w:val="clear" w:color="auto" w:fill="auto"/>
            <w:hideMark/>
          </w:tcPr>
          <w:p w14:paraId="209CA32B"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342C5C1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330.6 ± 198.7</w:t>
            </w:r>
          </w:p>
        </w:tc>
        <w:tc>
          <w:tcPr>
            <w:tcW w:w="2160" w:type="dxa"/>
            <w:tcBorders>
              <w:top w:val="nil"/>
              <w:left w:val="nil"/>
              <w:bottom w:val="single" w:sz="4" w:space="0" w:color="auto"/>
              <w:right w:val="single" w:sz="4" w:space="0" w:color="auto"/>
            </w:tcBorders>
            <w:shd w:val="clear" w:color="auto" w:fill="auto"/>
            <w:hideMark/>
          </w:tcPr>
          <w:p w14:paraId="24D5FCC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324.1 ± 164.5</w:t>
            </w:r>
          </w:p>
        </w:tc>
        <w:tc>
          <w:tcPr>
            <w:tcW w:w="2100" w:type="dxa"/>
            <w:tcBorders>
              <w:top w:val="nil"/>
              <w:left w:val="nil"/>
              <w:bottom w:val="single" w:sz="4" w:space="0" w:color="auto"/>
              <w:right w:val="single" w:sz="4" w:space="0" w:color="auto"/>
            </w:tcBorders>
            <w:shd w:val="clear" w:color="auto" w:fill="auto"/>
            <w:hideMark/>
          </w:tcPr>
          <w:p w14:paraId="404E518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317.2 ± 195.0</w:t>
            </w:r>
          </w:p>
        </w:tc>
        <w:tc>
          <w:tcPr>
            <w:tcW w:w="2180" w:type="dxa"/>
            <w:tcBorders>
              <w:top w:val="nil"/>
              <w:left w:val="nil"/>
              <w:bottom w:val="single" w:sz="4" w:space="0" w:color="auto"/>
              <w:right w:val="single" w:sz="4" w:space="0" w:color="auto"/>
            </w:tcBorders>
            <w:shd w:val="clear" w:color="auto" w:fill="auto"/>
            <w:hideMark/>
          </w:tcPr>
          <w:p w14:paraId="1799901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284.8 ± 165.3</w:t>
            </w:r>
          </w:p>
        </w:tc>
        <w:tc>
          <w:tcPr>
            <w:tcW w:w="1060" w:type="dxa"/>
            <w:tcBorders>
              <w:top w:val="nil"/>
              <w:left w:val="nil"/>
              <w:bottom w:val="single" w:sz="4" w:space="0" w:color="auto"/>
              <w:right w:val="single" w:sz="4" w:space="0" w:color="auto"/>
            </w:tcBorders>
            <w:shd w:val="clear" w:color="auto" w:fill="auto"/>
            <w:hideMark/>
          </w:tcPr>
          <w:p w14:paraId="79398E1B"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0.245</w:t>
            </w:r>
          </w:p>
        </w:tc>
      </w:tr>
      <w:tr w:rsidR="00D37825" w:rsidRPr="00B15EC8" w14:paraId="3C391FB7"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13F956B1"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5F7F7274"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3756C82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293.99 (51.56, 1000.1)</w:t>
            </w:r>
          </w:p>
        </w:tc>
        <w:tc>
          <w:tcPr>
            <w:tcW w:w="2160" w:type="dxa"/>
            <w:tcBorders>
              <w:top w:val="nil"/>
              <w:left w:val="nil"/>
              <w:bottom w:val="single" w:sz="4" w:space="0" w:color="auto"/>
              <w:right w:val="single" w:sz="4" w:space="0" w:color="auto"/>
            </w:tcBorders>
            <w:shd w:val="clear" w:color="auto" w:fill="auto"/>
            <w:hideMark/>
          </w:tcPr>
          <w:p w14:paraId="174924E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275.18 (153.66, 975.36)</w:t>
            </w:r>
          </w:p>
        </w:tc>
        <w:tc>
          <w:tcPr>
            <w:tcW w:w="2100" w:type="dxa"/>
            <w:tcBorders>
              <w:top w:val="nil"/>
              <w:left w:val="nil"/>
              <w:bottom w:val="single" w:sz="4" w:space="0" w:color="auto"/>
              <w:right w:val="single" w:sz="4" w:space="0" w:color="auto"/>
            </w:tcBorders>
            <w:shd w:val="clear" w:color="auto" w:fill="auto"/>
            <w:hideMark/>
          </w:tcPr>
          <w:p w14:paraId="6C18CC1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253.05 (45.1, 865.64)</w:t>
            </w:r>
          </w:p>
        </w:tc>
        <w:tc>
          <w:tcPr>
            <w:tcW w:w="2180" w:type="dxa"/>
            <w:tcBorders>
              <w:top w:val="nil"/>
              <w:left w:val="nil"/>
              <w:bottom w:val="single" w:sz="4" w:space="0" w:color="auto"/>
              <w:right w:val="single" w:sz="4" w:space="0" w:color="auto"/>
            </w:tcBorders>
            <w:shd w:val="clear" w:color="auto" w:fill="auto"/>
            <w:hideMark/>
          </w:tcPr>
          <w:p w14:paraId="0E5A6DF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232.67 (108.98, 793.42)</w:t>
            </w:r>
          </w:p>
        </w:tc>
        <w:tc>
          <w:tcPr>
            <w:tcW w:w="1060" w:type="dxa"/>
            <w:tcBorders>
              <w:top w:val="nil"/>
              <w:left w:val="nil"/>
              <w:bottom w:val="single" w:sz="4" w:space="0" w:color="auto"/>
              <w:right w:val="single" w:sz="4" w:space="0" w:color="auto"/>
            </w:tcBorders>
            <w:shd w:val="clear" w:color="auto" w:fill="auto"/>
            <w:hideMark/>
          </w:tcPr>
          <w:p w14:paraId="3E396DE1"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76C142D0"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76827430"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2</w:t>
            </w:r>
          </w:p>
        </w:tc>
        <w:tc>
          <w:tcPr>
            <w:tcW w:w="1920" w:type="dxa"/>
            <w:tcBorders>
              <w:top w:val="nil"/>
              <w:left w:val="nil"/>
              <w:bottom w:val="single" w:sz="4" w:space="0" w:color="auto"/>
              <w:right w:val="single" w:sz="4" w:space="0" w:color="auto"/>
            </w:tcBorders>
            <w:shd w:val="clear" w:color="auto" w:fill="auto"/>
            <w:hideMark/>
          </w:tcPr>
          <w:p w14:paraId="05B044EF"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5651431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261.7 ± 169.0</w:t>
            </w:r>
          </w:p>
        </w:tc>
        <w:tc>
          <w:tcPr>
            <w:tcW w:w="2160" w:type="dxa"/>
            <w:tcBorders>
              <w:top w:val="nil"/>
              <w:left w:val="nil"/>
              <w:bottom w:val="single" w:sz="4" w:space="0" w:color="auto"/>
              <w:right w:val="single" w:sz="4" w:space="0" w:color="auto"/>
            </w:tcBorders>
            <w:shd w:val="clear" w:color="auto" w:fill="auto"/>
            <w:hideMark/>
          </w:tcPr>
          <w:p w14:paraId="0687A10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263.3 ± 124.7</w:t>
            </w:r>
          </w:p>
        </w:tc>
        <w:tc>
          <w:tcPr>
            <w:tcW w:w="2100" w:type="dxa"/>
            <w:tcBorders>
              <w:top w:val="nil"/>
              <w:left w:val="nil"/>
              <w:bottom w:val="single" w:sz="4" w:space="0" w:color="auto"/>
              <w:right w:val="single" w:sz="4" w:space="0" w:color="auto"/>
            </w:tcBorders>
            <w:shd w:val="clear" w:color="auto" w:fill="auto"/>
            <w:hideMark/>
          </w:tcPr>
          <w:p w14:paraId="1C392A9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268.2 ± 181.4</w:t>
            </w:r>
          </w:p>
        </w:tc>
        <w:tc>
          <w:tcPr>
            <w:tcW w:w="2180" w:type="dxa"/>
            <w:tcBorders>
              <w:top w:val="nil"/>
              <w:left w:val="nil"/>
              <w:bottom w:val="single" w:sz="4" w:space="0" w:color="auto"/>
              <w:right w:val="single" w:sz="4" w:space="0" w:color="auto"/>
            </w:tcBorders>
            <w:shd w:val="clear" w:color="auto" w:fill="auto"/>
            <w:hideMark/>
          </w:tcPr>
          <w:p w14:paraId="58239A4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234.0 ± 117.8</w:t>
            </w:r>
          </w:p>
        </w:tc>
        <w:tc>
          <w:tcPr>
            <w:tcW w:w="1060" w:type="dxa"/>
            <w:tcBorders>
              <w:top w:val="nil"/>
              <w:left w:val="nil"/>
              <w:bottom w:val="single" w:sz="4" w:space="0" w:color="auto"/>
              <w:right w:val="single" w:sz="4" w:space="0" w:color="auto"/>
            </w:tcBorders>
            <w:shd w:val="clear" w:color="auto" w:fill="auto"/>
            <w:hideMark/>
          </w:tcPr>
          <w:p w14:paraId="68E365B2"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0.582</w:t>
            </w:r>
          </w:p>
        </w:tc>
      </w:tr>
      <w:tr w:rsidR="00D37825" w:rsidRPr="00B15EC8" w14:paraId="1FC97CFB"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6F2D2E01"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334AD3BA"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58A947A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222.28 (52.9, 1000.1)</w:t>
            </w:r>
          </w:p>
        </w:tc>
        <w:tc>
          <w:tcPr>
            <w:tcW w:w="2160" w:type="dxa"/>
            <w:tcBorders>
              <w:top w:val="nil"/>
              <w:left w:val="nil"/>
              <w:bottom w:val="single" w:sz="4" w:space="0" w:color="auto"/>
              <w:right w:val="single" w:sz="4" w:space="0" w:color="auto"/>
            </w:tcBorders>
            <w:shd w:val="clear" w:color="auto" w:fill="auto"/>
            <w:hideMark/>
          </w:tcPr>
          <w:p w14:paraId="712FD87E"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228.18 (67.82, 644.12)</w:t>
            </w:r>
          </w:p>
        </w:tc>
        <w:tc>
          <w:tcPr>
            <w:tcW w:w="2100" w:type="dxa"/>
            <w:tcBorders>
              <w:top w:val="nil"/>
              <w:left w:val="nil"/>
              <w:bottom w:val="single" w:sz="4" w:space="0" w:color="auto"/>
              <w:right w:val="single" w:sz="4" w:space="0" w:color="auto"/>
            </w:tcBorders>
            <w:shd w:val="clear" w:color="auto" w:fill="auto"/>
            <w:hideMark/>
          </w:tcPr>
          <w:p w14:paraId="5391446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203.84 (62.32, 827.2)</w:t>
            </w:r>
          </w:p>
        </w:tc>
        <w:tc>
          <w:tcPr>
            <w:tcW w:w="2180" w:type="dxa"/>
            <w:tcBorders>
              <w:top w:val="nil"/>
              <w:left w:val="nil"/>
              <w:bottom w:val="single" w:sz="4" w:space="0" w:color="auto"/>
              <w:right w:val="single" w:sz="4" w:space="0" w:color="auto"/>
            </w:tcBorders>
            <w:shd w:val="clear" w:color="auto" w:fill="auto"/>
            <w:hideMark/>
          </w:tcPr>
          <w:p w14:paraId="06F9C2D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185.42 (74.84, 597.42)</w:t>
            </w:r>
          </w:p>
        </w:tc>
        <w:tc>
          <w:tcPr>
            <w:tcW w:w="1060" w:type="dxa"/>
            <w:tcBorders>
              <w:top w:val="nil"/>
              <w:left w:val="nil"/>
              <w:bottom w:val="single" w:sz="4" w:space="0" w:color="auto"/>
              <w:right w:val="single" w:sz="4" w:space="0" w:color="auto"/>
            </w:tcBorders>
            <w:shd w:val="clear" w:color="auto" w:fill="auto"/>
            <w:hideMark/>
          </w:tcPr>
          <w:p w14:paraId="36B38386"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214EA01E"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0FCC5FBC"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3</w:t>
            </w:r>
          </w:p>
        </w:tc>
        <w:tc>
          <w:tcPr>
            <w:tcW w:w="1920" w:type="dxa"/>
            <w:tcBorders>
              <w:top w:val="nil"/>
              <w:left w:val="nil"/>
              <w:bottom w:val="single" w:sz="4" w:space="0" w:color="auto"/>
              <w:right w:val="single" w:sz="4" w:space="0" w:color="auto"/>
            </w:tcBorders>
            <w:shd w:val="clear" w:color="auto" w:fill="auto"/>
            <w:hideMark/>
          </w:tcPr>
          <w:p w14:paraId="2E816BC4"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3610081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249.8 ± 170.2</w:t>
            </w:r>
          </w:p>
        </w:tc>
        <w:tc>
          <w:tcPr>
            <w:tcW w:w="2160" w:type="dxa"/>
            <w:tcBorders>
              <w:top w:val="nil"/>
              <w:left w:val="nil"/>
              <w:bottom w:val="single" w:sz="4" w:space="0" w:color="auto"/>
              <w:right w:val="single" w:sz="4" w:space="0" w:color="auto"/>
            </w:tcBorders>
            <w:shd w:val="clear" w:color="auto" w:fill="auto"/>
            <w:hideMark/>
          </w:tcPr>
          <w:p w14:paraId="2012EB3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258.9 ± 144.8</w:t>
            </w:r>
          </w:p>
        </w:tc>
        <w:tc>
          <w:tcPr>
            <w:tcW w:w="2100" w:type="dxa"/>
            <w:tcBorders>
              <w:top w:val="nil"/>
              <w:left w:val="nil"/>
              <w:bottom w:val="single" w:sz="4" w:space="0" w:color="auto"/>
              <w:right w:val="single" w:sz="4" w:space="0" w:color="auto"/>
            </w:tcBorders>
            <w:shd w:val="clear" w:color="auto" w:fill="auto"/>
            <w:hideMark/>
          </w:tcPr>
          <w:p w14:paraId="10D671C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258.9 ± 167.8</w:t>
            </w:r>
          </w:p>
        </w:tc>
        <w:tc>
          <w:tcPr>
            <w:tcW w:w="2180" w:type="dxa"/>
            <w:tcBorders>
              <w:top w:val="nil"/>
              <w:left w:val="nil"/>
              <w:bottom w:val="single" w:sz="4" w:space="0" w:color="auto"/>
              <w:right w:val="single" w:sz="4" w:space="0" w:color="auto"/>
            </w:tcBorders>
            <w:shd w:val="clear" w:color="auto" w:fill="auto"/>
            <w:hideMark/>
          </w:tcPr>
          <w:p w14:paraId="0DD890A1"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225.2 ± 128.1</w:t>
            </w:r>
          </w:p>
        </w:tc>
        <w:tc>
          <w:tcPr>
            <w:tcW w:w="1060" w:type="dxa"/>
            <w:tcBorders>
              <w:top w:val="nil"/>
              <w:left w:val="nil"/>
              <w:bottom w:val="single" w:sz="4" w:space="0" w:color="auto"/>
              <w:right w:val="single" w:sz="4" w:space="0" w:color="auto"/>
            </w:tcBorders>
            <w:shd w:val="clear" w:color="auto" w:fill="auto"/>
            <w:hideMark/>
          </w:tcPr>
          <w:p w14:paraId="48312B15"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0.444</w:t>
            </w:r>
          </w:p>
        </w:tc>
      </w:tr>
      <w:tr w:rsidR="00D37825" w:rsidRPr="00B15EC8" w14:paraId="7131BDA5"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6061706B"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1522AAB1"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6DFAF86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197.18 (52.32, 1000.1)</w:t>
            </w:r>
          </w:p>
        </w:tc>
        <w:tc>
          <w:tcPr>
            <w:tcW w:w="2160" w:type="dxa"/>
            <w:tcBorders>
              <w:top w:val="nil"/>
              <w:left w:val="nil"/>
              <w:bottom w:val="single" w:sz="4" w:space="0" w:color="auto"/>
              <w:right w:val="single" w:sz="4" w:space="0" w:color="auto"/>
            </w:tcBorders>
            <w:shd w:val="clear" w:color="auto" w:fill="auto"/>
            <w:hideMark/>
          </w:tcPr>
          <w:p w14:paraId="501878C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222.8 (59.2, 866.82)</w:t>
            </w:r>
          </w:p>
        </w:tc>
        <w:tc>
          <w:tcPr>
            <w:tcW w:w="2100" w:type="dxa"/>
            <w:tcBorders>
              <w:top w:val="nil"/>
              <w:left w:val="nil"/>
              <w:bottom w:val="single" w:sz="4" w:space="0" w:color="auto"/>
              <w:right w:val="single" w:sz="4" w:space="0" w:color="auto"/>
            </w:tcBorders>
            <w:shd w:val="clear" w:color="auto" w:fill="auto"/>
            <w:hideMark/>
          </w:tcPr>
          <w:p w14:paraId="55DE8A1D"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204.31 (48.22, 756.16)</w:t>
            </w:r>
          </w:p>
        </w:tc>
        <w:tc>
          <w:tcPr>
            <w:tcW w:w="2180" w:type="dxa"/>
            <w:tcBorders>
              <w:top w:val="nil"/>
              <w:left w:val="nil"/>
              <w:bottom w:val="single" w:sz="4" w:space="0" w:color="auto"/>
              <w:right w:val="single" w:sz="4" w:space="0" w:color="auto"/>
            </w:tcBorders>
            <w:shd w:val="clear" w:color="auto" w:fill="auto"/>
            <w:hideMark/>
          </w:tcPr>
          <w:p w14:paraId="5565653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169.2 (45.08, 535.08)</w:t>
            </w:r>
          </w:p>
        </w:tc>
        <w:tc>
          <w:tcPr>
            <w:tcW w:w="1060" w:type="dxa"/>
            <w:tcBorders>
              <w:top w:val="nil"/>
              <w:left w:val="nil"/>
              <w:bottom w:val="single" w:sz="4" w:space="0" w:color="auto"/>
              <w:right w:val="single" w:sz="4" w:space="0" w:color="auto"/>
            </w:tcBorders>
            <w:shd w:val="clear" w:color="auto" w:fill="auto"/>
            <w:hideMark/>
          </w:tcPr>
          <w:p w14:paraId="2DE97B73"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3A8000C0"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1C455F1A"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4</w:t>
            </w:r>
          </w:p>
        </w:tc>
        <w:tc>
          <w:tcPr>
            <w:tcW w:w="1920" w:type="dxa"/>
            <w:tcBorders>
              <w:top w:val="nil"/>
              <w:left w:val="nil"/>
              <w:bottom w:val="single" w:sz="4" w:space="0" w:color="auto"/>
              <w:right w:val="single" w:sz="4" w:space="0" w:color="auto"/>
            </w:tcBorders>
            <w:shd w:val="clear" w:color="auto" w:fill="auto"/>
            <w:hideMark/>
          </w:tcPr>
          <w:p w14:paraId="2C5E1B2C"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31453FB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236.6 ± 165.6</w:t>
            </w:r>
          </w:p>
        </w:tc>
        <w:tc>
          <w:tcPr>
            <w:tcW w:w="2160" w:type="dxa"/>
            <w:tcBorders>
              <w:top w:val="nil"/>
              <w:left w:val="nil"/>
              <w:bottom w:val="single" w:sz="4" w:space="0" w:color="auto"/>
              <w:right w:val="single" w:sz="4" w:space="0" w:color="auto"/>
            </w:tcBorders>
            <w:shd w:val="clear" w:color="auto" w:fill="auto"/>
            <w:hideMark/>
          </w:tcPr>
          <w:p w14:paraId="48A99244"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251.1 ± 147.0</w:t>
            </w:r>
          </w:p>
        </w:tc>
        <w:tc>
          <w:tcPr>
            <w:tcW w:w="2100" w:type="dxa"/>
            <w:tcBorders>
              <w:top w:val="nil"/>
              <w:left w:val="nil"/>
              <w:bottom w:val="single" w:sz="4" w:space="0" w:color="auto"/>
              <w:right w:val="single" w:sz="4" w:space="0" w:color="auto"/>
            </w:tcBorders>
            <w:shd w:val="clear" w:color="auto" w:fill="auto"/>
            <w:hideMark/>
          </w:tcPr>
          <w:p w14:paraId="2C5D052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255.6 ± 158.5</w:t>
            </w:r>
          </w:p>
        </w:tc>
        <w:tc>
          <w:tcPr>
            <w:tcW w:w="2180" w:type="dxa"/>
            <w:tcBorders>
              <w:top w:val="nil"/>
              <w:left w:val="nil"/>
              <w:bottom w:val="single" w:sz="4" w:space="0" w:color="auto"/>
              <w:right w:val="single" w:sz="4" w:space="0" w:color="auto"/>
            </w:tcBorders>
            <w:shd w:val="clear" w:color="auto" w:fill="auto"/>
            <w:hideMark/>
          </w:tcPr>
          <w:p w14:paraId="079CA4AF"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226.8 ± 140.2</w:t>
            </w:r>
          </w:p>
        </w:tc>
        <w:tc>
          <w:tcPr>
            <w:tcW w:w="1060" w:type="dxa"/>
            <w:tcBorders>
              <w:top w:val="nil"/>
              <w:left w:val="nil"/>
              <w:bottom w:val="single" w:sz="4" w:space="0" w:color="auto"/>
              <w:right w:val="single" w:sz="4" w:space="0" w:color="auto"/>
            </w:tcBorders>
            <w:shd w:val="clear" w:color="auto" w:fill="auto"/>
            <w:hideMark/>
          </w:tcPr>
          <w:p w14:paraId="1F66816D"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0.570</w:t>
            </w:r>
          </w:p>
        </w:tc>
      </w:tr>
      <w:tr w:rsidR="00D37825" w:rsidRPr="00B15EC8" w14:paraId="0BD60AD6"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5BA98A88"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123479DF"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02341A29"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203.45 (41.16, 1000.1)</w:t>
            </w:r>
          </w:p>
        </w:tc>
        <w:tc>
          <w:tcPr>
            <w:tcW w:w="2160" w:type="dxa"/>
            <w:tcBorders>
              <w:top w:val="nil"/>
              <w:left w:val="nil"/>
              <w:bottom w:val="single" w:sz="4" w:space="0" w:color="auto"/>
              <w:right w:val="single" w:sz="4" w:space="0" w:color="auto"/>
            </w:tcBorders>
            <w:shd w:val="clear" w:color="auto" w:fill="auto"/>
            <w:hideMark/>
          </w:tcPr>
          <w:p w14:paraId="23DC4893"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213.45 (89.58, 894.42)</w:t>
            </w:r>
          </w:p>
        </w:tc>
        <w:tc>
          <w:tcPr>
            <w:tcW w:w="2100" w:type="dxa"/>
            <w:tcBorders>
              <w:top w:val="nil"/>
              <w:left w:val="nil"/>
              <w:bottom w:val="single" w:sz="4" w:space="0" w:color="auto"/>
              <w:right w:val="single" w:sz="4" w:space="0" w:color="auto"/>
            </w:tcBorders>
            <w:shd w:val="clear" w:color="auto" w:fill="auto"/>
            <w:hideMark/>
          </w:tcPr>
          <w:p w14:paraId="54D8F34A"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203.04 (22.74, 724.82)</w:t>
            </w:r>
          </w:p>
        </w:tc>
        <w:tc>
          <w:tcPr>
            <w:tcW w:w="2180" w:type="dxa"/>
            <w:tcBorders>
              <w:top w:val="nil"/>
              <w:left w:val="nil"/>
              <w:bottom w:val="single" w:sz="4" w:space="0" w:color="auto"/>
              <w:right w:val="single" w:sz="4" w:space="0" w:color="auto"/>
            </w:tcBorders>
            <w:shd w:val="clear" w:color="auto" w:fill="auto"/>
            <w:hideMark/>
          </w:tcPr>
          <w:p w14:paraId="21FA3E18"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184.24 (65.86, 668.88)</w:t>
            </w:r>
          </w:p>
        </w:tc>
        <w:tc>
          <w:tcPr>
            <w:tcW w:w="1060" w:type="dxa"/>
            <w:tcBorders>
              <w:top w:val="nil"/>
              <w:left w:val="nil"/>
              <w:bottom w:val="single" w:sz="4" w:space="0" w:color="auto"/>
              <w:right w:val="single" w:sz="4" w:space="0" w:color="auto"/>
            </w:tcBorders>
            <w:shd w:val="clear" w:color="auto" w:fill="auto"/>
            <w:hideMark/>
          </w:tcPr>
          <w:p w14:paraId="182CDAE4"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r w:rsidR="00D37825" w:rsidRPr="00B15EC8" w14:paraId="280D4E3D" w14:textId="77777777" w:rsidTr="008E7D62">
        <w:trPr>
          <w:trHeight w:val="260"/>
        </w:trPr>
        <w:tc>
          <w:tcPr>
            <w:tcW w:w="1380" w:type="dxa"/>
            <w:vMerge w:val="restart"/>
            <w:tcBorders>
              <w:top w:val="nil"/>
              <w:left w:val="single" w:sz="4" w:space="0" w:color="auto"/>
              <w:bottom w:val="single" w:sz="4" w:space="0" w:color="auto"/>
              <w:right w:val="single" w:sz="4" w:space="0" w:color="auto"/>
            </w:tcBorders>
            <w:shd w:val="clear" w:color="auto" w:fill="auto"/>
            <w:hideMark/>
          </w:tcPr>
          <w:p w14:paraId="2D6A7B73" w14:textId="77777777" w:rsidR="00D37825" w:rsidRPr="00B15EC8" w:rsidRDefault="00D37825" w:rsidP="008E7D62">
            <w:pPr>
              <w:jc w:val="center"/>
              <w:rPr>
                <w:rFonts w:cs="Arial"/>
                <w:b/>
                <w:bCs/>
                <w:color w:val="000000" w:themeColor="text1"/>
                <w:sz w:val="18"/>
                <w:szCs w:val="18"/>
              </w:rPr>
            </w:pPr>
            <w:r w:rsidRPr="00B15EC8">
              <w:rPr>
                <w:rFonts w:cs="Arial"/>
                <w:b/>
                <w:bCs/>
                <w:color w:val="000000" w:themeColor="text1"/>
                <w:sz w:val="18"/>
                <w:szCs w:val="18"/>
              </w:rPr>
              <w:t>Day 5</w:t>
            </w:r>
          </w:p>
        </w:tc>
        <w:tc>
          <w:tcPr>
            <w:tcW w:w="1920" w:type="dxa"/>
            <w:tcBorders>
              <w:top w:val="nil"/>
              <w:left w:val="nil"/>
              <w:bottom w:val="single" w:sz="4" w:space="0" w:color="auto"/>
              <w:right w:val="single" w:sz="4" w:space="0" w:color="auto"/>
            </w:tcBorders>
            <w:shd w:val="clear" w:color="auto" w:fill="auto"/>
            <w:hideMark/>
          </w:tcPr>
          <w:p w14:paraId="690EBE18"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Mean ± SD</w:t>
            </w:r>
          </w:p>
        </w:tc>
        <w:tc>
          <w:tcPr>
            <w:tcW w:w="2240" w:type="dxa"/>
            <w:tcBorders>
              <w:top w:val="nil"/>
              <w:left w:val="nil"/>
              <w:bottom w:val="single" w:sz="4" w:space="0" w:color="auto"/>
              <w:right w:val="single" w:sz="4" w:space="0" w:color="auto"/>
            </w:tcBorders>
            <w:shd w:val="clear" w:color="auto" w:fill="auto"/>
            <w:hideMark/>
          </w:tcPr>
          <w:p w14:paraId="759F9E5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255.7 ± 175.2</w:t>
            </w:r>
          </w:p>
        </w:tc>
        <w:tc>
          <w:tcPr>
            <w:tcW w:w="2160" w:type="dxa"/>
            <w:tcBorders>
              <w:top w:val="nil"/>
              <w:left w:val="nil"/>
              <w:bottom w:val="single" w:sz="4" w:space="0" w:color="auto"/>
              <w:right w:val="single" w:sz="4" w:space="0" w:color="auto"/>
            </w:tcBorders>
            <w:shd w:val="clear" w:color="auto" w:fill="auto"/>
            <w:hideMark/>
          </w:tcPr>
          <w:p w14:paraId="07899672"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269.8 ± 150.9</w:t>
            </w:r>
          </w:p>
        </w:tc>
        <w:tc>
          <w:tcPr>
            <w:tcW w:w="2100" w:type="dxa"/>
            <w:tcBorders>
              <w:top w:val="nil"/>
              <w:left w:val="nil"/>
              <w:bottom w:val="single" w:sz="4" w:space="0" w:color="auto"/>
              <w:right w:val="single" w:sz="4" w:space="0" w:color="auto"/>
            </w:tcBorders>
            <w:shd w:val="clear" w:color="auto" w:fill="auto"/>
            <w:hideMark/>
          </w:tcPr>
          <w:p w14:paraId="445D410C"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276.1 ± 203.4</w:t>
            </w:r>
          </w:p>
        </w:tc>
        <w:tc>
          <w:tcPr>
            <w:tcW w:w="2180" w:type="dxa"/>
            <w:tcBorders>
              <w:top w:val="nil"/>
              <w:left w:val="nil"/>
              <w:bottom w:val="single" w:sz="4" w:space="0" w:color="auto"/>
              <w:right w:val="single" w:sz="4" w:space="0" w:color="auto"/>
            </w:tcBorders>
            <w:shd w:val="clear" w:color="auto" w:fill="auto"/>
            <w:hideMark/>
          </w:tcPr>
          <w:p w14:paraId="48953496"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223.2 ± 131.5</w:t>
            </w:r>
          </w:p>
        </w:tc>
        <w:tc>
          <w:tcPr>
            <w:tcW w:w="1060" w:type="dxa"/>
            <w:tcBorders>
              <w:top w:val="nil"/>
              <w:left w:val="nil"/>
              <w:bottom w:val="single" w:sz="4" w:space="0" w:color="auto"/>
              <w:right w:val="single" w:sz="4" w:space="0" w:color="auto"/>
            </w:tcBorders>
            <w:shd w:val="clear" w:color="auto" w:fill="auto"/>
            <w:hideMark/>
          </w:tcPr>
          <w:p w14:paraId="1F0F466C" w14:textId="77777777" w:rsidR="00D37825" w:rsidRPr="00B15EC8" w:rsidRDefault="00D37825" w:rsidP="008E7D62">
            <w:pPr>
              <w:jc w:val="right"/>
              <w:rPr>
                <w:rFonts w:cs="Arial"/>
                <w:color w:val="000000" w:themeColor="text1"/>
                <w:sz w:val="18"/>
                <w:szCs w:val="18"/>
              </w:rPr>
            </w:pPr>
            <w:r w:rsidRPr="00B15EC8">
              <w:rPr>
                <w:rFonts w:cs="Arial"/>
                <w:color w:val="000000" w:themeColor="text1"/>
                <w:sz w:val="18"/>
                <w:szCs w:val="18"/>
              </w:rPr>
              <w:t>0.231</w:t>
            </w:r>
          </w:p>
        </w:tc>
      </w:tr>
      <w:tr w:rsidR="00D37825" w:rsidRPr="00B15EC8" w14:paraId="4FD077A2" w14:textId="77777777" w:rsidTr="008E7D62">
        <w:trPr>
          <w:trHeight w:val="260"/>
        </w:trPr>
        <w:tc>
          <w:tcPr>
            <w:tcW w:w="1380" w:type="dxa"/>
            <w:vMerge/>
            <w:tcBorders>
              <w:top w:val="nil"/>
              <w:left w:val="single" w:sz="4" w:space="0" w:color="auto"/>
              <w:bottom w:val="single" w:sz="4" w:space="0" w:color="auto"/>
              <w:right w:val="single" w:sz="4" w:space="0" w:color="auto"/>
            </w:tcBorders>
            <w:shd w:val="clear" w:color="auto" w:fill="auto"/>
            <w:vAlign w:val="center"/>
            <w:hideMark/>
          </w:tcPr>
          <w:p w14:paraId="217F4C0F" w14:textId="77777777" w:rsidR="00D37825" w:rsidRPr="00B15EC8" w:rsidRDefault="00D37825" w:rsidP="008E7D62">
            <w:pPr>
              <w:rPr>
                <w:rFonts w:cs="Arial"/>
                <w:b/>
                <w:bCs/>
                <w:color w:val="000000" w:themeColor="text1"/>
                <w:sz w:val="18"/>
                <w:szCs w:val="18"/>
              </w:rPr>
            </w:pPr>
          </w:p>
        </w:tc>
        <w:tc>
          <w:tcPr>
            <w:tcW w:w="1920" w:type="dxa"/>
            <w:tcBorders>
              <w:top w:val="nil"/>
              <w:left w:val="nil"/>
              <w:bottom w:val="single" w:sz="4" w:space="0" w:color="auto"/>
              <w:right w:val="single" w:sz="4" w:space="0" w:color="auto"/>
            </w:tcBorders>
            <w:shd w:val="clear" w:color="auto" w:fill="auto"/>
            <w:hideMark/>
          </w:tcPr>
          <w:p w14:paraId="2B95A362"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Median (Min, Max)</w:t>
            </w:r>
          </w:p>
        </w:tc>
        <w:tc>
          <w:tcPr>
            <w:tcW w:w="2240" w:type="dxa"/>
            <w:tcBorders>
              <w:top w:val="nil"/>
              <w:left w:val="nil"/>
              <w:bottom w:val="single" w:sz="4" w:space="0" w:color="auto"/>
              <w:right w:val="single" w:sz="4" w:space="0" w:color="auto"/>
            </w:tcBorders>
            <w:shd w:val="clear" w:color="auto" w:fill="auto"/>
            <w:hideMark/>
          </w:tcPr>
          <w:p w14:paraId="26A9A877"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213.5 (54.08, 1000.1)</w:t>
            </w:r>
          </w:p>
        </w:tc>
        <w:tc>
          <w:tcPr>
            <w:tcW w:w="2160" w:type="dxa"/>
            <w:tcBorders>
              <w:top w:val="nil"/>
              <w:left w:val="nil"/>
              <w:bottom w:val="single" w:sz="4" w:space="0" w:color="auto"/>
              <w:right w:val="single" w:sz="4" w:space="0" w:color="auto"/>
            </w:tcBorders>
            <w:shd w:val="clear" w:color="auto" w:fill="auto"/>
            <w:hideMark/>
          </w:tcPr>
          <w:p w14:paraId="55B0AA1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232.46 (109.16, 964.22)</w:t>
            </w:r>
          </w:p>
        </w:tc>
        <w:tc>
          <w:tcPr>
            <w:tcW w:w="2100" w:type="dxa"/>
            <w:tcBorders>
              <w:top w:val="nil"/>
              <w:left w:val="nil"/>
              <w:bottom w:val="single" w:sz="4" w:space="0" w:color="auto"/>
              <w:right w:val="single" w:sz="4" w:space="0" w:color="auto"/>
            </w:tcBorders>
            <w:shd w:val="clear" w:color="auto" w:fill="auto"/>
            <w:hideMark/>
          </w:tcPr>
          <w:p w14:paraId="757AB595"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207.95 (59.56, 975.2)</w:t>
            </w:r>
          </w:p>
        </w:tc>
        <w:tc>
          <w:tcPr>
            <w:tcW w:w="2180" w:type="dxa"/>
            <w:tcBorders>
              <w:top w:val="nil"/>
              <w:left w:val="nil"/>
              <w:bottom w:val="single" w:sz="4" w:space="0" w:color="auto"/>
              <w:right w:val="single" w:sz="4" w:space="0" w:color="auto"/>
            </w:tcBorders>
            <w:shd w:val="clear" w:color="auto" w:fill="auto"/>
            <w:hideMark/>
          </w:tcPr>
          <w:p w14:paraId="7F9504EB" w14:textId="77777777" w:rsidR="00D37825" w:rsidRPr="00B15EC8" w:rsidRDefault="00D37825" w:rsidP="008E7D62">
            <w:pPr>
              <w:jc w:val="center"/>
              <w:rPr>
                <w:rFonts w:cs="Arial"/>
                <w:color w:val="000000" w:themeColor="text1"/>
                <w:sz w:val="18"/>
                <w:szCs w:val="18"/>
              </w:rPr>
            </w:pPr>
            <w:r w:rsidRPr="00B15EC8">
              <w:rPr>
                <w:rFonts w:cs="Arial"/>
                <w:color w:val="000000" w:themeColor="text1"/>
                <w:sz w:val="18"/>
                <w:szCs w:val="18"/>
              </w:rPr>
              <w:t>184.48 (43.12, 651.88)</w:t>
            </w:r>
          </w:p>
        </w:tc>
        <w:tc>
          <w:tcPr>
            <w:tcW w:w="1060" w:type="dxa"/>
            <w:tcBorders>
              <w:top w:val="nil"/>
              <w:left w:val="nil"/>
              <w:bottom w:val="single" w:sz="4" w:space="0" w:color="auto"/>
              <w:right w:val="single" w:sz="4" w:space="0" w:color="auto"/>
            </w:tcBorders>
            <w:shd w:val="clear" w:color="auto" w:fill="auto"/>
            <w:hideMark/>
          </w:tcPr>
          <w:p w14:paraId="12EAABE0" w14:textId="77777777" w:rsidR="00D37825" w:rsidRPr="00B15EC8" w:rsidRDefault="00D37825" w:rsidP="008E7D62">
            <w:pPr>
              <w:rPr>
                <w:rFonts w:cs="Arial"/>
                <w:color w:val="000000" w:themeColor="text1"/>
                <w:sz w:val="18"/>
                <w:szCs w:val="18"/>
              </w:rPr>
            </w:pPr>
            <w:r w:rsidRPr="00B15EC8">
              <w:rPr>
                <w:rFonts w:cs="Arial"/>
                <w:color w:val="000000" w:themeColor="text1"/>
                <w:sz w:val="18"/>
                <w:szCs w:val="18"/>
              </w:rPr>
              <w:t> </w:t>
            </w:r>
          </w:p>
        </w:tc>
      </w:tr>
    </w:tbl>
    <w:p w14:paraId="0B8A51BB" w14:textId="77777777" w:rsidR="00D37825" w:rsidRPr="00B15EC8" w:rsidRDefault="00D37825" w:rsidP="00D37825">
      <w:pPr>
        <w:rPr>
          <w:rFonts w:cs="Arial"/>
          <w:sz w:val="22"/>
          <w:szCs w:val="22"/>
        </w:rPr>
      </w:pPr>
    </w:p>
    <w:p w14:paraId="546E182C" w14:textId="77777777" w:rsidR="00D37825" w:rsidRPr="00627469" w:rsidRDefault="00D37825" w:rsidP="00D37825">
      <w:pPr>
        <w:rPr>
          <w:rFonts w:cs="Arial"/>
          <w:sz w:val="22"/>
          <w:szCs w:val="22"/>
        </w:rPr>
      </w:pPr>
      <w:r w:rsidRPr="00B15EC8">
        <w:rPr>
          <w:rFonts w:cs="Arial"/>
          <w:sz w:val="22"/>
          <w:szCs w:val="22"/>
        </w:rPr>
        <w:t>Bold text represents variable names and the protocol day.</w:t>
      </w:r>
    </w:p>
    <w:p w14:paraId="2E4C3424" w14:textId="77777777" w:rsidR="00F6223D" w:rsidRDefault="00F6223D"/>
    <w:sectPr w:rsidR="00F6223D" w:rsidSect="00D37825">
      <w:pgSz w:w="15840" w:h="12240" w:orient="landscape"/>
      <w:pgMar w:top="1800" w:right="1440" w:bottom="180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CB37" w14:textId="77777777" w:rsidR="00AC571A" w:rsidRDefault="00AC571A" w:rsidP="00B15EC8">
      <w:pPr>
        <w:spacing w:line="240" w:lineRule="auto"/>
      </w:pPr>
      <w:r>
        <w:separator/>
      </w:r>
    </w:p>
  </w:endnote>
  <w:endnote w:type="continuationSeparator" w:id="0">
    <w:p w14:paraId="7E6EBC82" w14:textId="77777777" w:rsidR="00AC571A" w:rsidRDefault="00AC571A" w:rsidP="00B15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altName w:val="Segoe Print"/>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F5CC" w14:textId="319097AB" w:rsidR="00B15EC8" w:rsidRDefault="00B15EC8">
    <w:pPr>
      <w:pStyle w:val="Footer"/>
    </w:pPr>
    <w:r>
      <w:rPr>
        <w:noProof/>
        <w14:ligatures w14:val="standardContextual"/>
      </w:rPr>
      <mc:AlternateContent>
        <mc:Choice Requires="wps">
          <w:drawing>
            <wp:anchor distT="0" distB="0" distL="0" distR="0" simplePos="0" relativeHeight="251659264" behindDoc="0" locked="0" layoutInCell="1" allowOverlap="1" wp14:anchorId="13173F62" wp14:editId="543630E3">
              <wp:simplePos x="635" y="635"/>
              <wp:positionH relativeFrom="page">
                <wp:align>left</wp:align>
              </wp:positionH>
              <wp:positionV relativeFrom="page">
                <wp:align>bottom</wp:align>
              </wp:positionV>
              <wp:extent cx="2085975" cy="459105"/>
              <wp:effectExtent l="0" t="0" r="9525" b="0"/>
              <wp:wrapNone/>
              <wp:docPr id="29242510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48E9DA15" w14:textId="4E603B22" w:rsidR="00B15EC8" w:rsidRPr="00B15EC8" w:rsidRDefault="00B15EC8" w:rsidP="00B15EC8">
                          <w:pPr>
                            <w:rPr>
                              <w:rFonts w:ascii="Rockwell" w:eastAsia="Rockwell" w:hAnsi="Rockwell" w:cs="Rockwell"/>
                              <w:noProof/>
                              <w:color w:val="0078D7"/>
                              <w:sz w:val="18"/>
                              <w:szCs w:val="18"/>
                            </w:rPr>
                          </w:pPr>
                          <w:r w:rsidRPr="00B15EC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173F62"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48E9DA15" w14:textId="4E603B22" w:rsidR="00B15EC8" w:rsidRPr="00B15EC8" w:rsidRDefault="00B15EC8" w:rsidP="00B15EC8">
                    <w:pPr>
                      <w:rPr>
                        <w:rFonts w:ascii="Rockwell" w:eastAsia="Rockwell" w:hAnsi="Rockwell" w:cs="Rockwell"/>
                        <w:noProof/>
                        <w:color w:val="0078D7"/>
                        <w:sz w:val="18"/>
                        <w:szCs w:val="18"/>
                      </w:rPr>
                    </w:pPr>
                    <w:r w:rsidRPr="00B15EC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F55E" w14:textId="63CEECD0" w:rsidR="00B15EC8" w:rsidRDefault="00B15EC8">
    <w:pPr>
      <w:pStyle w:val="Footer"/>
    </w:pPr>
    <w:r>
      <w:rPr>
        <w:noProof/>
        <w14:ligatures w14:val="standardContextual"/>
      </w:rPr>
      <mc:AlternateContent>
        <mc:Choice Requires="wps">
          <w:drawing>
            <wp:anchor distT="0" distB="0" distL="0" distR="0" simplePos="0" relativeHeight="251660288" behindDoc="0" locked="0" layoutInCell="1" allowOverlap="1" wp14:anchorId="145FC59A" wp14:editId="632728A1">
              <wp:simplePos x="635" y="635"/>
              <wp:positionH relativeFrom="page">
                <wp:align>left</wp:align>
              </wp:positionH>
              <wp:positionV relativeFrom="page">
                <wp:align>bottom</wp:align>
              </wp:positionV>
              <wp:extent cx="2085975" cy="459105"/>
              <wp:effectExtent l="0" t="0" r="9525" b="0"/>
              <wp:wrapNone/>
              <wp:docPr id="97515153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7FBB05F7" w14:textId="44E0C174" w:rsidR="00B15EC8" w:rsidRPr="00B15EC8" w:rsidRDefault="00B15EC8" w:rsidP="00B15EC8">
                          <w:pPr>
                            <w:rPr>
                              <w:rFonts w:ascii="Rockwell" w:eastAsia="Rockwell" w:hAnsi="Rockwell" w:cs="Rockwell"/>
                              <w:noProof/>
                              <w:color w:val="0078D7"/>
                              <w:sz w:val="18"/>
                              <w:szCs w:val="18"/>
                            </w:rPr>
                          </w:pPr>
                          <w:r w:rsidRPr="00B15EC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5FC59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7FBB05F7" w14:textId="44E0C174" w:rsidR="00B15EC8" w:rsidRPr="00B15EC8" w:rsidRDefault="00B15EC8" w:rsidP="00B15EC8">
                    <w:pPr>
                      <w:rPr>
                        <w:rFonts w:ascii="Rockwell" w:eastAsia="Rockwell" w:hAnsi="Rockwell" w:cs="Rockwell"/>
                        <w:noProof/>
                        <w:color w:val="0078D7"/>
                        <w:sz w:val="18"/>
                        <w:szCs w:val="18"/>
                      </w:rPr>
                    </w:pPr>
                    <w:r w:rsidRPr="00B15EC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DB5F" w14:textId="7E01D976" w:rsidR="00B15EC8" w:rsidRDefault="00B15EC8">
    <w:pPr>
      <w:pStyle w:val="Footer"/>
    </w:pPr>
    <w:r>
      <w:rPr>
        <w:noProof/>
        <w14:ligatures w14:val="standardContextual"/>
      </w:rPr>
      <mc:AlternateContent>
        <mc:Choice Requires="wps">
          <w:drawing>
            <wp:anchor distT="0" distB="0" distL="0" distR="0" simplePos="0" relativeHeight="251658240" behindDoc="0" locked="0" layoutInCell="1" allowOverlap="1" wp14:anchorId="2800802D" wp14:editId="3EF2A499">
              <wp:simplePos x="1143000" y="9456420"/>
              <wp:positionH relativeFrom="page">
                <wp:align>left</wp:align>
              </wp:positionH>
              <wp:positionV relativeFrom="page">
                <wp:align>bottom</wp:align>
              </wp:positionV>
              <wp:extent cx="2085975" cy="459105"/>
              <wp:effectExtent l="0" t="0" r="9525" b="0"/>
              <wp:wrapNone/>
              <wp:docPr id="200158603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7AF9FF4C" w14:textId="63C3F068" w:rsidR="00B15EC8" w:rsidRPr="00B15EC8" w:rsidRDefault="00B15EC8" w:rsidP="00B15EC8">
                          <w:pPr>
                            <w:rPr>
                              <w:rFonts w:ascii="Rockwell" w:eastAsia="Rockwell" w:hAnsi="Rockwell" w:cs="Rockwell"/>
                              <w:noProof/>
                              <w:color w:val="0078D7"/>
                              <w:sz w:val="18"/>
                              <w:szCs w:val="18"/>
                            </w:rPr>
                          </w:pPr>
                          <w:r w:rsidRPr="00B15EC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00802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7AF9FF4C" w14:textId="63C3F068" w:rsidR="00B15EC8" w:rsidRPr="00B15EC8" w:rsidRDefault="00B15EC8" w:rsidP="00B15EC8">
                    <w:pPr>
                      <w:rPr>
                        <w:rFonts w:ascii="Rockwell" w:eastAsia="Rockwell" w:hAnsi="Rockwell" w:cs="Rockwell"/>
                        <w:noProof/>
                        <w:color w:val="0078D7"/>
                        <w:sz w:val="18"/>
                        <w:szCs w:val="18"/>
                      </w:rPr>
                    </w:pPr>
                    <w:r w:rsidRPr="00B15EC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930D" w14:textId="77777777" w:rsidR="00AC571A" w:rsidRDefault="00AC571A" w:rsidP="00B15EC8">
      <w:pPr>
        <w:spacing w:line="240" w:lineRule="auto"/>
      </w:pPr>
      <w:r>
        <w:separator/>
      </w:r>
    </w:p>
  </w:footnote>
  <w:footnote w:type="continuationSeparator" w:id="0">
    <w:p w14:paraId="4EB779F9" w14:textId="77777777" w:rsidR="00AC571A" w:rsidRDefault="00AC571A" w:rsidP="00B15E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25"/>
    <w:rsid w:val="00010143"/>
    <w:rsid w:val="00477C60"/>
    <w:rsid w:val="00497038"/>
    <w:rsid w:val="005C0D1A"/>
    <w:rsid w:val="00722553"/>
    <w:rsid w:val="007B6DD6"/>
    <w:rsid w:val="00AC571A"/>
    <w:rsid w:val="00B15EC8"/>
    <w:rsid w:val="00D37825"/>
    <w:rsid w:val="00F40212"/>
    <w:rsid w:val="00F6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DD48"/>
  <w15:chartTrackingRefBased/>
  <w15:docId w15:val="{B19D9018-65E4-A847-BE64-6FD80DBB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25"/>
    <w:pPr>
      <w:spacing w:line="480" w:lineRule="auto"/>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D37825"/>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7825"/>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7825"/>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7825"/>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37825"/>
    <w:pPr>
      <w:keepNext/>
      <w:keepLines/>
      <w:spacing w:before="80" w:after="40" w:line="240"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37825"/>
    <w:pPr>
      <w:keepNext/>
      <w:keepLines/>
      <w:spacing w:before="40" w:line="240"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37825"/>
    <w:pPr>
      <w:keepNext/>
      <w:keepLines/>
      <w:spacing w:before="40" w:line="240"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37825"/>
    <w:pPr>
      <w:keepNext/>
      <w:keepLines/>
      <w:spacing w:line="240"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37825"/>
    <w:pPr>
      <w:keepNext/>
      <w:keepLines/>
      <w:spacing w:line="240"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825"/>
    <w:rPr>
      <w:rFonts w:eastAsiaTheme="majorEastAsia" w:cstheme="majorBidi"/>
      <w:color w:val="272727" w:themeColor="text1" w:themeTint="D8"/>
    </w:rPr>
  </w:style>
  <w:style w:type="paragraph" w:styleId="Title">
    <w:name w:val="Title"/>
    <w:basedOn w:val="Normal"/>
    <w:next w:val="Normal"/>
    <w:link w:val="TitleChar"/>
    <w:uiPriority w:val="10"/>
    <w:qFormat/>
    <w:rsid w:val="00D378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7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825"/>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7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825"/>
    <w:pPr>
      <w:spacing w:before="160" w:after="160" w:line="240"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37825"/>
    <w:rPr>
      <w:i/>
      <w:iCs/>
      <w:color w:val="404040" w:themeColor="text1" w:themeTint="BF"/>
    </w:rPr>
  </w:style>
  <w:style w:type="paragraph" w:styleId="ListParagraph">
    <w:name w:val="List Paragraph"/>
    <w:basedOn w:val="Normal"/>
    <w:uiPriority w:val="34"/>
    <w:qFormat/>
    <w:rsid w:val="00D37825"/>
    <w:pPr>
      <w:spacing w:line="240"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D37825"/>
    <w:rPr>
      <w:i/>
      <w:iCs/>
      <w:color w:val="0F4761" w:themeColor="accent1" w:themeShade="BF"/>
    </w:rPr>
  </w:style>
  <w:style w:type="paragraph" w:styleId="IntenseQuote">
    <w:name w:val="Intense Quote"/>
    <w:basedOn w:val="Normal"/>
    <w:next w:val="Normal"/>
    <w:link w:val="IntenseQuoteChar"/>
    <w:uiPriority w:val="30"/>
    <w:qFormat/>
    <w:rsid w:val="00D3782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37825"/>
    <w:rPr>
      <w:i/>
      <w:iCs/>
      <w:color w:val="0F4761" w:themeColor="accent1" w:themeShade="BF"/>
    </w:rPr>
  </w:style>
  <w:style w:type="character" w:styleId="IntenseReference">
    <w:name w:val="Intense Reference"/>
    <w:basedOn w:val="DefaultParagraphFont"/>
    <w:uiPriority w:val="32"/>
    <w:qFormat/>
    <w:rsid w:val="00D37825"/>
    <w:rPr>
      <w:b/>
      <w:bCs/>
      <w:smallCaps/>
      <w:color w:val="0F4761" w:themeColor="accent1" w:themeShade="BF"/>
      <w:spacing w:val="5"/>
    </w:rPr>
  </w:style>
  <w:style w:type="character" w:styleId="CommentReference">
    <w:name w:val="annotation reference"/>
    <w:semiHidden/>
    <w:rsid w:val="00D37825"/>
    <w:rPr>
      <w:sz w:val="16"/>
      <w:szCs w:val="16"/>
    </w:rPr>
  </w:style>
  <w:style w:type="paragraph" w:styleId="CommentText">
    <w:name w:val="annotation text"/>
    <w:basedOn w:val="Normal"/>
    <w:link w:val="CommentTextChar"/>
    <w:semiHidden/>
    <w:rsid w:val="00D37825"/>
    <w:rPr>
      <w:szCs w:val="20"/>
    </w:rPr>
  </w:style>
  <w:style w:type="character" w:customStyle="1" w:styleId="CommentTextChar">
    <w:name w:val="Comment Text Char"/>
    <w:basedOn w:val="DefaultParagraphFont"/>
    <w:link w:val="CommentText"/>
    <w:semiHidden/>
    <w:rsid w:val="00D37825"/>
    <w:rPr>
      <w:rFonts w:ascii="Arial" w:eastAsia="Times New Roman" w:hAnsi="Arial" w:cs="Times New Roman"/>
      <w:kern w:val="0"/>
      <w:sz w:val="20"/>
      <w:szCs w:val="20"/>
      <w14:ligatures w14:val="none"/>
    </w:rPr>
  </w:style>
  <w:style w:type="table" w:styleId="TableGrid">
    <w:name w:val="Table Grid"/>
    <w:basedOn w:val="TableNormal"/>
    <w:uiPriority w:val="39"/>
    <w:rsid w:val="00D3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37825"/>
  </w:style>
  <w:style w:type="paragraph" w:styleId="Footer">
    <w:name w:val="footer"/>
    <w:basedOn w:val="Normal"/>
    <w:link w:val="FooterChar"/>
    <w:uiPriority w:val="99"/>
    <w:unhideWhenUsed/>
    <w:rsid w:val="00B15EC8"/>
    <w:pPr>
      <w:tabs>
        <w:tab w:val="center" w:pos="4513"/>
        <w:tab w:val="right" w:pos="9026"/>
      </w:tabs>
      <w:spacing w:line="240" w:lineRule="auto"/>
    </w:pPr>
  </w:style>
  <w:style w:type="character" w:customStyle="1" w:styleId="FooterChar">
    <w:name w:val="Footer Char"/>
    <w:basedOn w:val="DefaultParagraphFont"/>
    <w:link w:val="Footer"/>
    <w:uiPriority w:val="99"/>
    <w:rsid w:val="00B15EC8"/>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Bishop,Mark Donald</dc:creator>
  <cp:keywords/>
  <dc:description/>
  <cp:lastModifiedBy>Bartle, Claudia</cp:lastModifiedBy>
  <cp:revision>2</cp:revision>
  <dcterms:created xsi:type="dcterms:W3CDTF">2025-02-14T17:12:00Z</dcterms:created>
  <dcterms:modified xsi:type="dcterms:W3CDTF">2025-02-15T22:07:00Z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774dc774,116e0d92,3a1fa1b3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2025-02-15T22:07:58Z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6d89f2b7-4d00-49a9-a336-e7110f3d8ea2</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