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7A5A" w14:textId="5D3F41DA" w:rsidR="003B5047" w:rsidRPr="00085475" w:rsidRDefault="00F34B23" w:rsidP="003B5047">
      <w:pPr>
        <w:spacing w:line="480" w:lineRule="auto"/>
        <w:rPr>
          <w:rFonts w:ascii="Arial" w:eastAsia="Calibri" w:hAnsi="Arial" w:cs="Arial"/>
          <w:kern w:val="2"/>
          <w:sz w:val="20"/>
          <w:szCs w:val="20"/>
          <w:lang w:val="en-SG" w:eastAsia="en-US"/>
          <w14:ligatures w14:val="standardContextual"/>
        </w:rPr>
      </w:pPr>
      <w:r>
        <w:rPr>
          <w:rFonts w:ascii="Arial" w:eastAsia="Calibri" w:hAnsi="Arial" w:cs="Arial"/>
          <w:b/>
          <w:bCs/>
          <w:kern w:val="2"/>
          <w:sz w:val="20"/>
          <w:szCs w:val="20"/>
          <w:lang w:val="en-SG" w:eastAsia="en-US"/>
          <w14:ligatures w14:val="standardContextual"/>
        </w:rPr>
        <w:t xml:space="preserve">Table </w:t>
      </w:r>
      <w:r w:rsidR="00085475" w:rsidRPr="00085475">
        <w:rPr>
          <w:rFonts w:ascii="Arial" w:eastAsia="Calibri" w:hAnsi="Arial" w:cs="Arial"/>
          <w:b/>
          <w:bCs/>
          <w:kern w:val="2"/>
          <w:sz w:val="20"/>
          <w:szCs w:val="20"/>
          <w:lang w:val="en-SG" w:eastAsia="en-US"/>
          <w14:ligatures w14:val="standardContextual"/>
        </w:rPr>
        <w:t>S1</w:t>
      </w:r>
      <w:r w:rsidR="00085475" w:rsidRPr="00085475">
        <w:rPr>
          <w:rFonts w:ascii="Arial" w:eastAsia="Calibri" w:hAnsi="Arial" w:cs="Arial"/>
          <w:b/>
          <w:kern w:val="2"/>
          <w:sz w:val="20"/>
          <w:szCs w:val="20"/>
          <w:lang w:val="en-SG" w:eastAsia="en-US"/>
          <w14:ligatures w14:val="standardContextual"/>
        </w:rPr>
        <w:t xml:space="preserve"> </w:t>
      </w:r>
      <w:r w:rsidR="003B5047">
        <w:rPr>
          <w:rFonts w:ascii="Arial" w:eastAsia="Calibri" w:hAnsi="Arial" w:cs="Arial"/>
          <w:kern w:val="2"/>
          <w:sz w:val="20"/>
          <w:szCs w:val="20"/>
          <w:lang w:val="en-SG" w:eastAsia="en-US"/>
          <w14:ligatures w14:val="standardContextual"/>
        </w:rPr>
        <w:t>Expert panel profiles</w:t>
      </w:r>
    </w:p>
    <w:tbl>
      <w:tblPr>
        <w:tblStyle w:val="TableGrid"/>
        <w:tblW w:w="0" w:type="auto"/>
        <w:tblLook w:val="04A0" w:firstRow="1" w:lastRow="0" w:firstColumn="1" w:lastColumn="0" w:noHBand="0" w:noVBand="1"/>
      </w:tblPr>
      <w:tblGrid>
        <w:gridCol w:w="1678"/>
        <w:gridCol w:w="2141"/>
        <w:gridCol w:w="2264"/>
        <w:gridCol w:w="1777"/>
        <w:gridCol w:w="1490"/>
      </w:tblGrid>
      <w:tr w:rsidR="003B5047" w:rsidRPr="007146F4" w14:paraId="307428F1" w14:textId="77777777" w:rsidTr="001D5BD1">
        <w:trPr>
          <w:trHeight w:val="779"/>
        </w:trPr>
        <w:tc>
          <w:tcPr>
            <w:tcW w:w="0" w:type="auto"/>
            <w:hideMark/>
          </w:tcPr>
          <w:p w14:paraId="264BAEC1" w14:textId="77777777" w:rsidR="003B5047" w:rsidRPr="007146F4" w:rsidRDefault="003B5047" w:rsidP="001D5BD1">
            <w:pPr>
              <w:spacing w:after="160" w:line="480" w:lineRule="auto"/>
              <w:rPr>
                <w:rFonts w:ascii="Arial" w:eastAsia="Calibri" w:hAnsi="Arial" w:cs="Arial"/>
                <w:b/>
                <w:bCs/>
                <w:sz w:val="20"/>
                <w:szCs w:val="20"/>
              </w:rPr>
            </w:pPr>
            <w:r w:rsidRPr="007146F4">
              <w:rPr>
                <w:rFonts w:ascii="Arial" w:eastAsia="Calibri" w:hAnsi="Arial" w:cs="Arial"/>
                <w:b/>
                <w:bCs/>
                <w:sz w:val="20"/>
                <w:szCs w:val="20"/>
              </w:rPr>
              <w:t>Name</w:t>
            </w:r>
          </w:p>
        </w:tc>
        <w:tc>
          <w:tcPr>
            <w:tcW w:w="0" w:type="auto"/>
            <w:hideMark/>
          </w:tcPr>
          <w:p w14:paraId="407BF6B5" w14:textId="77777777" w:rsidR="003B5047" w:rsidRPr="007146F4" w:rsidRDefault="003B5047" w:rsidP="001D5BD1">
            <w:pPr>
              <w:spacing w:after="160" w:line="480" w:lineRule="auto"/>
              <w:rPr>
                <w:rFonts w:ascii="Arial" w:eastAsia="Calibri" w:hAnsi="Arial" w:cs="Arial"/>
                <w:b/>
                <w:bCs/>
                <w:sz w:val="20"/>
                <w:szCs w:val="20"/>
              </w:rPr>
            </w:pPr>
            <w:r w:rsidRPr="007146F4">
              <w:rPr>
                <w:rFonts w:ascii="Arial" w:eastAsia="Calibri" w:hAnsi="Arial" w:cs="Arial"/>
                <w:b/>
                <w:bCs/>
                <w:sz w:val="20"/>
                <w:szCs w:val="20"/>
              </w:rPr>
              <w:t>Specialty</w:t>
            </w:r>
          </w:p>
        </w:tc>
        <w:tc>
          <w:tcPr>
            <w:tcW w:w="0" w:type="auto"/>
            <w:hideMark/>
          </w:tcPr>
          <w:p w14:paraId="6EB45A5D" w14:textId="77777777" w:rsidR="003B5047" w:rsidRPr="007146F4" w:rsidRDefault="003B5047" w:rsidP="001D5BD1">
            <w:pPr>
              <w:spacing w:after="160" w:line="480" w:lineRule="auto"/>
              <w:rPr>
                <w:rFonts w:ascii="Arial" w:eastAsia="Calibri" w:hAnsi="Arial" w:cs="Arial"/>
                <w:b/>
                <w:bCs/>
                <w:sz w:val="20"/>
                <w:szCs w:val="20"/>
              </w:rPr>
            </w:pPr>
            <w:r w:rsidRPr="007146F4">
              <w:rPr>
                <w:rFonts w:ascii="Arial" w:eastAsia="Calibri" w:hAnsi="Arial" w:cs="Arial"/>
                <w:b/>
                <w:bCs/>
                <w:sz w:val="20"/>
                <w:szCs w:val="20"/>
              </w:rPr>
              <w:t>Qualification</w:t>
            </w:r>
          </w:p>
        </w:tc>
        <w:tc>
          <w:tcPr>
            <w:tcW w:w="0" w:type="auto"/>
            <w:hideMark/>
          </w:tcPr>
          <w:p w14:paraId="17FB8F1C" w14:textId="77777777" w:rsidR="003B5047" w:rsidRPr="007146F4" w:rsidRDefault="003B5047" w:rsidP="001D5BD1">
            <w:pPr>
              <w:spacing w:after="160" w:line="480" w:lineRule="auto"/>
              <w:rPr>
                <w:rFonts w:ascii="Arial" w:eastAsia="Calibri" w:hAnsi="Arial" w:cs="Arial"/>
                <w:b/>
                <w:bCs/>
                <w:sz w:val="20"/>
                <w:szCs w:val="20"/>
              </w:rPr>
            </w:pPr>
            <w:r w:rsidRPr="007146F4">
              <w:rPr>
                <w:rFonts w:ascii="Arial" w:eastAsia="Calibri" w:hAnsi="Arial" w:cs="Arial"/>
                <w:b/>
                <w:bCs/>
                <w:sz w:val="20"/>
                <w:szCs w:val="20"/>
              </w:rPr>
              <w:t>Affiliation</w:t>
            </w:r>
          </w:p>
        </w:tc>
        <w:tc>
          <w:tcPr>
            <w:tcW w:w="0" w:type="auto"/>
            <w:hideMark/>
          </w:tcPr>
          <w:p w14:paraId="28ADD940" w14:textId="77777777" w:rsidR="003B5047" w:rsidRPr="007146F4" w:rsidRDefault="003B5047" w:rsidP="001D5BD1">
            <w:pPr>
              <w:spacing w:after="160" w:line="480" w:lineRule="auto"/>
              <w:rPr>
                <w:rFonts w:ascii="Arial" w:eastAsia="Calibri" w:hAnsi="Arial" w:cs="Arial"/>
                <w:b/>
                <w:bCs/>
                <w:sz w:val="20"/>
                <w:szCs w:val="20"/>
              </w:rPr>
            </w:pPr>
            <w:r w:rsidRPr="007146F4">
              <w:rPr>
                <w:rFonts w:ascii="Arial" w:eastAsia="Calibri" w:hAnsi="Arial" w:cs="Arial"/>
                <w:b/>
                <w:bCs/>
                <w:sz w:val="20"/>
                <w:szCs w:val="20"/>
              </w:rPr>
              <w:t>Years of experience</w:t>
            </w:r>
          </w:p>
        </w:tc>
      </w:tr>
      <w:tr w:rsidR="003B5047" w:rsidRPr="007146F4" w14:paraId="17915427" w14:textId="77777777" w:rsidTr="001D5BD1">
        <w:trPr>
          <w:trHeight w:val="332"/>
        </w:trPr>
        <w:tc>
          <w:tcPr>
            <w:tcW w:w="0" w:type="auto"/>
            <w:hideMark/>
          </w:tcPr>
          <w:p w14:paraId="73538455"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Natalie Schellack</w:t>
            </w:r>
          </w:p>
        </w:tc>
        <w:tc>
          <w:tcPr>
            <w:tcW w:w="0" w:type="auto"/>
            <w:hideMark/>
          </w:tcPr>
          <w:p w14:paraId="6608A876"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Pharmacology</w:t>
            </w:r>
          </w:p>
        </w:tc>
        <w:tc>
          <w:tcPr>
            <w:tcW w:w="0" w:type="auto"/>
            <w:hideMark/>
          </w:tcPr>
          <w:p w14:paraId="7533B32C" w14:textId="374DB862"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 Ph</w:t>
            </w:r>
            <w:r w:rsidR="003A4654">
              <w:rPr>
                <w:rFonts w:ascii="Arial" w:eastAsia="Calibri" w:hAnsi="Arial" w:cs="Arial"/>
                <w:sz w:val="20"/>
                <w:szCs w:val="20"/>
              </w:rPr>
              <w:t>.</w:t>
            </w:r>
            <w:r w:rsidRPr="007146F4">
              <w:rPr>
                <w:rFonts w:ascii="Arial" w:eastAsia="Calibri" w:hAnsi="Arial" w:cs="Arial"/>
                <w:sz w:val="20"/>
                <w:szCs w:val="20"/>
              </w:rPr>
              <w:t>D</w:t>
            </w:r>
            <w:r w:rsidR="003A4654">
              <w:rPr>
                <w:rFonts w:ascii="Arial" w:eastAsia="Calibri" w:hAnsi="Arial" w:cs="Arial"/>
                <w:sz w:val="20"/>
                <w:szCs w:val="20"/>
              </w:rPr>
              <w:t xml:space="preserve">. </w:t>
            </w:r>
            <w:r w:rsidRPr="007146F4">
              <w:rPr>
                <w:rFonts w:ascii="Arial" w:eastAsia="Calibri" w:hAnsi="Arial" w:cs="Arial"/>
                <w:sz w:val="20"/>
                <w:szCs w:val="20"/>
              </w:rPr>
              <w:t>(Pharmacy)</w:t>
            </w:r>
          </w:p>
        </w:tc>
        <w:tc>
          <w:tcPr>
            <w:tcW w:w="0" w:type="auto"/>
            <w:hideMark/>
          </w:tcPr>
          <w:p w14:paraId="5B6D85EF"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University of Pretoria</w:t>
            </w:r>
          </w:p>
        </w:tc>
        <w:tc>
          <w:tcPr>
            <w:tcW w:w="0" w:type="auto"/>
            <w:hideMark/>
          </w:tcPr>
          <w:p w14:paraId="13B811D8" w14:textId="12E1F008" w:rsidR="003B5047" w:rsidRPr="007146F4" w:rsidRDefault="003B5047" w:rsidP="0052341D">
            <w:pPr>
              <w:spacing w:after="160" w:line="480" w:lineRule="auto"/>
              <w:jc w:val="center"/>
              <w:rPr>
                <w:rFonts w:ascii="Arial" w:eastAsia="Calibri" w:hAnsi="Arial" w:cs="Arial"/>
                <w:sz w:val="20"/>
                <w:szCs w:val="20"/>
              </w:rPr>
            </w:pPr>
            <w:r w:rsidRPr="007146F4">
              <w:rPr>
                <w:rFonts w:ascii="Arial" w:eastAsia="Calibri" w:hAnsi="Arial" w:cs="Arial"/>
                <w:sz w:val="20"/>
                <w:szCs w:val="20"/>
              </w:rPr>
              <w:t>24 years</w:t>
            </w:r>
          </w:p>
        </w:tc>
      </w:tr>
      <w:tr w:rsidR="003B5047" w:rsidRPr="007146F4" w14:paraId="17D13998" w14:textId="77777777" w:rsidTr="001D5BD1">
        <w:trPr>
          <w:trHeight w:val="313"/>
        </w:trPr>
        <w:tc>
          <w:tcPr>
            <w:tcW w:w="0" w:type="auto"/>
            <w:hideMark/>
          </w:tcPr>
          <w:p w14:paraId="3D5616FD" w14:textId="77777777" w:rsidR="003B5047" w:rsidRPr="007146F4" w:rsidRDefault="003B5047" w:rsidP="001D5BD1">
            <w:pPr>
              <w:spacing w:after="160" w:line="480" w:lineRule="auto"/>
              <w:rPr>
                <w:rFonts w:ascii="Arial" w:eastAsia="Calibri" w:hAnsi="Arial" w:cs="Arial"/>
                <w:sz w:val="20"/>
                <w:szCs w:val="20"/>
              </w:rPr>
            </w:pPr>
            <w:proofErr w:type="spellStart"/>
            <w:r w:rsidRPr="007146F4">
              <w:rPr>
                <w:rFonts w:ascii="Arial" w:eastAsia="Calibri" w:hAnsi="Arial" w:cs="Arial"/>
                <w:sz w:val="20"/>
                <w:szCs w:val="20"/>
              </w:rPr>
              <w:t>Kitiyot</w:t>
            </w:r>
            <w:proofErr w:type="spellEnd"/>
            <w:r w:rsidRPr="007146F4">
              <w:rPr>
                <w:rFonts w:ascii="Arial" w:eastAsia="Calibri" w:hAnsi="Arial" w:cs="Arial"/>
                <w:sz w:val="20"/>
                <w:szCs w:val="20"/>
              </w:rPr>
              <w:t xml:space="preserve"> </w:t>
            </w:r>
            <w:proofErr w:type="spellStart"/>
            <w:r w:rsidRPr="007146F4">
              <w:rPr>
                <w:rFonts w:ascii="Arial" w:eastAsia="Calibri" w:hAnsi="Arial" w:cs="Arial"/>
                <w:sz w:val="20"/>
                <w:szCs w:val="20"/>
              </w:rPr>
              <w:t>Yotsombut</w:t>
            </w:r>
            <w:proofErr w:type="spellEnd"/>
          </w:p>
        </w:tc>
        <w:tc>
          <w:tcPr>
            <w:tcW w:w="0" w:type="auto"/>
            <w:hideMark/>
          </w:tcPr>
          <w:p w14:paraId="2ABCB1F1"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Pharmacy Practice</w:t>
            </w:r>
          </w:p>
        </w:tc>
        <w:tc>
          <w:tcPr>
            <w:tcW w:w="0" w:type="auto"/>
            <w:hideMark/>
          </w:tcPr>
          <w:p w14:paraId="24032FB6" w14:textId="1B975FB8"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Ph</w:t>
            </w:r>
            <w:r w:rsidR="003A4654">
              <w:rPr>
                <w:rFonts w:ascii="Arial" w:eastAsia="Calibri" w:hAnsi="Arial" w:cs="Arial"/>
                <w:sz w:val="20"/>
                <w:szCs w:val="20"/>
              </w:rPr>
              <w:t>.</w:t>
            </w:r>
            <w:r w:rsidRPr="007146F4">
              <w:rPr>
                <w:rFonts w:ascii="Arial" w:eastAsia="Calibri" w:hAnsi="Arial" w:cs="Arial"/>
                <w:sz w:val="20"/>
                <w:szCs w:val="20"/>
              </w:rPr>
              <w:t>D</w:t>
            </w:r>
            <w:r w:rsidR="003A4654">
              <w:rPr>
                <w:rFonts w:ascii="Arial" w:eastAsia="Calibri" w:hAnsi="Arial" w:cs="Arial"/>
                <w:sz w:val="20"/>
                <w:szCs w:val="20"/>
              </w:rPr>
              <w:t>.</w:t>
            </w:r>
            <w:r w:rsidRPr="007146F4">
              <w:rPr>
                <w:rFonts w:ascii="Arial" w:eastAsia="Calibri" w:hAnsi="Arial" w:cs="Arial"/>
                <w:sz w:val="20"/>
                <w:szCs w:val="20"/>
              </w:rPr>
              <w:t xml:space="preserve"> (</w:t>
            </w:r>
            <w:r w:rsidR="00460C98" w:rsidRPr="00D11E26">
              <w:rPr>
                <w:rFonts w:ascii="Arial" w:eastAsia="Calibri" w:hAnsi="Arial" w:cs="Arial"/>
                <w:sz w:val="20"/>
                <w:szCs w:val="20"/>
              </w:rPr>
              <w:t>Social and Administrative Pharmacy</w:t>
            </w:r>
            <w:r w:rsidRPr="007146F4">
              <w:rPr>
                <w:rFonts w:ascii="Arial" w:eastAsia="Calibri" w:hAnsi="Arial" w:cs="Arial"/>
                <w:sz w:val="20"/>
                <w:szCs w:val="20"/>
              </w:rPr>
              <w:t>)</w:t>
            </w:r>
            <w:r w:rsidRPr="007146F4">
              <w:rPr>
                <w:rFonts w:ascii="Arial" w:eastAsia="Calibri" w:hAnsi="Arial" w:cs="Arial"/>
                <w:sz w:val="20"/>
                <w:szCs w:val="20"/>
              </w:rPr>
              <w:br/>
              <w:t>M.</w:t>
            </w:r>
            <w:r w:rsidR="003A4654">
              <w:rPr>
                <w:rFonts w:ascii="Arial" w:eastAsia="Calibri" w:hAnsi="Arial" w:cs="Arial"/>
                <w:sz w:val="20"/>
                <w:szCs w:val="20"/>
              </w:rPr>
              <w:t xml:space="preserve"> </w:t>
            </w:r>
            <w:r w:rsidRPr="007146F4">
              <w:rPr>
                <w:rFonts w:ascii="Arial" w:eastAsia="Calibri" w:hAnsi="Arial" w:cs="Arial"/>
                <w:sz w:val="20"/>
                <w:szCs w:val="20"/>
              </w:rPr>
              <w:t>Pharm (Clinical Pharmacy)</w:t>
            </w:r>
          </w:p>
        </w:tc>
        <w:tc>
          <w:tcPr>
            <w:tcW w:w="0" w:type="auto"/>
            <w:hideMark/>
          </w:tcPr>
          <w:p w14:paraId="294A25B2"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Chulalongkorn University </w:t>
            </w:r>
          </w:p>
        </w:tc>
        <w:tc>
          <w:tcPr>
            <w:tcW w:w="0" w:type="auto"/>
            <w:hideMark/>
          </w:tcPr>
          <w:p w14:paraId="1C94E992" w14:textId="00C21DE1" w:rsidR="003B5047" w:rsidRPr="007146F4" w:rsidRDefault="003B5047" w:rsidP="0052341D">
            <w:pPr>
              <w:spacing w:after="160" w:line="480" w:lineRule="auto"/>
              <w:jc w:val="center"/>
              <w:rPr>
                <w:rFonts w:ascii="Arial" w:eastAsia="Calibri" w:hAnsi="Arial" w:cs="Arial"/>
                <w:sz w:val="20"/>
                <w:szCs w:val="20"/>
              </w:rPr>
            </w:pPr>
            <w:r w:rsidRPr="007146F4">
              <w:rPr>
                <w:rFonts w:ascii="Arial" w:eastAsia="Calibri" w:hAnsi="Arial" w:cs="Arial"/>
                <w:sz w:val="20"/>
                <w:szCs w:val="20"/>
              </w:rPr>
              <w:t>18 years</w:t>
            </w:r>
          </w:p>
        </w:tc>
      </w:tr>
      <w:tr w:rsidR="003B5047" w:rsidRPr="007146F4" w14:paraId="78EC102E" w14:textId="77777777" w:rsidTr="001D5BD1">
        <w:trPr>
          <w:trHeight w:val="332"/>
        </w:trPr>
        <w:tc>
          <w:tcPr>
            <w:tcW w:w="0" w:type="auto"/>
            <w:hideMark/>
          </w:tcPr>
          <w:p w14:paraId="509B2E7F"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Arman Sabet</w:t>
            </w:r>
          </w:p>
        </w:tc>
        <w:tc>
          <w:tcPr>
            <w:tcW w:w="0" w:type="auto"/>
            <w:hideMark/>
          </w:tcPr>
          <w:p w14:paraId="6C539367"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Neurology</w:t>
            </w:r>
          </w:p>
        </w:tc>
        <w:tc>
          <w:tcPr>
            <w:tcW w:w="0" w:type="auto"/>
            <w:hideMark/>
          </w:tcPr>
          <w:p w14:paraId="5D4ACB61"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M.D. (Medicine)</w:t>
            </w:r>
          </w:p>
        </w:tc>
        <w:tc>
          <w:tcPr>
            <w:tcW w:w="0" w:type="auto"/>
            <w:hideMark/>
          </w:tcPr>
          <w:p w14:paraId="196936E9"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Griffith University</w:t>
            </w:r>
          </w:p>
        </w:tc>
        <w:tc>
          <w:tcPr>
            <w:tcW w:w="0" w:type="auto"/>
            <w:hideMark/>
          </w:tcPr>
          <w:p w14:paraId="746C46FB" w14:textId="77777777" w:rsidR="003B5047" w:rsidRPr="007146F4" w:rsidRDefault="003B5047" w:rsidP="0052341D">
            <w:pPr>
              <w:spacing w:after="160" w:line="480" w:lineRule="auto"/>
              <w:jc w:val="center"/>
              <w:rPr>
                <w:rFonts w:ascii="Arial" w:eastAsia="Calibri" w:hAnsi="Arial" w:cs="Arial"/>
                <w:sz w:val="20"/>
                <w:szCs w:val="20"/>
              </w:rPr>
            </w:pPr>
            <w:r w:rsidRPr="007146F4">
              <w:rPr>
                <w:rFonts w:ascii="Arial" w:eastAsia="Calibri" w:hAnsi="Arial" w:cs="Arial"/>
                <w:sz w:val="20"/>
                <w:szCs w:val="20"/>
              </w:rPr>
              <w:t>28 years</w:t>
            </w:r>
          </w:p>
        </w:tc>
      </w:tr>
      <w:tr w:rsidR="003B5047" w:rsidRPr="007146F4" w14:paraId="26C6B913" w14:textId="77777777" w:rsidTr="001D5BD1">
        <w:trPr>
          <w:trHeight w:val="274"/>
        </w:trPr>
        <w:tc>
          <w:tcPr>
            <w:tcW w:w="0" w:type="auto"/>
            <w:hideMark/>
          </w:tcPr>
          <w:p w14:paraId="13359E70"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 xml:space="preserve">Jalal </w:t>
            </w:r>
            <w:proofErr w:type="spellStart"/>
            <w:r w:rsidRPr="007146F4">
              <w:rPr>
                <w:rFonts w:ascii="Arial" w:eastAsia="Calibri" w:hAnsi="Arial" w:cs="Arial"/>
                <w:sz w:val="20"/>
                <w:szCs w:val="20"/>
              </w:rPr>
              <w:t>Nafach</w:t>
            </w:r>
            <w:proofErr w:type="spellEnd"/>
          </w:p>
        </w:tc>
        <w:tc>
          <w:tcPr>
            <w:tcW w:w="0" w:type="auto"/>
            <w:hideMark/>
          </w:tcPr>
          <w:p w14:paraId="0B0BED8E" w14:textId="5702EBE2"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Diabetes, Endocrinology and Metabolis</w:t>
            </w:r>
            <w:r w:rsidR="008C14E3">
              <w:rPr>
                <w:rFonts w:ascii="Arial" w:eastAsia="Calibri" w:hAnsi="Arial" w:cs="Arial"/>
                <w:sz w:val="20"/>
                <w:szCs w:val="20"/>
              </w:rPr>
              <w:t>m</w:t>
            </w:r>
          </w:p>
        </w:tc>
        <w:tc>
          <w:tcPr>
            <w:tcW w:w="0" w:type="auto"/>
            <w:hideMark/>
          </w:tcPr>
          <w:p w14:paraId="63A52345"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M.D.(Medicine)</w:t>
            </w:r>
          </w:p>
        </w:tc>
        <w:tc>
          <w:tcPr>
            <w:tcW w:w="0" w:type="auto"/>
            <w:hideMark/>
          </w:tcPr>
          <w:p w14:paraId="5147013B" w14:textId="77777777" w:rsidR="003B5047" w:rsidRPr="007146F4" w:rsidRDefault="003B5047" w:rsidP="001D5BD1">
            <w:pPr>
              <w:spacing w:after="160" w:line="480" w:lineRule="auto"/>
              <w:rPr>
                <w:rFonts w:ascii="Arial" w:eastAsia="Calibri" w:hAnsi="Arial" w:cs="Arial"/>
                <w:sz w:val="20"/>
                <w:szCs w:val="20"/>
              </w:rPr>
            </w:pPr>
            <w:r w:rsidRPr="007146F4">
              <w:rPr>
                <w:rFonts w:ascii="Arial" w:eastAsia="Calibri" w:hAnsi="Arial" w:cs="Arial"/>
                <w:sz w:val="20"/>
                <w:szCs w:val="20"/>
              </w:rPr>
              <w:t>Dubai Diabetes Centre</w:t>
            </w:r>
          </w:p>
        </w:tc>
        <w:tc>
          <w:tcPr>
            <w:tcW w:w="0" w:type="auto"/>
            <w:hideMark/>
          </w:tcPr>
          <w:p w14:paraId="2C07153E" w14:textId="3200F258" w:rsidR="003B5047" w:rsidRPr="007146F4" w:rsidRDefault="003B5047" w:rsidP="0052341D">
            <w:pPr>
              <w:spacing w:after="160" w:line="480" w:lineRule="auto"/>
              <w:jc w:val="center"/>
              <w:rPr>
                <w:rFonts w:ascii="Arial" w:eastAsia="Calibri" w:hAnsi="Arial" w:cs="Arial"/>
                <w:sz w:val="20"/>
                <w:szCs w:val="20"/>
              </w:rPr>
            </w:pPr>
            <w:r w:rsidRPr="007146F4">
              <w:rPr>
                <w:rFonts w:ascii="Arial" w:eastAsia="Calibri" w:hAnsi="Arial" w:cs="Arial"/>
                <w:sz w:val="20"/>
                <w:szCs w:val="20"/>
              </w:rPr>
              <w:t>2</w:t>
            </w:r>
            <w:r w:rsidR="009B08FF">
              <w:rPr>
                <w:rFonts w:ascii="Arial" w:eastAsia="Calibri" w:hAnsi="Arial" w:cs="Arial"/>
                <w:sz w:val="20"/>
                <w:szCs w:val="20"/>
              </w:rPr>
              <w:t>3</w:t>
            </w:r>
            <w:r w:rsidRPr="007146F4">
              <w:rPr>
                <w:rFonts w:ascii="Arial" w:eastAsia="Calibri" w:hAnsi="Arial" w:cs="Arial"/>
                <w:sz w:val="20"/>
                <w:szCs w:val="20"/>
              </w:rPr>
              <w:t xml:space="preserve"> years</w:t>
            </w:r>
          </w:p>
        </w:tc>
      </w:tr>
      <w:tr w:rsidR="003B5047" w:rsidRPr="007146F4" w14:paraId="419DC4FF" w14:textId="77777777" w:rsidTr="001D5BD1">
        <w:trPr>
          <w:trHeight w:val="313"/>
        </w:trPr>
        <w:tc>
          <w:tcPr>
            <w:tcW w:w="0" w:type="auto"/>
            <w:hideMark/>
          </w:tcPr>
          <w:p w14:paraId="30B6E7AB" w14:textId="77777777" w:rsidR="003B5047" w:rsidRPr="0059707C" w:rsidRDefault="003B5047" w:rsidP="001D5BD1">
            <w:pPr>
              <w:spacing w:after="160" w:line="480" w:lineRule="auto"/>
              <w:rPr>
                <w:rFonts w:ascii="Arial" w:eastAsia="Calibri" w:hAnsi="Arial" w:cs="Arial"/>
                <w:sz w:val="20"/>
                <w:szCs w:val="20"/>
              </w:rPr>
            </w:pPr>
            <w:r w:rsidRPr="0059707C">
              <w:rPr>
                <w:rFonts w:ascii="Arial" w:eastAsia="Calibri" w:hAnsi="Arial" w:cs="Arial"/>
                <w:sz w:val="20"/>
                <w:szCs w:val="20"/>
              </w:rPr>
              <w:t>Fu Liong Hiew</w:t>
            </w:r>
          </w:p>
        </w:tc>
        <w:tc>
          <w:tcPr>
            <w:tcW w:w="0" w:type="auto"/>
            <w:hideMark/>
          </w:tcPr>
          <w:p w14:paraId="73E255D2" w14:textId="77777777" w:rsidR="003B5047" w:rsidRPr="0059707C" w:rsidRDefault="003B5047" w:rsidP="001D5BD1">
            <w:pPr>
              <w:spacing w:after="160" w:line="480" w:lineRule="auto"/>
              <w:rPr>
                <w:rFonts w:ascii="Arial" w:eastAsia="Calibri" w:hAnsi="Arial" w:cs="Arial"/>
                <w:sz w:val="20"/>
                <w:szCs w:val="20"/>
              </w:rPr>
            </w:pPr>
            <w:r w:rsidRPr="0059707C">
              <w:rPr>
                <w:rFonts w:ascii="Arial" w:eastAsia="Calibri" w:hAnsi="Arial" w:cs="Arial"/>
                <w:sz w:val="20"/>
                <w:szCs w:val="20"/>
              </w:rPr>
              <w:t>Neurology</w:t>
            </w:r>
          </w:p>
        </w:tc>
        <w:tc>
          <w:tcPr>
            <w:tcW w:w="0" w:type="auto"/>
            <w:hideMark/>
          </w:tcPr>
          <w:p w14:paraId="4D035D2A" w14:textId="3BAEC8CC" w:rsidR="003B5047" w:rsidRPr="0059707C" w:rsidRDefault="003B5047" w:rsidP="001D5BD1">
            <w:pPr>
              <w:spacing w:after="160" w:line="480" w:lineRule="auto"/>
              <w:rPr>
                <w:rFonts w:ascii="Arial" w:eastAsia="Calibri" w:hAnsi="Arial" w:cs="Arial"/>
                <w:sz w:val="20"/>
                <w:szCs w:val="20"/>
              </w:rPr>
            </w:pPr>
            <w:r w:rsidRPr="0059707C">
              <w:rPr>
                <w:rFonts w:ascii="Arial" w:eastAsia="Calibri" w:hAnsi="Arial" w:cs="Arial"/>
                <w:sz w:val="20"/>
                <w:szCs w:val="20"/>
              </w:rPr>
              <w:t>MBBS</w:t>
            </w:r>
            <w:r w:rsidR="0059707C" w:rsidRPr="0059707C">
              <w:rPr>
                <w:rFonts w:ascii="Arial" w:eastAsia="Calibri" w:hAnsi="Arial" w:cs="Arial"/>
                <w:sz w:val="20"/>
                <w:szCs w:val="20"/>
              </w:rPr>
              <w:t xml:space="preserve"> </w:t>
            </w:r>
            <w:r w:rsidRPr="0059707C">
              <w:rPr>
                <w:rFonts w:ascii="Arial" w:eastAsia="Calibri" w:hAnsi="Arial" w:cs="Arial"/>
                <w:sz w:val="20"/>
                <w:szCs w:val="20"/>
              </w:rPr>
              <w:t xml:space="preserve">(IMU) </w:t>
            </w:r>
            <w:r w:rsidRPr="0059707C">
              <w:rPr>
                <w:rFonts w:ascii="Arial" w:eastAsia="Calibri" w:hAnsi="Arial" w:cs="Arial"/>
                <w:sz w:val="20"/>
                <w:szCs w:val="20"/>
              </w:rPr>
              <w:br/>
            </w:r>
            <w:proofErr w:type="spellStart"/>
            <w:r w:rsidRPr="0059707C">
              <w:rPr>
                <w:rFonts w:ascii="Arial" w:eastAsia="Calibri" w:hAnsi="Arial" w:cs="Arial"/>
                <w:sz w:val="20"/>
                <w:szCs w:val="20"/>
              </w:rPr>
              <w:t>MMed</w:t>
            </w:r>
            <w:proofErr w:type="spellEnd"/>
            <w:r w:rsidR="0059707C" w:rsidRPr="0059707C">
              <w:rPr>
                <w:rFonts w:ascii="Arial" w:eastAsia="Calibri" w:hAnsi="Arial" w:cs="Arial"/>
                <w:sz w:val="20"/>
                <w:szCs w:val="20"/>
              </w:rPr>
              <w:t xml:space="preserve"> </w:t>
            </w:r>
            <w:r w:rsidRPr="0059707C">
              <w:rPr>
                <w:rFonts w:ascii="Arial" w:eastAsia="Calibri" w:hAnsi="Arial" w:cs="Arial"/>
                <w:sz w:val="20"/>
                <w:szCs w:val="20"/>
              </w:rPr>
              <w:t>(</w:t>
            </w:r>
            <w:proofErr w:type="spellStart"/>
            <w:r w:rsidRPr="0059707C">
              <w:rPr>
                <w:rFonts w:ascii="Arial" w:eastAsia="Calibri" w:hAnsi="Arial" w:cs="Arial"/>
                <w:sz w:val="20"/>
                <w:szCs w:val="20"/>
              </w:rPr>
              <w:t>S’Pore</w:t>
            </w:r>
            <w:proofErr w:type="spellEnd"/>
            <w:r w:rsidRPr="0059707C">
              <w:rPr>
                <w:rFonts w:ascii="Arial" w:eastAsia="Calibri" w:hAnsi="Arial" w:cs="Arial"/>
                <w:sz w:val="20"/>
                <w:szCs w:val="20"/>
              </w:rPr>
              <w:t xml:space="preserve">) </w:t>
            </w:r>
            <w:r w:rsidRPr="0059707C">
              <w:rPr>
                <w:rFonts w:ascii="Arial" w:eastAsia="Calibri" w:hAnsi="Arial" w:cs="Arial"/>
                <w:sz w:val="20"/>
                <w:szCs w:val="20"/>
              </w:rPr>
              <w:br/>
              <w:t>MRCP</w:t>
            </w:r>
            <w:r w:rsidR="0059707C" w:rsidRPr="0059707C">
              <w:rPr>
                <w:rFonts w:ascii="Arial" w:eastAsia="Calibri" w:hAnsi="Arial" w:cs="Arial"/>
                <w:sz w:val="20"/>
                <w:szCs w:val="20"/>
              </w:rPr>
              <w:t xml:space="preserve"> </w:t>
            </w:r>
            <w:r w:rsidRPr="0059707C">
              <w:rPr>
                <w:rFonts w:ascii="Arial" w:eastAsia="Calibri" w:hAnsi="Arial" w:cs="Arial"/>
                <w:sz w:val="20"/>
                <w:szCs w:val="20"/>
              </w:rPr>
              <w:t>(UK)</w:t>
            </w:r>
          </w:p>
        </w:tc>
        <w:tc>
          <w:tcPr>
            <w:tcW w:w="0" w:type="auto"/>
            <w:hideMark/>
          </w:tcPr>
          <w:p w14:paraId="1519E21C" w14:textId="77777777" w:rsidR="003B5047" w:rsidRPr="0059707C" w:rsidRDefault="003B5047" w:rsidP="001D5BD1">
            <w:pPr>
              <w:spacing w:after="160" w:line="480" w:lineRule="auto"/>
              <w:rPr>
                <w:rFonts w:ascii="Arial" w:eastAsia="Calibri" w:hAnsi="Arial" w:cs="Arial"/>
                <w:sz w:val="20"/>
                <w:szCs w:val="20"/>
              </w:rPr>
            </w:pPr>
            <w:r w:rsidRPr="0059707C">
              <w:rPr>
                <w:rFonts w:ascii="Arial" w:eastAsia="Calibri" w:hAnsi="Arial" w:cs="Arial"/>
                <w:sz w:val="20"/>
                <w:szCs w:val="20"/>
              </w:rPr>
              <w:t>Sunway Medical Centre</w:t>
            </w:r>
          </w:p>
        </w:tc>
        <w:tc>
          <w:tcPr>
            <w:tcW w:w="0" w:type="auto"/>
            <w:hideMark/>
          </w:tcPr>
          <w:p w14:paraId="1D041B73" w14:textId="695DD6E2" w:rsidR="003B5047" w:rsidRPr="0059707C" w:rsidRDefault="003B5047" w:rsidP="0052341D">
            <w:pPr>
              <w:spacing w:after="160" w:line="480" w:lineRule="auto"/>
              <w:jc w:val="center"/>
              <w:rPr>
                <w:rFonts w:ascii="Arial" w:eastAsia="Calibri" w:hAnsi="Arial" w:cs="Arial"/>
                <w:sz w:val="20"/>
                <w:szCs w:val="20"/>
              </w:rPr>
            </w:pPr>
            <w:r w:rsidRPr="0059707C">
              <w:rPr>
                <w:rFonts w:ascii="Arial" w:eastAsia="Calibri" w:hAnsi="Arial" w:cs="Arial"/>
                <w:sz w:val="20"/>
                <w:szCs w:val="20"/>
              </w:rPr>
              <w:t>18 years</w:t>
            </w:r>
          </w:p>
        </w:tc>
      </w:tr>
      <w:tr w:rsidR="00974EE4" w:rsidRPr="007146F4" w14:paraId="27DFFA7F" w14:textId="77777777" w:rsidTr="00974EE4">
        <w:trPr>
          <w:trHeight w:val="313"/>
        </w:trPr>
        <w:tc>
          <w:tcPr>
            <w:tcW w:w="0" w:type="auto"/>
            <w:vAlign w:val="center"/>
            <w:hideMark/>
          </w:tcPr>
          <w:p w14:paraId="5C9B49A5" w14:textId="55DEA244" w:rsidR="00974EE4" w:rsidRPr="007146F4" w:rsidRDefault="00974EE4" w:rsidP="00974EE4">
            <w:pPr>
              <w:spacing w:after="160" w:line="480" w:lineRule="auto"/>
              <w:rPr>
                <w:rFonts w:ascii="Arial" w:eastAsia="Calibri" w:hAnsi="Arial" w:cs="Arial"/>
                <w:sz w:val="20"/>
                <w:szCs w:val="20"/>
              </w:rPr>
            </w:pPr>
            <w:proofErr w:type="spellStart"/>
            <w:r w:rsidRPr="007146F4">
              <w:rPr>
                <w:rFonts w:ascii="Arial" w:eastAsia="Calibri" w:hAnsi="Arial" w:cs="Arial"/>
                <w:sz w:val="20"/>
                <w:szCs w:val="20"/>
              </w:rPr>
              <w:t>Kongkiat</w:t>
            </w:r>
            <w:proofErr w:type="spellEnd"/>
            <w:r w:rsidRPr="007146F4">
              <w:rPr>
                <w:rFonts w:ascii="Arial" w:eastAsia="Calibri" w:hAnsi="Arial" w:cs="Arial"/>
                <w:sz w:val="20"/>
                <w:szCs w:val="20"/>
              </w:rPr>
              <w:t xml:space="preserve"> </w:t>
            </w:r>
            <w:proofErr w:type="spellStart"/>
            <w:r w:rsidRPr="007146F4">
              <w:rPr>
                <w:rFonts w:ascii="Arial" w:eastAsia="Calibri" w:hAnsi="Arial" w:cs="Arial"/>
                <w:sz w:val="20"/>
                <w:szCs w:val="20"/>
              </w:rPr>
              <w:t>Kulkantrakorn</w:t>
            </w:r>
            <w:proofErr w:type="spellEnd"/>
          </w:p>
        </w:tc>
        <w:tc>
          <w:tcPr>
            <w:tcW w:w="0" w:type="auto"/>
            <w:vAlign w:val="center"/>
            <w:hideMark/>
          </w:tcPr>
          <w:p w14:paraId="4C652511" w14:textId="442112BF" w:rsidR="00974EE4" w:rsidRPr="007146F4" w:rsidRDefault="00974EE4" w:rsidP="00974EE4">
            <w:pPr>
              <w:spacing w:after="160" w:line="480" w:lineRule="auto"/>
              <w:rPr>
                <w:rFonts w:ascii="Arial" w:eastAsia="Calibri" w:hAnsi="Arial" w:cs="Arial"/>
                <w:sz w:val="20"/>
                <w:szCs w:val="20"/>
              </w:rPr>
            </w:pPr>
            <w:r w:rsidRPr="00FB1C1A">
              <w:rPr>
                <w:rFonts w:ascii="Arial" w:eastAsia="Calibri" w:hAnsi="Arial" w:cs="Arial"/>
                <w:sz w:val="20"/>
                <w:szCs w:val="20"/>
              </w:rPr>
              <w:t>Neurology </w:t>
            </w:r>
          </w:p>
        </w:tc>
        <w:tc>
          <w:tcPr>
            <w:tcW w:w="0" w:type="auto"/>
            <w:vAlign w:val="center"/>
            <w:hideMark/>
          </w:tcPr>
          <w:p w14:paraId="5F4BED1E" w14:textId="1863A4D5" w:rsidR="00974EE4" w:rsidRPr="007146F4" w:rsidRDefault="00974EE4" w:rsidP="00974EE4">
            <w:pPr>
              <w:spacing w:after="160" w:line="480" w:lineRule="auto"/>
              <w:rPr>
                <w:rFonts w:ascii="Arial" w:eastAsia="Calibri" w:hAnsi="Arial" w:cs="Arial"/>
                <w:sz w:val="20"/>
                <w:szCs w:val="20"/>
              </w:rPr>
            </w:pPr>
            <w:r w:rsidRPr="007146F4">
              <w:rPr>
                <w:rFonts w:ascii="Arial" w:eastAsia="Calibri" w:hAnsi="Arial" w:cs="Arial"/>
                <w:sz w:val="20"/>
                <w:szCs w:val="20"/>
              </w:rPr>
              <w:t>M</w:t>
            </w:r>
            <w:r w:rsidR="00FB1C1A">
              <w:rPr>
                <w:rFonts w:ascii="Arial" w:eastAsia="Calibri" w:hAnsi="Arial" w:cs="Arial"/>
                <w:sz w:val="20"/>
                <w:szCs w:val="20"/>
              </w:rPr>
              <w:t>.</w:t>
            </w:r>
            <w:r w:rsidRPr="007146F4">
              <w:rPr>
                <w:rFonts w:ascii="Arial" w:eastAsia="Calibri" w:hAnsi="Arial" w:cs="Arial"/>
                <w:sz w:val="20"/>
                <w:szCs w:val="20"/>
              </w:rPr>
              <w:t>D</w:t>
            </w:r>
            <w:r w:rsidR="00FB1C1A">
              <w:rPr>
                <w:rFonts w:ascii="Arial" w:eastAsia="Calibri" w:hAnsi="Arial" w:cs="Arial"/>
                <w:sz w:val="20"/>
                <w:szCs w:val="20"/>
              </w:rPr>
              <w:t>.</w:t>
            </w:r>
            <w:r>
              <w:rPr>
                <w:rFonts w:ascii="Arial" w:eastAsia="Calibri" w:hAnsi="Arial" w:cs="Arial"/>
                <w:sz w:val="20"/>
                <w:szCs w:val="20"/>
              </w:rPr>
              <w:t xml:space="preserve"> </w:t>
            </w:r>
            <w:r w:rsidRPr="007146F4">
              <w:rPr>
                <w:rFonts w:ascii="Arial" w:eastAsia="Calibri" w:hAnsi="Arial" w:cs="Arial"/>
                <w:sz w:val="20"/>
                <w:szCs w:val="20"/>
              </w:rPr>
              <w:t>(Medicine)</w:t>
            </w:r>
          </w:p>
        </w:tc>
        <w:tc>
          <w:tcPr>
            <w:tcW w:w="0" w:type="auto"/>
            <w:vAlign w:val="center"/>
            <w:hideMark/>
          </w:tcPr>
          <w:p w14:paraId="7ED47FF8" w14:textId="7B0152B6" w:rsidR="00974EE4" w:rsidRPr="007146F4" w:rsidRDefault="00974EE4" w:rsidP="00974EE4">
            <w:pPr>
              <w:spacing w:after="160" w:line="480" w:lineRule="auto"/>
              <w:rPr>
                <w:rFonts w:ascii="Arial" w:eastAsia="Calibri" w:hAnsi="Arial" w:cs="Arial"/>
                <w:sz w:val="20"/>
                <w:szCs w:val="20"/>
              </w:rPr>
            </w:pPr>
            <w:r w:rsidRPr="007146F4">
              <w:rPr>
                <w:rFonts w:ascii="Arial" w:eastAsia="Calibri" w:hAnsi="Arial" w:cs="Arial"/>
                <w:sz w:val="20"/>
                <w:szCs w:val="20"/>
              </w:rPr>
              <w:t>Thammasat University</w:t>
            </w:r>
          </w:p>
        </w:tc>
        <w:tc>
          <w:tcPr>
            <w:tcW w:w="0" w:type="auto"/>
            <w:vAlign w:val="center"/>
            <w:hideMark/>
          </w:tcPr>
          <w:p w14:paraId="393E58C3" w14:textId="50099B4B" w:rsidR="00974EE4" w:rsidRPr="00FB1C1A" w:rsidRDefault="00974EE4" w:rsidP="0052341D">
            <w:pPr>
              <w:spacing w:after="160" w:line="480" w:lineRule="auto"/>
              <w:jc w:val="center"/>
              <w:rPr>
                <w:rFonts w:ascii="Arial" w:eastAsia="Calibri" w:hAnsi="Arial" w:cs="Arial"/>
                <w:sz w:val="20"/>
                <w:szCs w:val="20"/>
              </w:rPr>
            </w:pPr>
            <w:r w:rsidRPr="00FB1C1A">
              <w:rPr>
                <w:rFonts w:ascii="Arial" w:eastAsia="Calibri" w:hAnsi="Arial" w:cs="Arial"/>
                <w:sz w:val="20"/>
                <w:szCs w:val="20"/>
              </w:rPr>
              <w:t>32 years</w:t>
            </w:r>
          </w:p>
        </w:tc>
      </w:tr>
    </w:tbl>
    <w:p w14:paraId="4C72679B" w14:textId="77777777" w:rsidR="003B5047" w:rsidRDefault="003B5047" w:rsidP="00085475">
      <w:pPr>
        <w:spacing w:line="480" w:lineRule="auto"/>
        <w:rPr>
          <w:rFonts w:ascii="Arial" w:eastAsia="Calibri" w:hAnsi="Arial" w:cs="Arial"/>
          <w:b/>
          <w:bCs/>
          <w:kern w:val="2"/>
          <w:sz w:val="20"/>
          <w:szCs w:val="20"/>
          <w:lang w:val="en-SG" w:eastAsia="en-US"/>
          <w14:ligatures w14:val="standardContextual"/>
        </w:rPr>
      </w:pPr>
    </w:p>
    <w:p w14:paraId="2333752D" w14:textId="278C37CB" w:rsidR="00085475" w:rsidRPr="00085475" w:rsidRDefault="00F34B23" w:rsidP="00085475">
      <w:pPr>
        <w:spacing w:line="480" w:lineRule="auto"/>
        <w:rPr>
          <w:rFonts w:ascii="Arial" w:eastAsia="Calibri" w:hAnsi="Arial" w:cs="Arial"/>
          <w:kern w:val="2"/>
          <w:sz w:val="20"/>
          <w:szCs w:val="20"/>
          <w:lang w:val="en-SG" w:eastAsia="en-US"/>
          <w14:ligatures w14:val="standardContextual"/>
        </w:rPr>
      </w:pPr>
      <w:r>
        <w:rPr>
          <w:rFonts w:ascii="Arial" w:eastAsia="Calibri" w:hAnsi="Arial" w:cs="Arial"/>
          <w:b/>
          <w:bCs/>
          <w:kern w:val="2"/>
          <w:sz w:val="20"/>
          <w:szCs w:val="20"/>
          <w:lang w:val="en-SG" w:eastAsia="en-US"/>
          <w14:ligatures w14:val="standardContextual"/>
        </w:rPr>
        <w:t xml:space="preserve">Table </w:t>
      </w:r>
      <w:r w:rsidR="00085475" w:rsidRPr="00085475">
        <w:rPr>
          <w:rFonts w:ascii="Arial" w:eastAsia="Calibri" w:hAnsi="Arial" w:cs="Arial"/>
          <w:b/>
          <w:bCs/>
          <w:kern w:val="2"/>
          <w:sz w:val="20"/>
          <w:szCs w:val="20"/>
          <w:lang w:val="en-SG" w:eastAsia="en-US"/>
          <w14:ligatures w14:val="standardContextual"/>
        </w:rPr>
        <w:t>S</w:t>
      </w:r>
      <w:r w:rsidR="003B5047">
        <w:rPr>
          <w:rFonts w:ascii="Arial" w:eastAsia="Calibri" w:hAnsi="Arial" w:cs="Arial"/>
          <w:b/>
          <w:bCs/>
          <w:kern w:val="2"/>
          <w:sz w:val="20"/>
          <w:szCs w:val="20"/>
          <w:lang w:val="en-SG" w:eastAsia="en-US"/>
          <w14:ligatures w14:val="standardContextual"/>
        </w:rPr>
        <w:t>2</w:t>
      </w:r>
      <w:r w:rsidR="00085475" w:rsidRPr="00085475">
        <w:rPr>
          <w:rFonts w:ascii="Arial" w:eastAsia="Calibri" w:hAnsi="Arial" w:cs="Arial"/>
          <w:b/>
          <w:kern w:val="2"/>
          <w:sz w:val="20"/>
          <w:szCs w:val="20"/>
          <w:lang w:val="en-SG" w:eastAsia="en-US"/>
          <w14:ligatures w14:val="standardContextual"/>
        </w:rPr>
        <w:t xml:space="preserve"> </w:t>
      </w:r>
      <w:r w:rsidR="00085475" w:rsidRPr="00085475">
        <w:rPr>
          <w:rFonts w:ascii="Arial" w:eastAsia="Calibri" w:hAnsi="Arial" w:cs="Arial"/>
          <w:kern w:val="2"/>
          <w:sz w:val="20"/>
          <w:szCs w:val="20"/>
          <w:lang w:val="en-SG" w:eastAsia="en-US"/>
          <w14:ligatures w14:val="standardContextual"/>
        </w:rPr>
        <w:t>Search strategy</w:t>
      </w:r>
    </w:p>
    <w:tbl>
      <w:tblPr>
        <w:tblW w:w="0" w:type="auto"/>
        <w:tblLook w:val="04A0" w:firstRow="1" w:lastRow="0" w:firstColumn="1" w:lastColumn="0" w:noHBand="0" w:noVBand="1"/>
      </w:tblPr>
      <w:tblGrid>
        <w:gridCol w:w="1854"/>
        <w:gridCol w:w="1981"/>
        <w:gridCol w:w="1597"/>
        <w:gridCol w:w="3696"/>
        <w:gridCol w:w="222"/>
      </w:tblGrid>
      <w:tr w:rsidR="00085475" w:rsidRPr="00085475" w14:paraId="40C19457" w14:textId="77777777" w:rsidTr="001D5BD1">
        <w:trPr>
          <w:gridAfter w:val="1"/>
          <w:trHeight w:val="501"/>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316A5" w14:textId="77777777" w:rsidR="00085475" w:rsidRPr="00085475" w:rsidRDefault="00085475" w:rsidP="00085475">
            <w:pPr>
              <w:spacing w:after="0" w:line="360" w:lineRule="auto"/>
              <w:jc w:val="center"/>
              <w:rPr>
                <w:rFonts w:ascii="Arial" w:eastAsia="Times New Roman" w:hAnsi="Arial" w:cs="Arial"/>
                <w:b/>
                <w:color w:val="000000"/>
                <w:sz w:val="20"/>
                <w:szCs w:val="20"/>
                <w:lang w:val="en-SG" w:eastAsia="en-SG"/>
              </w:rPr>
            </w:pPr>
            <w:r w:rsidRPr="00085475">
              <w:rPr>
                <w:rFonts w:ascii="Arial" w:eastAsia="Times New Roman" w:hAnsi="Arial" w:cs="Arial"/>
                <w:b/>
                <w:color w:val="000000"/>
                <w:sz w:val="20"/>
                <w:szCs w:val="20"/>
                <w:lang w:val="en-SG" w:eastAsia="en-SG"/>
              </w:rPr>
              <w:t>Topic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85C82" w14:textId="77777777" w:rsidR="00085475" w:rsidRPr="00085475" w:rsidRDefault="00085475" w:rsidP="00085475">
            <w:pPr>
              <w:spacing w:after="0" w:line="360" w:lineRule="auto"/>
              <w:jc w:val="center"/>
              <w:rPr>
                <w:rFonts w:ascii="Arial" w:eastAsia="Times New Roman" w:hAnsi="Arial" w:cs="Arial"/>
                <w:b/>
                <w:color w:val="000000"/>
                <w:sz w:val="20"/>
                <w:szCs w:val="20"/>
                <w:lang w:val="en-SG" w:eastAsia="en-SG"/>
              </w:rPr>
            </w:pPr>
            <w:r w:rsidRPr="00085475">
              <w:rPr>
                <w:rFonts w:ascii="Arial" w:eastAsia="Times New Roman" w:hAnsi="Arial" w:cs="Arial"/>
                <w:b/>
                <w:color w:val="000000"/>
                <w:sz w:val="20"/>
                <w:szCs w:val="20"/>
                <w:lang w:val="en-SG" w:eastAsia="en-SG"/>
              </w:rPr>
              <w:t>Subtopic</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1B348" w14:textId="77777777" w:rsidR="00085475" w:rsidRPr="00085475" w:rsidRDefault="00085475" w:rsidP="00085475">
            <w:pPr>
              <w:spacing w:after="0" w:line="360" w:lineRule="auto"/>
              <w:jc w:val="center"/>
              <w:rPr>
                <w:rFonts w:ascii="Arial" w:eastAsia="Times New Roman" w:hAnsi="Arial" w:cs="Arial"/>
                <w:b/>
                <w:color w:val="000000"/>
                <w:sz w:val="20"/>
                <w:szCs w:val="20"/>
                <w:lang w:val="en-SG" w:eastAsia="en-SG"/>
              </w:rPr>
            </w:pPr>
            <w:r w:rsidRPr="00085475">
              <w:rPr>
                <w:rFonts w:ascii="Arial" w:eastAsia="Times New Roman" w:hAnsi="Arial" w:cs="Arial"/>
                <w:b/>
                <w:color w:val="000000"/>
                <w:sz w:val="20"/>
                <w:szCs w:val="20"/>
                <w:lang w:val="en-SG" w:eastAsia="en-SG"/>
              </w:rPr>
              <w:t>Keyword cluster 1</w:t>
            </w:r>
          </w:p>
        </w:tc>
        <w:tc>
          <w:tcPr>
            <w:tcW w:w="3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792A4" w14:textId="77777777" w:rsidR="00085475" w:rsidRPr="00085475" w:rsidRDefault="00085475" w:rsidP="00085475">
            <w:pPr>
              <w:spacing w:after="0" w:line="360" w:lineRule="auto"/>
              <w:jc w:val="center"/>
              <w:rPr>
                <w:rFonts w:ascii="Arial" w:eastAsia="Times New Roman" w:hAnsi="Arial" w:cs="Arial"/>
                <w:b/>
                <w:color w:val="000000"/>
                <w:sz w:val="20"/>
                <w:szCs w:val="20"/>
                <w:lang w:val="en-SG" w:eastAsia="en-SG"/>
              </w:rPr>
            </w:pPr>
            <w:r w:rsidRPr="00085475">
              <w:rPr>
                <w:rFonts w:ascii="Arial" w:eastAsia="Times New Roman" w:hAnsi="Arial" w:cs="Arial"/>
                <w:b/>
                <w:color w:val="000000"/>
                <w:sz w:val="20"/>
                <w:szCs w:val="20"/>
                <w:lang w:val="en-SG" w:eastAsia="en-SG"/>
              </w:rPr>
              <w:t>Keyword cluster 2</w:t>
            </w:r>
          </w:p>
        </w:tc>
      </w:tr>
      <w:tr w:rsidR="00085475" w:rsidRPr="00085475" w14:paraId="4A4C0A1D" w14:textId="77777777" w:rsidTr="00C922AD">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4A3B2" w14:textId="77777777" w:rsidR="00085475" w:rsidRPr="00085475" w:rsidRDefault="00085475" w:rsidP="00085475">
            <w:pPr>
              <w:spacing w:after="0" w:line="360" w:lineRule="auto"/>
              <w:rPr>
                <w:rFonts w:ascii="Arial" w:eastAsia="Times New Roman" w:hAnsi="Arial" w:cs="Arial"/>
                <w:b/>
                <w:color w:val="000000"/>
                <w:sz w:val="20"/>
                <w:szCs w:val="20"/>
                <w:lang w:val="en-SG" w:eastAsia="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8D88D" w14:textId="77777777" w:rsidR="00085475" w:rsidRPr="00085475" w:rsidRDefault="00085475" w:rsidP="00085475">
            <w:pPr>
              <w:spacing w:after="0" w:line="360" w:lineRule="auto"/>
              <w:rPr>
                <w:rFonts w:ascii="Arial" w:eastAsia="Times New Roman" w:hAnsi="Arial" w:cs="Arial"/>
                <w:b/>
                <w:color w:val="000000"/>
                <w:sz w:val="20"/>
                <w:szCs w:val="20"/>
                <w:lang w:val="en-SG" w:eastAsia="en-SG"/>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14:paraId="17C880DA" w14:textId="77777777" w:rsidR="00085475" w:rsidRPr="00085475" w:rsidRDefault="00085475" w:rsidP="00085475">
            <w:pPr>
              <w:spacing w:after="0" w:line="360" w:lineRule="auto"/>
              <w:rPr>
                <w:rFonts w:ascii="Arial" w:eastAsia="Times New Roman" w:hAnsi="Arial" w:cs="Arial"/>
                <w:b/>
                <w:color w:val="000000"/>
                <w:sz w:val="20"/>
                <w:szCs w:val="20"/>
                <w:lang w:val="en-SG" w:eastAsia="en-SG"/>
              </w:rPr>
            </w:pPr>
          </w:p>
        </w:tc>
        <w:tc>
          <w:tcPr>
            <w:tcW w:w="3696" w:type="dxa"/>
            <w:vMerge/>
            <w:tcBorders>
              <w:top w:val="single" w:sz="4" w:space="0" w:color="auto"/>
              <w:left w:val="single" w:sz="4" w:space="0" w:color="auto"/>
              <w:bottom w:val="single" w:sz="4" w:space="0" w:color="auto"/>
              <w:right w:val="single" w:sz="4" w:space="0" w:color="auto"/>
            </w:tcBorders>
            <w:vAlign w:val="center"/>
            <w:hideMark/>
          </w:tcPr>
          <w:p w14:paraId="0203E6C4" w14:textId="77777777" w:rsidR="00085475" w:rsidRPr="00085475" w:rsidRDefault="00085475" w:rsidP="00085475">
            <w:pPr>
              <w:spacing w:after="0" w:line="360" w:lineRule="auto"/>
              <w:rPr>
                <w:rFonts w:ascii="Arial" w:eastAsia="Times New Roman" w:hAnsi="Arial" w:cs="Arial"/>
                <w:b/>
                <w:color w:val="000000"/>
                <w:sz w:val="20"/>
                <w:szCs w:val="20"/>
                <w:lang w:val="en-SG" w:eastAsia="en-SG"/>
              </w:rPr>
            </w:pPr>
          </w:p>
        </w:tc>
        <w:tc>
          <w:tcPr>
            <w:tcW w:w="0" w:type="auto"/>
            <w:tcBorders>
              <w:top w:val="nil"/>
              <w:left w:val="nil"/>
              <w:bottom w:val="nil"/>
              <w:right w:val="nil"/>
            </w:tcBorders>
            <w:shd w:val="clear" w:color="auto" w:fill="auto"/>
            <w:noWrap/>
            <w:vAlign w:val="bottom"/>
            <w:hideMark/>
          </w:tcPr>
          <w:p w14:paraId="6AB8B030" w14:textId="77777777" w:rsidR="00085475" w:rsidRPr="00085475" w:rsidRDefault="00085475" w:rsidP="00085475">
            <w:pPr>
              <w:spacing w:after="0" w:line="480" w:lineRule="auto"/>
              <w:jc w:val="center"/>
              <w:rPr>
                <w:rFonts w:ascii="Arial" w:eastAsia="Times New Roman" w:hAnsi="Arial" w:cs="Arial"/>
                <w:b/>
                <w:color w:val="000000"/>
                <w:sz w:val="20"/>
                <w:szCs w:val="20"/>
                <w:lang w:val="en-SG" w:eastAsia="en-SG"/>
              </w:rPr>
            </w:pPr>
          </w:p>
        </w:tc>
      </w:tr>
      <w:tr w:rsidR="00085475" w:rsidRPr="00085475" w14:paraId="3C4086EE" w14:textId="77777777" w:rsidTr="001D5BD1">
        <w:trPr>
          <w:trHeight w:val="7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2CE1DC"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lastRenderedPageBreak/>
              <w:t>Epidemiology</w:t>
            </w:r>
          </w:p>
        </w:tc>
        <w:tc>
          <w:tcPr>
            <w:tcW w:w="0" w:type="auto"/>
            <w:tcBorders>
              <w:top w:val="nil"/>
              <w:left w:val="nil"/>
              <w:bottom w:val="single" w:sz="4" w:space="0" w:color="auto"/>
              <w:right w:val="single" w:sz="4" w:space="0" w:color="auto"/>
            </w:tcBorders>
            <w:shd w:val="clear" w:color="auto" w:fill="auto"/>
            <w:vAlign w:val="center"/>
            <w:hideMark/>
          </w:tcPr>
          <w:p w14:paraId="6EE1A144"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Burden of disease (prevalence, incidence, morbidity)</w:t>
            </w:r>
          </w:p>
        </w:tc>
        <w:tc>
          <w:tcPr>
            <w:tcW w:w="1597" w:type="dxa"/>
            <w:tcBorders>
              <w:top w:val="nil"/>
              <w:left w:val="nil"/>
              <w:bottom w:val="single" w:sz="4" w:space="0" w:color="auto"/>
              <w:right w:val="single" w:sz="4" w:space="0" w:color="auto"/>
            </w:tcBorders>
            <w:shd w:val="clear" w:color="auto" w:fill="auto"/>
            <w:vAlign w:val="center"/>
            <w:hideMark/>
          </w:tcPr>
          <w:p w14:paraId="60F4A091"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"Vitamin B6 OR Pyridoxine" AND "Deficiency"</w:t>
            </w:r>
          </w:p>
        </w:tc>
        <w:tc>
          <w:tcPr>
            <w:tcW w:w="3696" w:type="dxa"/>
            <w:tcBorders>
              <w:top w:val="nil"/>
              <w:left w:val="nil"/>
              <w:bottom w:val="single" w:sz="4" w:space="0" w:color="auto"/>
              <w:right w:val="single" w:sz="4" w:space="0" w:color="auto"/>
            </w:tcBorders>
            <w:shd w:val="clear" w:color="auto" w:fill="auto"/>
            <w:vAlign w:val="center"/>
            <w:hideMark/>
          </w:tcPr>
          <w:p w14:paraId="23C0C60D"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"Prevalence OR incidence OR morbidity OR burden OR mortality OR cost OR economic cost"</w:t>
            </w:r>
          </w:p>
        </w:tc>
        <w:tc>
          <w:tcPr>
            <w:tcW w:w="0" w:type="auto"/>
            <w:vAlign w:val="center"/>
            <w:hideMark/>
          </w:tcPr>
          <w:p w14:paraId="357A9F5D"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0559B823" w14:textId="77777777" w:rsidTr="001D5BD1">
        <w:trPr>
          <w:trHeight w:val="7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8531A1"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Vitamin B6 clinical data</w:t>
            </w:r>
          </w:p>
        </w:tc>
        <w:tc>
          <w:tcPr>
            <w:tcW w:w="0" w:type="auto"/>
            <w:tcBorders>
              <w:top w:val="nil"/>
              <w:left w:val="nil"/>
              <w:bottom w:val="single" w:sz="4" w:space="0" w:color="auto"/>
              <w:right w:val="single" w:sz="4" w:space="0" w:color="auto"/>
            </w:tcBorders>
            <w:shd w:val="clear" w:color="auto" w:fill="auto"/>
            <w:vAlign w:val="center"/>
            <w:hideMark/>
          </w:tcPr>
          <w:p w14:paraId="1ACDA6D0"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Evidence and efficacy</w:t>
            </w:r>
          </w:p>
        </w:tc>
        <w:tc>
          <w:tcPr>
            <w:tcW w:w="1597" w:type="dxa"/>
            <w:vMerge w:val="restart"/>
            <w:tcBorders>
              <w:top w:val="nil"/>
              <w:left w:val="single" w:sz="4" w:space="0" w:color="auto"/>
              <w:bottom w:val="single" w:sz="4" w:space="0" w:color="auto"/>
              <w:right w:val="single" w:sz="4" w:space="0" w:color="auto"/>
            </w:tcBorders>
            <w:shd w:val="clear" w:color="auto" w:fill="auto"/>
            <w:vAlign w:val="center"/>
            <w:hideMark/>
          </w:tcPr>
          <w:p w14:paraId="5E852B50"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"Vitamin B6" OR "Pyridoxine"</w:t>
            </w:r>
          </w:p>
        </w:tc>
        <w:tc>
          <w:tcPr>
            <w:tcW w:w="3696" w:type="dxa"/>
            <w:tcBorders>
              <w:top w:val="nil"/>
              <w:left w:val="nil"/>
              <w:bottom w:val="single" w:sz="4" w:space="0" w:color="auto"/>
              <w:right w:val="single" w:sz="4" w:space="0" w:color="auto"/>
            </w:tcBorders>
            <w:shd w:val="clear" w:color="auto" w:fill="auto"/>
            <w:vAlign w:val="center"/>
            <w:hideMark/>
          </w:tcPr>
          <w:p w14:paraId="35DB8D48"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 xml:space="preserve">"Efficacy" OR "Effectiveness" Or "Clinical evidence" </w:t>
            </w:r>
          </w:p>
        </w:tc>
        <w:tc>
          <w:tcPr>
            <w:tcW w:w="0" w:type="auto"/>
            <w:vAlign w:val="center"/>
            <w:hideMark/>
          </w:tcPr>
          <w:p w14:paraId="42C7C83E"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2011E3A0" w14:textId="77777777" w:rsidTr="001D5BD1">
        <w:trPr>
          <w:trHeight w:val="1050"/>
        </w:trPr>
        <w:tc>
          <w:tcPr>
            <w:tcW w:w="0" w:type="auto"/>
            <w:vMerge/>
            <w:tcBorders>
              <w:top w:val="nil"/>
              <w:left w:val="single" w:sz="4" w:space="0" w:color="auto"/>
              <w:bottom w:val="single" w:sz="4" w:space="0" w:color="auto"/>
              <w:right w:val="single" w:sz="4" w:space="0" w:color="auto"/>
            </w:tcBorders>
            <w:vAlign w:val="center"/>
            <w:hideMark/>
          </w:tcPr>
          <w:p w14:paraId="5DF9C060"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0" w:type="auto"/>
            <w:tcBorders>
              <w:top w:val="nil"/>
              <w:left w:val="nil"/>
              <w:bottom w:val="single" w:sz="4" w:space="0" w:color="auto"/>
              <w:right w:val="single" w:sz="4" w:space="0" w:color="auto"/>
            </w:tcBorders>
            <w:shd w:val="clear" w:color="auto" w:fill="auto"/>
            <w:vAlign w:val="center"/>
            <w:hideMark/>
          </w:tcPr>
          <w:p w14:paraId="5155FC6A"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 xml:space="preserve">Safety and adverse effects </w:t>
            </w:r>
          </w:p>
        </w:tc>
        <w:tc>
          <w:tcPr>
            <w:tcW w:w="1597" w:type="dxa"/>
            <w:vMerge/>
            <w:tcBorders>
              <w:top w:val="nil"/>
              <w:left w:val="single" w:sz="4" w:space="0" w:color="auto"/>
              <w:bottom w:val="single" w:sz="4" w:space="0" w:color="auto"/>
              <w:right w:val="single" w:sz="4" w:space="0" w:color="auto"/>
            </w:tcBorders>
            <w:vAlign w:val="center"/>
            <w:hideMark/>
          </w:tcPr>
          <w:p w14:paraId="6AC14AAB"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3696" w:type="dxa"/>
            <w:tcBorders>
              <w:top w:val="nil"/>
              <w:left w:val="nil"/>
              <w:bottom w:val="single" w:sz="4" w:space="0" w:color="auto"/>
              <w:right w:val="single" w:sz="4" w:space="0" w:color="auto"/>
            </w:tcBorders>
            <w:shd w:val="clear" w:color="auto" w:fill="auto"/>
            <w:vAlign w:val="center"/>
            <w:hideMark/>
          </w:tcPr>
          <w:p w14:paraId="145A6BFF"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"Adverse events" OR "Adverse effects" OR "Safety" OR "Pharmacovigilance" OR "post-marketing report" OR "Surveillance"</w:t>
            </w:r>
          </w:p>
        </w:tc>
        <w:tc>
          <w:tcPr>
            <w:tcW w:w="0" w:type="auto"/>
            <w:vAlign w:val="center"/>
            <w:hideMark/>
          </w:tcPr>
          <w:p w14:paraId="6BEDE25C"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610A85C6" w14:textId="77777777" w:rsidTr="001D5BD1">
        <w:trPr>
          <w:trHeight w:val="700"/>
        </w:trPr>
        <w:tc>
          <w:tcPr>
            <w:tcW w:w="0" w:type="auto"/>
            <w:vMerge/>
            <w:tcBorders>
              <w:top w:val="nil"/>
              <w:left w:val="single" w:sz="4" w:space="0" w:color="auto"/>
              <w:bottom w:val="single" w:sz="4" w:space="0" w:color="auto"/>
              <w:right w:val="single" w:sz="4" w:space="0" w:color="auto"/>
            </w:tcBorders>
            <w:vAlign w:val="center"/>
            <w:hideMark/>
          </w:tcPr>
          <w:p w14:paraId="695642DF"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0" w:type="auto"/>
            <w:tcBorders>
              <w:top w:val="nil"/>
              <w:left w:val="nil"/>
              <w:bottom w:val="single" w:sz="4" w:space="0" w:color="auto"/>
              <w:right w:val="single" w:sz="4" w:space="0" w:color="auto"/>
            </w:tcBorders>
            <w:shd w:val="clear" w:color="auto" w:fill="auto"/>
            <w:vAlign w:val="center"/>
            <w:hideMark/>
          </w:tcPr>
          <w:p w14:paraId="2D50455F"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Adverse effects mechanism</w:t>
            </w:r>
          </w:p>
        </w:tc>
        <w:tc>
          <w:tcPr>
            <w:tcW w:w="1597" w:type="dxa"/>
            <w:vMerge/>
            <w:tcBorders>
              <w:top w:val="nil"/>
              <w:left w:val="single" w:sz="4" w:space="0" w:color="auto"/>
              <w:bottom w:val="single" w:sz="4" w:space="0" w:color="auto"/>
              <w:right w:val="single" w:sz="4" w:space="0" w:color="auto"/>
            </w:tcBorders>
            <w:vAlign w:val="center"/>
            <w:hideMark/>
          </w:tcPr>
          <w:p w14:paraId="7B82179D"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3696" w:type="dxa"/>
            <w:tcBorders>
              <w:top w:val="nil"/>
              <w:left w:val="nil"/>
              <w:bottom w:val="single" w:sz="4" w:space="0" w:color="auto"/>
              <w:right w:val="single" w:sz="4" w:space="0" w:color="auto"/>
            </w:tcBorders>
            <w:shd w:val="clear" w:color="auto" w:fill="auto"/>
            <w:vAlign w:val="center"/>
            <w:hideMark/>
          </w:tcPr>
          <w:p w14:paraId="48D0D486"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("Adverse events" OR "Adverse effects") AND ("Mechanism of action" OR "MOA")</w:t>
            </w:r>
          </w:p>
        </w:tc>
        <w:tc>
          <w:tcPr>
            <w:tcW w:w="0" w:type="auto"/>
            <w:vAlign w:val="center"/>
            <w:hideMark/>
          </w:tcPr>
          <w:p w14:paraId="0E760781"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065FA9AE" w14:textId="77777777" w:rsidTr="001D5BD1">
        <w:trPr>
          <w:trHeight w:val="700"/>
        </w:trPr>
        <w:tc>
          <w:tcPr>
            <w:tcW w:w="0" w:type="auto"/>
            <w:vMerge/>
            <w:tcBorders>
              <w:top w:val="nil"/>
              <w:left w:val="single" w:sz="4" w:space="0" w:color="auto"/>
              <w:bottom w:val="single" w:sz="4" w:space="0" w:color="auto"/>
              <w:right w:val="single" w:sz="4" w:space="0" w:color="auto"/>
            </w:tcBorders>
            <w:vAlign w:val="center"/>
            <w:hideMark/>
          </w:tcPr>
          <w:p w14:paraId="6BBAF9AF"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0" w:type="auto"/>
            <w:tcBorders>
              <w:top w:val="nil"/>
              <w:left w:val="nil"/>
              <w:bottom w:val="single" w:sz="4" w:space="0" w:color="auto"/>
              <w:right w:val="single" w:sz="4" w:space="0" w:color="auto"/>
            </w:tcBorders>
            <w:shd w:val="clear" w:color="auto" w:fill="auto"/>
            <w:vAlign w:val="center"/>
            <w:hideMark/>
          </w:tcPr>
          <w:p w14:paraId="7F0998F8"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PK / PD data</w:t>
            </w:r>
          </w:p>
        </w:tc>
        <w:tc>
          <w:tcPr>
            <w:tcW w:w="1597" w:type="dxa"/>
            <w:vMerge/>
            <w:tcBorders>
              <w:top w:val="nil"/>
              <w:left w:val="single" w:sz="4" w:space="0" w:color="auto"/>
              <w:bottom w:val="single" w:sz="4" w:space="0" w:color="auto"/>
              <w:right w:val="single" w:sz="4" w:space="0" w:color="auto"/>
            </w:tcBorders>
            <w:vAlign w:val="center"/>
            <w:hideMark/>
          </w:tcPr>
          <w:p w14:paraId="2E3E5F9A"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3696" w:type="dxa"/>
            <w:tcBorders>
              <w:top w:val="nil"/>
              <w:left w:val="nil"/>
              <w:bottom w:val="single" w:sz="4" w:space="0" w:color="auto"/>
              <w:right w:val="single" w:sz="4" w:space="0" w:color="auto"/>
            </w:tcBorders>
            <w:shd w:val="clear" w:color="auto" w:fill="auto"/>
            <w:vAlign w:val="center"/>
            <w:hideMark/>
          </w:tcPr>
          <w:p w14:paraId="29E65403"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"Pharmacokinetic" OR "Pharmacodynamic" OR "PKPD"</w:t>
            </w:r>
          </w:p>
        </w:tc>
        <w:tc>
          <w:tcPr>
            <w:tcW w:w="0" w:type="auto"/>
            <w:vAlign w:val="center"/>
            <w:hideMark/>
          </w:tcPr>
          <w:p w14:paraId="0431D25B"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15394C20" w14:textId="77777777" w:rsidTr="001D5BD1">
        <w:trPr>
          <w:trHeight w:val="69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FD29AA"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Clinical practice and treatment guideline</w:t>
            </w:r>
          </w:p>
        </w:tc>
        <w:tc>
          <w:tcPr>
            <w:tcW w:w="0" w:type="auto"/>
            <w:tcBorders>
              <w:top w:val="nil"/>
              <w:left w:val="nil"/>
              <w:bottom w:val="single" w:sz="4" w:space="0" w:color="auto"/>
              <w:right w:val="single" w:sz="4" w:space="0" w:color="auto"/>
            </w:tcBorders>
            <w:shd w:val="clear" w:color="auto" w:fill="auto"/>
            <w:vAlign w:val="center"/>
            <w:hideMark/>
          </w:tcPr>
          <w:p w14:paraId="71343419"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 xml:space="preserve">Clinical practice </w:t>
            </w:r>
          </w:p>
        </w:tc>
        <w:tc>
          <w:tcPr>
            <w:tcW w:w="1597" w:type="dxa"/>
            <w:vMerge/>
            <w:tcBorders>
              <w:top w:val="nil"/>
              <w:left w:val="single" w:sz="4" w:space="0" w:color="auto"/>
              <w:bottom w:val="single" w:sz="4" w:space="0" w:color="auto"/>
              <w:right w:val="single" w:sz="4" w:space="0" w:color="auto"/>
            </w:tcBorders>
            <w:vAlign w:val="center"/>
            <w:hideMark/>
          </w:tcPr>
          <w:p w14:paraId="7ABF9F03"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3696" w:type="dxa"/>
            <w:tcBorders>
              <w:top w:val="nil"/>
              <w:left w:val="nil"/>
              <w:bottom w:val="single" w:sz="4" w:space="0" w:color="auto"/>
              <w:right w:val="single" w:sz="4" w:space="0" w:color="auto"/>
            </w:tcBorders>
            <w:shd w:val="clear" w:color="auto" w:fill="auto"/>
            <w:vAlign w:val="center"/>
            <w:hideMark/>
          </w:tcPr>
          <w:p w14:paraId="244420B7"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 xml:space="preserve">"Clinical practice" OR "clinical management" OR "Treatment selection" </w:t>
            </w:r>
          </w:p>
        </w:tc>
        <w:tc>
          <w:tcPr>
            <w:tcW w:w="0" w:type="auto"/>
            <w:vAlign w:val="center"/>
            <w:hideMark/>
          </w:tcPr>
          <w:p w14:paraId="64A7D23D"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226058D1" w14:textId="77777777" w:rsidTr="001D5BD1">
        <w:trPr>
          <w:trHeight w:val="1050"/>
        </w:trPr>
        <w:tc>
          <w:tcPr>
            <w:tcW w:w="0" w:type="auto"/>
            <w:vMerge/>
            <w:tcBorders>
              <w:top w:val="nil"/>
              <w:left w:val="single" w:sz="4" w:space="0" w:color="auto"/>
              <w:bottom w:val="single" w:sz="4" w:space="0" w:color="auto"/>
              <w:right w:val="single" w:sz="4" w:space="0" w:color="auto"/>
            </w:tcBorders>
            <w:vAlign w:val="center"/>
            <w:hideMark/>
          </w:tcPr>
          <w:p w14:paraId="522A128F"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0" w:type="auto"/>
            <w:tcBorders>
              <w:top w:val="nil"/>
              <w:left w:val="nil"/>
              <w:bottom w:val="single" w:sz="4" w:space="0" w:color="auto"/>
              <w:right w:val="single" w:sz="4" w:space="0" w:color="auto"/>
            </w:tcBorders>
            <w:shd w:val="clear" w:color="auto" w:fill="auto"/>
            <w:vAlign w:val="center"/>
            <w:hideMark/>
          </w:tcPr>
          <w:p w14:paraId="3316D4DD"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 xml:space="preserve">Treatment guidelines </w:t>
            </w:r>
          </w:p>
        </w:tc>
        <w:tc>
          <w:tcPr>
            <w:tcW w:w="1597" w:type="dxa"/>
            <w:vMerge/>
            <w:tcBorders>
              <w:top w:val="nil"/>
              <w:left w:val="single" w:sz="4" w:space="0" w:color="auto"/>
              <w:bottom w:val="single" w:sz="4" w:space="0" w:color="auto"/>
              <w:right w:val="single" w:sz="4" w:space="0" w:color="auto"/>
            </w:tcBorders>
            <w:vAlign w:val="center"/>
            <w:hideMark/>
          </w:tcPr>
          <w:p w14:paraId="0DF0DEC1"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3696" w:type="dxa"/>
            <w:tcBorders>
              <w:top w:val="nil"/>
              <w:left w:val="nil"/>
              <w:bottom w:val="single" w:sz="4" w:space="0" w:color="auto"/>
              <w:right w:val="single" w:sz="4" w:space="0" w:color="auto"/>
            </w:tcBorders>
            <w:shd w:val="clear" w:color="auto" w:fill="auto"/>
            <w:vAlign w:val="center"/>
            <w:hideMark/>
          </w:tcPr>
          <w:p w14:paraId="6C9E5BFD"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"Treatment guidelines" OR "therapeutic guidelines" OR "clinical guidelines" OR "Place in therapy" OR "Treatment algorithm"</w:t>
            </w:r>
          </w:p>
        </w:tc>
        <w:tc>
          <w:tcPr>
            <w:tcW w:w="0" w:type="auto"/>
            <w:vAlign w:val="center"/>
            <w:hideMark/>
          </w:tcPr>
          <w:p w14:paraId="123BFCDD"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32601618" w14:textId="77777777" w:rsidTr="00F27630">
        <w:trPr>
          <w:trHeight w:val="700"/>
        </w:trPr>
        <w:tc>
          <w:tcPr>
            <w:tcW w:w="0" w:type="auto"/>
            <w:tcBorders>
              <w:top w:val="nil"/>
              <w:left w:val="single" w:sz="4" w:space="0" w:color="auto"/>
              <w:bottom w:val="single" w:sz="4" w:space="0" w:color="7F7F7F" w:themeColor="text1" w:themeTint="80"/>
              <w:right w:val="single" w:sz="4" w:space="0" w:color="auto"/>
            </w:tcBorders>
            <w:shd w:val="clear" w:color="auto" w:fill="auto"/>
            <w:vAlign w:val="center"/>
            <w:hideMark/>
          </w:tcPr>
          <w:p w14:paraId="653C1C0C"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Regulatory statements</w:t>
            </w:r>
          </w:p>
        </w:tc>
        <w:tc>
          <w:tcPr>
            <w:tcW w:w="0" w:type="auto"/>
            <w:tcBorders>
              <w:top w:val="nil"/>
              <w:left w:val="nil"/>
              <w:bottom w:val="single" w:sz="4" w:space="0" w:color="7F7F7F" w:themeColor="text1" w:themeTint="80"/>
              <w:right w:val="single" w:sz="4" w:space="0" w:color="auto"/>
            </w:tcBorders>
            <w:shd w:val="clear" w:color="auto" w:fill="auto"/>
            <w:vAlign w:val="center"/>
            <w:hideMark/>
          </w:tcPr>
          <w:p w14:paraId="4E0CD532"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 xml:space="preserve">Regulatory statements </w:t>
            </w:r>
          </w:p>
        </w:tc>
        <w:tc>
          <w:tcPr>
            <w:tcW w:w="1597" w:type="dxa"/>
            <w:vMerge/>
            <w:tcBorders>
              <w:top w:val="nil"/>
              <w:left w:val="single" w:sz="4" w:space="0" w:color="auto"/>
              <w:bottom w:val="single" w:sz="4" w:space="0" w:color="7F7F7F" w:themeColor="text1" w:themeTint="80"/>
              <w:right w:val="single" w:sz="4" w:space="0" w:color="auto"/>
            </w:tcBorders>
            <w:vAlign w:val="center"/>
            <w:hideMark/>
          </w:tcPr>
          <w:p w14:paraId="5D5BBB06"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3696" w:type="dxa"/>
            <w:tcBorders>
              <w:top w:val="nil"/>
              <w:left w:val="nil"/>
              <w:bottom w:val="single" w:sz="4" w:space="0" w:color="7F7F7F" w:themeColor="text1" w:themeTint="80"/>
              <w:right w:val="single" w:sz="4" w:space="0" w:color="auto"/>
            </w:tcBorders>
            <w:shd w:val="clear" w:color="auto" w:fill="auto"/>
            <w:vAlign w:val="center"/>
            <w:hideMark/>
          </w:tcPr>
          <w:p w14:paraId="2322C98C"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"Regulatory warning" OR "Regulatory labels" OR "Regulatory statements" OR "Safety updates"</w:t>
            </w:r>
          </w:p>
        </w:tc>
        <w:tc>
          <w:tcPr>
            <w:tcW w:w="0" w:type="auto"/>
            <w:vAlign w:val="center"/>
            <w:hideMark/>
          </w:tcPr>
          <w:p w14:paraId="089AB6B6"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6EB9D2FF" w14:textId="77777777" w:rsidTr="00F27630">
        <w:trPr>
          <w:trHeight w:val="700"/>
        </w:trPr>
        <w:tc>
          <w:tcPr>
            <w:tcW w:w="0" w:type="auto"/>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B3C767B"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Perception and awareness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99A0567"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 xml:space="preserve">HCP awareness </w:t>
            </w:r>
          </w:p>
        </w:tc>
        <w:tc>
          <w:tcPr>
            <w:tcW w:w="159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4CE2D84"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3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4B4E669"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("Healthcare professionals" OR "HCP" OR "clinicians") AND ("awareness")</w:t>
            </w:r>
          </w:p>
        </w:tc>
        <w:tc>
          <w:tcPr>
            <w:tcW w:w="0" w:type="auto"/>
            <w:tcBorders>
              <w:left w:val="single" w:sz="4" w:space="0" w:color="7F7F7F" w:themeColor="text1" w:themeTint="80"/>
            </w:tcBorders>
            <w:vAlign w:val="center"/>
            <w:hideMark/>
          </w:tcPr>
          <w:p w14:paraId="0AF83299"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085475" w:rsidRPr="00085475" w14:paraId="5A569D15" w14:textId="77777777" w:rsidTr="00F27630">
        <w:trPr>
          <w:trHeight w:val="1050"/>
        </w:trPr>
        <w:tc>
          <w:tcPr>
            <w:tcW w:w="0" w:type="auto"/>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9E08269"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4F7E70F"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HCP perception</w:t>
            </w:r>
          </w:p>
        </w:tc>
        <w:tc>
          <w:tcPr>
            <w:tcW w:w="159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5682064"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p>
        </w:tc>
        <w:tc>
          <w:tcPr>
            <w:tcW w:w="3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56AF4C0E" w14:textId="77777777" w:rsidR="00085475" w:rsidRPr="00085475" w:rsidRDefault="00085475" w:rsidP="00085475">
            <w:pPr>
              <w:spacing w:after="0" w:line="360" w:lineRule="auto"/>
              <w:rPr>
                <w:rFonts w:ascii="Arial" w:eastAsia="Times New Roman" w:hAnsi="Arial" w:cs="Arial"/>
                <w:color w:val="000000"/>
                <w:sz w:val="20"/>
                <w:szCs w:val="20"/>
                <w:lang w:val="en-SG" w:eastAsia="en-SG"/>
              </w:rPr>
            </w:pPr>
            <w:r w:rsidRPr="00085475">
              <w:rPr>
                <w:rFonts w:ascii="Arial" w:eastAsia="Times New Roman" w:hAnsi="Arial" w:cs="Arial"/>
                <w:color w:val="000000"/>
                <w:sz w:val="20"/>
                <w:szCs w:val="20"/>
                <w:lang w:val="en-SG" w:eastAsia="en-SG"/>
              </w:rPr>
              <w:t>("Healthcare professionals" OR "HCP" OR "clinicians") AND ("perception" OR "attitudes" OR "beliefs" OR "perspective")</w:t>
            </w:r>
          </w:p>
        </w:tc>
        <w:tc>
          <w:tcPr>
            <w:tcW w:w="0" w:type="auto"/>
            <w:tcBorders>
              <w:left w:val="single" w:sz="4" w:space="0" w:color="7F7F7F" w:themeColor="text1" w:themeTint="80"/>
            </w:tcBorders>
            <w:vAlign w:val="center"/>
            <w:hideMark/>
          </w:tcPr>
          <w:p w14:paraId="1E05A9FA" w14:textId="77777777" w:rsidR="00085475" w:rsidRPr="00085475" w:rsidRDefault="00085475" w:rsidP="00085475">
            <w:pPr>
              <w:spacing w:after="0" w:line="480" w:lineRule="auto"/>
              <w:rPr>
                <w:rFonts w:ascii="Arial" w:eastAsia="Times New Roman" w:hAnsi="Arial" w:cs="Arial"/>
                <w:sz w:val="20"/>
                <w:szCs w:val="20"/>
                <w:lang w:val="en-SG" w:eastAsia="en-SG"/>
              </w:rPr>
            </w:pPr>
          </w:p>
        </w:tc>
      </w:tr>
      <w:tr w:rsidR="00C922AD" w:rsidRPr="00085475" w14:paraId="2DEBD252" w14:textId="77777777" w:rsidTr="00F27630">
        <w:trPr>
          <w:trHeight w:val="1050"/>
        </w:trPr>
        <w:tc>
          <w:tcPr>
            <w:tcW w:w="912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E997E4" w14:textId="687ECA0D" w:rsidR="00C922AD" w:rsidRPr="00C922AD" w:rsidRDefault="00C922AD" w:rsidP="00C922AD">
            <w:pPr>
              <w:spacing w:line="480" w:lineRule="auto"/>
              <w:rPr>
                <w:rFonts w:ascii="Arial" w:eastAsia="Calibri" w:hAnsi="Arial" w:cs="Arial"/>
                <w:i/>
                <w:kern w:val="2"/>
                <w:sz w:val="20"/>
                <w:szCs w:val="20"/>
                <w:lang w:val="en-SG" w:eastAsia="en-US"/>
                <w14:ligatures w14:val="standardContextual"/>
              </w:rPr>
            </w:pPr>
            <w:r w:rsidRPr="00085475">
              <w:rPr>
                <w:rFonts w:ascii="Arial" w:eastAsia="Calibri" w:hAnsi="Arial" w:cs="Arial"/>
                <w:b/>
                <w:bCs/>
                <w:kern w:val="2"/>
                <w:sz w:val="20"/>
                <w:szCs w:val="20"/>
                <w:lang w:val="en-SG" w:eastAsia="en-US"/>
                <w14:ligatures w14:val="standardContextual"/>
              </w:rPr>
              <w:t>Abbreviations</w:t>
            </w:r>
            <w:r w:rsidRPr="00085475">
              <w:rPr>
                <w:rFonts w:ascii="Arial" w:eastAsia="Calibri" w:hAnsi="Arial" w:cs="Arial"/>
                <w:i/>
                <w:iCs/>
                <w:kern w:val="2"/>
                <w:sz w:val="20"/>
                <w:szCs w:val="20"/>
                <w:lang w:val="en-SG" w:eastAsia="en-US"/>
                <w14:ligatures w14:val="standardContextual"/>
              </w:rPr>
              <w:t xml:space="preserve">: </w:t>
            </w:r>
            <w:r w:rsidRPr="00085475">
              <w:rPr>
                <w:rFonts w:ascii="Arial" w:eastAsia="Calibri" w:hAnsi="Arial" w:cs="Arial"/>
                <w:kern w:val="2"/>
                <w:sz w:val="20"/>
                <w:szCs w:val="20"/>
                <w:lang w:val="en-SG" w:eastAsia="en-US"/>
                <w14:ligatures w14:val="standardContextual"/>
              </w:rPr>
              <w:t>HCP, Health care professional; MOA, Mechanism of action; PD, Pharmacodynamics; PK, Pharmacokinetics.</w:t>
            </w:r>
          </w:p>
        </w:tc>
        <w:tc>
          <w:tcPr>
            <w:tcW w:w="0" w:type="auto"/>
            <w:tcBorders>
              <w:left w:val="single" w:sz="4" w:space="0" w:color="7F7F7F" w:themeColor="text1" w:themeTint="80"/>
            </w:tcBorders>
            <w:vAlign w:val="center"/>
          </w:tcPr>
          <w:p w14:paraId="7174EE6D" w14:textId="77777777" w:rsidR="00C922AD" w:rsidRPr="00085475" w:rsidRDefault="00C922AD" w:rsidP="00085475">
            <w:pPr>
              <w:spacing w:after="0" w:line="480" w:lineRule="auto"/>
              <w:rPr>
                <w:rFonts w:ascii="Arial" w:eastAsia="Times New Roman" w:hAnsi="Arial" w:cs="Arial"/>
                <w:sz w:val="20"/>
                <w:szCs w:val="20"/>
                <w:lang w:val="en-SG" w:eastAsia="en-SG"/>
              </w:rPr>
            </w:pPr>
          </w:p>
        </w:tc>
      </w:tr>
    </w:tbl>
    <w:p w14:paraId="232B077C" w14:textId="77777777" w:rsidR="000F4EDC" w:rsidRDefault="000F4EDC" w:rsidP="00085475">
      <w:pPr>
        <w:spacing w:line="480" w:lineRule="auto"/>
        <w:rPr>
          <w:rFonts w:ascii="Arial" w:eastAsia="Calibri" w:hAnsi="Arial" w:cs="Arial"/>
          <w:b/>
          <w:bCs/>
          <w:kern w:val="2"/>
          <w:sz w:val="20"/>
          <w:szCs w:val="20"/>
          <w:lang w:val="en-SG" w:eastAsia="en-US"/>
          <w14:ligatures w14:val="standardContextual"/>
        </w:rPr>
      </w:pPr>
    </w:p>
    <w:tbl>
      <w:tblPr>
        <w:tblStyle w:val="TableGrid"/>
        <w:tblW w:w="0" w:type="auto"/>
        <w:tblLook w:val="04A0" w:firstRow="1" w:lastRow="0" w:firstColumn="1" w:lastColumn="0" w:noHBand="0" w:noVBand="1"/>
      </w:tblPr>
      <w:tblGrid>
        <w:gridCol w:w="539"/>
        <w:gridCol w:w="5542"/>
        <w:gridCol w:w="3269"/>
      </w:tblGrid>
      <w:tr w:rsidR="00A6338B" w:rsidRPr="005476A4" w14:paraId="79162776" w14:textId="77777777" w:rsidTr="00A6338B">
        <w:trPr>
          <w:trHeight w:val="492"/>
        </w:trPr>
        <w:tc>
          <w:tcPr>
            <w:tcW w:w="0" w:type="auto"/>
            <w:gridSpan w:val="3"/>
            <w:tcBorders>
              <w:top w:val="single" w:sz="4" w:space="0" w:color="FFFFFF" w:themeColor="background1"/>
              <w:left w:val="single" w:sz="4" w:space="0" w:color="FFFFFF" w:themeColor="background1"/>
              <w:right w:val="single" w:sz="4" w:space="0" w:color="FFFFFF" w:themeColor="background1"/>
            </w:tcBorders>
          </w:tcPr>
          <w:p w14:paraId="3E310193" w14:textId="567EB1AE" w:rsidR="00A6338B" w:rsidRPr="005476A4" w:rsidRDefault="00F34B23" w:rsidP="001D5BD1">
            <w:pPr>
              <w:spacing w:line="480" w:lineRule="auto"/>
              <w:rPr>
                <w:rFonts w:ascii="Arial" w:eastAsia="Calibri" w:hAnsi="Arial" w:cs="Arial"/>
                <w:sz w:val="20"/>
                <w:szCs w:val="20"/>
                <w:lang w:val="en-SG"/>
              </w:rPr>
            </w:pPr>
            <w:r>
              <w:rPr>
                <w:rFonts w:ascii="Arial" w:eastAsia="Calibri" w:hAnsi="Arial" w:cs="Arial"/>
                <w:b/>
                <w:bCs/>
                <w:sz w:val="20"/>
                <w:szCs w:val="20"/>
                <w:lang w:val="en-SG"/>
              </w:rPr>
              <w:lastRenderedPageBreak/>
              <w:t xml:space="preserve">Table </w:t>
            </w:r>
            <w:r w:rsidR="00A6338B" w:rsidRPr="00085475">
              <w:rPr>
                <w:rFonts w:ascii="Arial" w:eastAsia="Calibri" w:hAnsi="Arial" w:cs="Arial"/>
                <w:b/>
                <w:bCs/>
                <w:sz w:val="20"/>
                <w:szCs w:val="20"/>
                <w:lang w:val="en-SG"/>
              </w:rPr>
              <w:t>S</w:t>
            </w:r>
            <w:r w:rsidR="003B5047">
              <w:rPr>
                <w:rFonts w:ascii="Arial" w:eastAsia="Calibri" w:hAnsi="Arial" w:cs="Arial"/>
                <w:b/>
                <w:bCs/>
                <w:sz w:val="20"/>
                <w:szCs w:val="20"/>
                <w:lang w:val="en-SG"/>
              </w:rPr>
              <w:t>3</w:t>
            </w:r>
            <w:r w:rsidR="00A6338B" w:rsidRPr="00085475">
              <w:rPr>
                <w:rFonts w:ascii="Arial" w:eastAsia="Calibri" w:hAnsi="Arial" w:cs="Arial"/>
                <w:b/>
                <w:sz w:val="20"/>
                <w:szCs w:val="20"/>
                <w:lang w:val="en-SG"/>
              </w:rPr>
              <w:t xml:space="preserve"> </w:t>
            </w:r>
            <w:r w:rsidR="00505368" w:rsidRPr="000E2D8C">
              <w:rPr>
                <w:rFonts w:ascii="Arial" w:eastAsia="Calibri" w:hAnsi="Arial" w:cs="Arial"/>
                <w:sz w:val="20"/>
                <w:szCs w:val="20"/>
                <w:lang w:val="en-SG"/>
              </w:rPr>
              <w:t xml:space="preserve">Initial </w:t>
            </w:r>
            <w:r w:rsidR="00A6338B">
              <w:rPr>
                <w:rFonts w:ascii="Arial" w:eastAsia="Calibri" w:hAnsi="Arial" w:cs="Arial"/>
                <w:sz w:val="20"/>
                <w:szCs w:val="20"/>
                <w:lang w:val="en-SG"/>
              </w:rPr>
              <w:t xml:space="preserve">consensus statements </w:t>
            </w:r>
            <w:r w:rsidR="002C131D">
              <w:rPr>
                <w:rFonts w:ascii="Arial" w:eastAsia="Calibri" w:hAnsi="Arial" w:cs="Arial"/>
                <w:sz w:val="20"/>
                <w:szCs w:val="20"/>
                <w:lang w:val="en-SG"/>
              </w:rPr>
              <w:t xml:space="preserve">considered in the literature </w:t>
            </w:r>
            <w:r w:rsidR="00A6338B">
              <w:rPr>
                <w:rFonts w:ascii="Arial" w:eastAsia="Calibri" w:hAnsi="Arial" w:cs="Arial"/>
                <w:sz w:val="20"/>
                <w:szCs w:val="20"/>
                <w:lang w:val="en-SG"/>
              </w:rPr>
              <w:t>and references</w:t>
            </w:r>
          </w:p>
        </w:tc>
      </w:tr>
      <w:tr w:rsidR="00A6338B" w:rsidRPr="00461BC9" w14:paraId="22D524EC" w14:textId="77777777" w:rsidTr="00A6338B">
        <w:trPr>
          <w:trHeight w:val="492"/>
        </w:trPr>
        <w:tc>
          <w:tcPr>
            <w:tcW w:w="0" w:type="auto"/>
          </w:tcPr>
          <w:p w14:paraId="61F4C982" w14:textId="77777777" w:rsidR="00A6338B" w:rsidRPr="00461BC9" w:rsidRDefault="00A6338B" w:rsidP="001D5BD1">
            <w:pPr>
              <w:spacing w:line="480" w:lineRule="auto"/>
              <w:rPr>
                <w:rFonts w:ascii="Arial" w:hAnsi="Arial" w:cs="Arial"/>
                <w:b/>
                <w:sz w:val="20"/>
                <w:szCs w:val="20"/>
              </w:rPr>
            </w:pPr>
            <w:r w:rsidRPr="00461BC9">
              <w:rPr>
                <w:rFonts w:ascii="Arial" w:hAnsi="Arial" w:cs="Arial"/>
                <w:b/>
                <w:sz w:val="20"/>
                <w:szCs w:val="20"/>
              </w:rPr>
              <w:t>No.</w:t>
            </w:r>
          </w:p>
        </w:tc>
        <w:tc>
          <w:tcPr>
            <w:tcW w:w="0" w:type="auto"/>
          </w:tcPr>
          <w:p w14:paraId="06E372F2" w14:textId="77777777" w:rsidR="00A6338B" w:rsidRPr="00461BC9" w:rsidRDefault="00A6338B" w:rsidP="001D5BD1">
            <w:pPr>
              <w:spacing w:line="480" w:lineRule="auto"/>
              <w:rPr>
                <w:rFonts w:ascii="Arial" w:hAnsi="Arial" w:cs="Arial"/>
                <w:b/>
                <w:sz w:val="20"/>
                <w:szCs w:val="20"/>
              </w:rPr>
            </w:pPr>
            <w:r w:rsidRPr="00461BC9">
              <w:rPr>
                <w:rFonts w:ascii="Arial" w:hAnsi="Arial" w:cs="Arial"/>
                <w:b/>
                <w:sz w:val="20"/>
                <w:szCs w:val="20"/>
              </w:rPr>
              <w:t>Consensus statement</w:t>
            </w:r>
          </w:p>
        </w:tc>
        <w:tc>
          <w:tcPr>
            <w:tcW w:w="0" w:type="auto"/>
          </w:tcPr>
          <w:p w14:paraId="5EBD64E9" w14:textId="77777777" w:rsidR="00A6338B" w:rsidRPr="00461BC9" w:rsidRDefault="00A6338B" w:rsidP="001D5BD1">
            <w:pPr>
              <w:spacing w:line="480" w:lineRule="auto"/>
              <w:rPr>
                <w:rFonts w:ascii="Arial" w:hAnsi="Arial" w:cs="Arial"/>
                <w:b/>
                <w:sz w:val="20"/>
                <w:szCs w:val="20"/>
              </w:rPr>
            </w:pPr>
            <w:r w:rsidRPr="00461BC9">
              <w:rPr>
                <w:rFonts w:ascii="Arial" w:hAnsi="Arial" w:cs="Arial"/>
                <w:b/>
                <w:sz w:val="20"/>
                <w:szCs w:val="20"/>
              </w:rPr>
              <w:t>References</w:t>
            </w:r>
          </w:p>
        </w:tc>
      </w:tr>
      <w:tr w:rsidR="00051392" w:rsidRPr="00461BC9" w14:paraId="7610CCD8" w14:textId="77777777" w:rsidTr="00A6338B">
        <w:trPr>
          <w:trHeight w:val="1231"/>
        </w:trPr>
        <w:tc>
          <w:tcPr>
            <w:tcW w:w="0" w:type="auto"/>
          </w:tcPr>
          <w:p w14:paraId="65F64940"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1</w:t>
            </w:r>
          </w:p>
        </w:tc>
        <w:tc>
          <w:tcPr>
            <w:tcW w:w="0" w:type="auto"/>
          </w:tcPr>
          <w:p w14:paraId="3464FC16"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Vitamin B6 and its metabolites are essential for the functioning of the nervous system, as a coenzyme for metabolic reactions that is crucial for synthesis of neurotransmitters such as γ-aminobutyric-acid (GABA), dopamine, epinephrine and serotonin. ​</w:t>
            </w:r>
          </w:p>
        </w:tc>
        <w:tc>
          <w:tcPr>
            <w:tcW w:w="0" w:type="auto"/>
            <w:vAlign w:val="center"/>
          </w:tcPr>
          <w:p w14:paraId="092A34C5"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Birch</w:t>
            </w:r>
            <w:proofErr w:type="spellEnd"/>
            <w:r w:rsidRPr="001D5BD1">
              <w:rPr>
                <w:rFonts w:ascii="Arial" w:hAnsi="Arial" w:cs="Arial"/>
                <w:sz w:val="20"/>
                <w:szCs w:val="20"/>
                <w:lang w:val="fr-FR"/>
              </w:rPr>
              <w:t xml:space="preserve"> et al. (1935)</w:t>
            </w:r>
            <w:r w:rsidRPr="001D5BD1">
              <w:rPr>
                <w:rFonts w:ascii="Arial" w:hAnsi="Arial" w:cs="Arial"/>
                <w:sz w:val="20"/>
                <w:szCs w:val="20"/>
                <w:vertAlign w:val="superscript"/>
                <w:lang w:val="fr-FR"/>
              </w:rPr>
              <w:t>1</w:t>
            </w:r>
          </w:p>
          <w:p w14:paraId="333720CA"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Rioult-Pedotti</w:t>
            </w:r>
            <w:proofErr w:type="spellEnd"/>
            <w:r w:rsidRPr="001D5BD1">
              <w:rPr>
                <w:rFonts w:ascii="Arial" w:hAnsi="Arial" w:cs="Arial"/>
                <w:sz w:val="20"/>
                <w:szCs w:val="20"/>
                <w:lang w:val="fr-FR"/>
              </w:rPr>
              <w:t xml:space="preserve"> et al. (2015)</w:t>
            </w:r>
            <w:r w:rsidRPr="001D5BD1">
              <w:rPr>
                <w:rFonts w:ascii="Arial" w:hAnsi="Arial" w:cs="Arial"/>
                <w:sz w:val="20"/>
                <w:szCs w:val="20"/>
                <w:vertAlign w:val="superscript"/>
                <w:lang w:val="fr-FR"/>
              </w:rPr>
              <w:t>2</w:t>
            </w:r>
          </w:p>
          <w:p w14:paraId="64F1BA33"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Gwak</w:t>
            </w:r>
            <w:proofErr w:type="spellEnd"/>
            <w:r w:rsidRPr="001D5BD1">
              <w:rPr>
                <w:rFonts w:ascii="Arial" w:hAnsi="Arial" w:cs="Arial"/>
                <w:sz w:val="20"/>
                <w:szCs w:val="20"/>
                <w:lang w:val="fr-FR"/>
              </w:rPr>
              <w:t xml:space="preserve"> et al. (2011)</w:t>
            </w:r>
            <w:r w:rsidRPr="001D5BD1">
              <w:rPr>
                <w:rFonts w:ascii="Arial" w:hAnsi="Arial" w:cs="Arial"/>
                <w:sz w:val="20"/>
                <w:szCs w:val="20"/>
                <w:vertAlign w:val="superscript"/>
                <w:lang w:val="fr-FR"/>
              </w:rPr>
              <w:t>3</w:t>
            </w:r>
          </w:p>
          <w:p w14:paraId="2881280C"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Parra et al. (2018)</w:t>
            </w:r>
            <w:r w:rsidRPr="001D5BD1">
              <w:rPr>
                <w:rFonts w:ascii="Arial" w:hAnsi="Arial" w:cs="Arial"/>
                <w:sz w:val="20"/>
                <w:szCs w:val="20"/>
                <w:vertAlign w:val="superscript"/>
                <w:lang w:val="fr-FR"/>
              </w:rPr>
              <w:t>4</w:t>
            </w:r>
          </w:p>
          <w:p w14:paraId="3E2394D0" w14:textId="7DEA0EF3" w:rsidR="00051392" w:rsidRPr="00461BC9" w:rsidRDefault="00051392" w:rsidP="00051392">
            <w:pPr>
              <w:spacing w:line="480" w:lineRule="auto"/>
              <w:jc w:val="center"/>
              <w:rPr>
                <w:rFonts w:ascii="Arial" w:hAnsi="Arial" w:cs="Arial"/>
                <w:sz w:val="20"/>
                <w:szCs w:val="20"/>
                <w:lang w:val="en-SG"/>
              </w:rPr>
            </w:pPr>
            <w:r w:rsidRPr="001D5BD1">
              <w:rPr>
                <w:rFonts w:ascii="Arial" w:hAnsi="Arial" w:cs="Arial"/>
                <w:sz w:val="20"/>
                <w:szCs w:val="20"/>
                <w:lang w:val="fr-FR"/>
              </w:rPr>
              <w:t xml:space="preserve">Young et al. </w:t>
            </w:r>
            <w:r w:rsidRPr="00461BC9">
              <w:rPr>
                <w:rFonts w:ascii="Arial" w:hAnsi="Arial" w:cs="Arial"/>
                <w:sz w:val="20"/>
                <w:szCs w:val="20"/>
              </w:rPr>
              <w:t>(</w:t>
            </w:r>
            <w:r w:rsidRPr="00D10508">
              <w:rPr>
                <w:rFonts w:ascii="Arial" w:hAnsi="Arial" w:cs="Arial"/>
                <w:sz w:val="20"/>
                <w:szCs w:val="20"/>
              </w:rPr>
              <w:t>2002</w:t>
            </w:r>
            <w:r w:rsidRPr="00461BC9">
              <w:rPr>
                <w:rFonts w:ascii="Arial" w:hAnsi="Arial" w:cs="Arial"/>
                <w:sz w:val="20"/>
                <w:szCs w:val="20"/>
              </w:rPr>
              <w:t>)</w:t>
            </w:r>
            <w:r>
              <w:rPr>
                <w:rFonts w:ascii="Arial" w:hAnsi="Arial" w:cs="Arial"/>
                <w:sz w:val="20"/>
                <w:szCs w:val="20"/>
                <w:vertAlign w:val="superscript"/>
                <w:lang w:val="en-SG"/>
              </w:rPr>
              <w:t>5</w:t>
            </w:r>
          </w:p>
        </w:tc>
      </w:tr>
      <w:tr w:rsidR="00051392" w:rsidRPr="00461BC9" w14:paraId="780B3BCB" w14:textId="77777777" w:rsidTr="00A6338B">
        <w:trPr>
          <w:trHeight w:val="984"/>
        </w:trPr>
        <w:tc>
          <w:tcPr>
            <w:tcW w:w="0" w:type="auto"/>
          </w:tcPr>
          <w:p w14:paraId="7D8F8023"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2</w:t>
            </w:r>
          </w:p>
        </w:tc>
        <w:tc>
          <w:tcPr>
            <w:tcW w:w="0" w:type="auto"/>
          </w:tcPr>
          <w:p w14:paraId="0533C0B8"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Vitamin B6 deficiency may result in peripheral neuropathy, seborrheic dermatitis, microcytic anemia, dental decay, glossitis, seizures, depression, confusion and weakened immune function.</w:t>
            </w:r>
          </w:p>
        </w:tc>
        <w:tc>
          <w:tcPr>
            <w:tcW w:w="0" w:type="auto"/>
            <w:vAlign w:val="center"/>
          </w:tcPr>
          <w:p w14:paraId="6D28FD95"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Abosamak</w:t>
            </w:r>
            <w:proofErr w:type="spellEnd"/>
            <w:r w:rsidRPr="001D5BD1">
              <w:rPr>
                <w:rFonts w:ascii="Arial" w:hAnsi="Arial" w:cs="Arial"/>
                <w:sz w:val="20"/>
                <w:szCs w:val="20"/>
                <w:lang w:val="fr-FR"/>
              </w:rPr>
              <w:t xml:space="preserve"> et al. (2023)</w:t>
            </w:r>
            <w:r w:rsidRPr="001D5BD1">
              <w:rPr>
                <w:rFonts w:ascii="Arial" w:hAnsi="Arial" w:cs="Arial"/>
                <w:sz w:val="20"/>
                <w:szCs w:val="20"/>
                <w:vertAlign w:val="superscript"/>
                <w:lang w:val="fr-FR"/>
              </w:rPr>
              <w:t>6</w:t>
            </w:r>
          </w:p>
          <w:p w14:paraId="589535EA"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Parra et al. (2018)</w:t>
            </w:r>
            <w:r w:rsidRPr="001D5BD1">
              <w:rPr>
                <w:rFonts w:ascii="Arial" w:hAnsi="Arial" w:cs="Arial"/>
                <w:sz w:val="20"/>
                <w:szCs w:val="20"/>
                <w:vertAlign w:val="superscript"/>
                <w:lang w:val="fr-FR"/>
              </w:rPr>
              <w:t>4</w:t>
            </w:r>
          </w:p>
          <w:p w14:paraId="6F42245A"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Snider</w:t>
            </w:r>
            <w:proofErr w:type="spellEnd"/>
            <w:r w:rsidRPr="001D5BD1">
              <w:rPr>
                <w:rFonts w:ascii="Arial" w:hAnsi="Arial" w:cs="Arial"/>
                <w:sz w:val="20"/>
                <w:szCs w:val="20"/>
                <w:lang w:val="fr-FR"/>
              </w:rPr>
              <w:t xml:space="preserve"> et al. (1980)</w:t>
            </w:r>
            <w:r w:rsidRPr="001D5BD1">
              <w:rPr>
                <w:rFonts w:ascii="Arial" w:hAnsi="Arial" w:cs="Arial"/>
                <w:sz w:val="20"/>
                <w:szCs w:val="20"/>
                <w:vertAlign w:val="superscript"/>
                <w:lang w:val="fr-FR"/>
              </w:rPr>
              <w:t>7</w:t>
            </w:r>
          </w:p>
          <w:p w14:paraId="5779826F"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Muhamad</w:t>
            </w:r>
            <w:proofErr w:type="spellEnd"/>
            <w:r w:rsidRPr="001D5BD1">
              <w:rPr>
                <w:rFonts w:ascii="Arial" w:hAnsi="Arial" w:cs="Arial"/>
                <w:sz w:val="20"/>
                <w:szCs w:val="20"/>
                <w:lang w:val="fr-FR"/>
              </w:rPr>
              <w:t xml:space="preserve"> et al. (2023)</w:t>
            </w:r>
            <w:r w:rsidRPr="001D5BD1">
              <w:rPr>
                <w:rFonts w:ascii="Arial" w:hAnsi="Arial" w:cs="Arial"/>
                <w:sz w:val="20"/>
                <w:szCs w:val="20"/>
                <w:vertAlign w:val="superscript"/>
                <w:lang w:val="fr-FR"/>
              </w:rPr>
              <w:t>8</w:t>
            </w:r>
          </w:p>
          <w:p w14:paraId="6B8DD255"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Raskin</w:t>
            </w:r>
            <w:proofErr w:type="spellEnd"/>
            <w:r w:rsidRPr="001D5BD1">
              <w:rPr>
                <w:rFonts w:ascii="Arial" w:hAnsi="Arial" w:cs="Arial"/>
                <w:sz w:val="20"/>
                <w:szCs w:val="20"/>
                <w:lang w:val="fr-FR"/>
              </w:rPr>
              <w:t xml:space="preserve"> et al. (1965)</w:t>
            </w:r>
            <w:r w:rsidRPr="001D5BD1">
              <w:rPr>
                <w:rFonts w:ascii="Arial" w:hAnsi="Arial" w:cs="Arial"/>
                <w:sz w:val="20"/>
                <w:szCs w:val="20"/>
                <w:vertAlign w:val="superscript"/>
                <w:lang w:val="fr-FR"/>
              </w:rPr>
              <w:t>9</w:t>
            </w:r>
          </w:p>
          <w:p w14:paraId="3ACB0A4E" w14:textId="77777777" w:rsidR="00051392" w:rsidRPr="00461BC9" w:rsidRDefault="00051392" w:rsidP="00051392">
            <w:pPr>
              <w:spacing w:line="480" w:lineRule="auto"/>
              <w:jc w:val="center"/>
              <w:rPr>
                <w:rFonts w:ascii="Arial" w:hAnsi="Arial" w:cs="Arial"/>
                <w:sz w:val="20"/>
                <w:szCs w:val="20"/>
              </w:rPr>
            </w:pPr>
            <w:r w:rsidRPr="001D5BD1">
              <w:rPr>
                <w:rFonts w:ascii="Arial" w:hAnsi="Arial" w:cs="Arial"/>
                <w:sz w:val="20"/>
                <w:szCs w:val="20"/>
                <w:lang w:val="fr-FR"/>
              </w:rPr>
              <w:t xml:space="preserve">Nair et al. </w:t>
            </w:r>
            <w:r w:rsidRPr="00461BC9">
              <w:rPr>
                <w:rFonts w:ascii="Arial" w:hAnsi="Arial" w:cs="Arial"/>
                <w:sz w:val="20"/>
                <w:szCs w:val="20"/>
              </w:rPr>
              <w:t>(</w:t>
            </w:r>
            <w:r w:rsidRPr="00310B97">
              <w:rPr>
                <w:rFonts w:ascii="Arial" w:hAnsi="Arial" w:cs="Arial"/>
                <w:sz w:val="20"/>
                <w:szCs w:val="20"/>
              </w:rPr>
              <w:t>1976</w:t>
            </w:r>
            <w:r w:rsidRPr="00461BC9">
              <w:rPr>
                <w:rFonts w:ascii="Arial" w:hAnsi="Arial" w:cs="Arial"/>
                <w:sz w:val="20"/>
                <w:szCs w:val="20"/>
              </w:rPr>
              <w:t>)</w:t>
            </w:r>
            <w:r>
              <w:rPr>
                <w:rFonts w:ascii="Arial" w:hAnsi="Arial" w:cs="Arial"/>
                <w:sz w:val="20"/>
                <w:szCs w:val="20"/>
                <w:vertAlign w:val="superscript"/>
                <w:lang w:val="en-SG"/>
              </w:rPr>
              <w:t>10</w:t>
            </w:r>
          </w:p>
          <w:p w14:paraId="1A571CE4" w14:textId="77777777" w:rsidR="00051392" w:rsidRPr="00461BC9" w:rsidRDefault="00051392" w:rsidP="00051392">
            <w:pPr>
              <w:spacing w:line="480" w:lineRule="auto"/>
              <w:jc w:val="center"/>
              <w:rPr>
                <w:rFonts w:ascii="Arial" w:hAnsi="Arial" w:cs="Arial"/>
                <w:sz w:val="20"/>
                <w:szCs w:val="20"/>
              </w:rPr>
            </w:pPr>
            <w:r w:rsidRPr="00310B97">
              <w:rPr>
                <w:rFonts w:ascii="Arial" w:hAnsi="Arial" w:cs="Arial"/>
                <w:sz w:val="20"/>
                <w:szCs w:val="20"/>
              </w:rPr>
              <w:t>Hoyumpa M</w:t>
            </w:r>
            <w:r>
              <w:rPr>
                <w:rFonts w:ascii="Arial" w:hAnsi="Arial" w:cs="Arial"/>
                <w:sz w:val="20"/>
                <w:szCs w:val="20"/>
              </w:rPr>
              <w:t xml:space="preserve"> </w:t>
            </w:r>
            <w:r>
              <w:rPr>
                <w:rFonts w:ascii="Arial" w:hAnsi="Arial" w:cs="Arial"/>
                <w:sz w:val="20"/>
                <w:szCs w:val="20"/>
                <w:lang w:val="en-SG"/>
              </w:rPr>
              <w:t>et al.</w:t>
            </w:r>
            <w:r w:rsidRPr="00310B97">
              <w:rPr>
                <w:rFonts w:ascii="Arial" w:hAnsi="Arial" w:cs="Arial"/>
                <w:sz w:val="20"/>
                <w:szCs w:val="20"/>
              </w:rPr>
              <w:t xml:space="preserve"> </w:t>
            </w:r>
            <w:r w:rsidRPr="00461BC9">
              <w:rPr>
                <w:rFonts w:ascii="Arial" w:hAnsi="Arial" w:cs="Arial"/>
                <w:sz w:val="20"/>
                <w:szCs w:val="20"/>
              </w:rPr>
              <w:t>(</w:t>
            </w:r>
            <w:r w:rsidRPr="00310B97">
              <w:rPr>
                <w:rFonts w:ascii="Arial" w:hAnsi="Arial" w:cs="Arial"/>
                <w:sz w:val="20"/>
                <w:szCs w:val="20"/>
              </w:rPr>
              <w:t>198</w:t>
            </w:r>
            <w:r w:rsidRPr="00461BC9">
              <w:rPr>
                <w:rFonts w:ascii="Arial" w:hAnsi="Arial" w:cs="Arial"/>
                <w:sz w:val="20"/>
                <w:szCs w:val="20"/>
              </w:rPr>
              <w:t>6)</w:t>
            </w:r>
            <w:r>
              <w:rPr>
                <w:rFonts w:ascii="Arial" w:hAnsi="Arial" w:cs="Arial"/>
                <w:sz w:val="20"/>
                <w:szCs w:val="20"/>
                <w:vertAlign w:val="superscript"/>
                <w:lang w:val="en-SG"/>
              </w:rPr>
              <w:t>11</w:t>
            </w:r>
          </w:p>
          <w:p w14:paraId="1AFC2668" w14:textId="77777777" w:rsidR="00051392" w:rsidRPr="00461BC9" w:rsidRDefault="00051392" w:rsidP="00051392">
            <w:pPr>
              <w:spacing w:line="480" w:lineRule="auto"/>
              <w:jc w:val="center"/>
              <w:rPr>
                <w:rFonts w:ascii="Arial" w:hAnsi="Arial" w:cs="Arial"/>
                <w:sz w:val="20"/>
                <w:szCs w:val="20"/>
              </w:rPr>
            </w:pPr>
            <w:r>
              <w:rPr>
                <w:rFonts w:ascii="Arial" w:hAnsi="Arial" w:cs="Arial"/>
                <w:sz w:val="20"/>
                <w:szCs w:val="20"/>
              </w:rPr>
              <w:t>World Health Organization</w:t>
            </w:r>
            <w:r w:rsidRPr="00461BC9">
              <w:rPr>
                <w:rFonts w:ascii="Arial" w:hAnsi="Arial" w:cs="Arial"/>
                <w:sz w:val="20"/>
                <w:szCs w:val="20"/>
              </w:rPr>
              <w:t xml:space="preserve"> (</w:t>
            </w:r>
            <w:r w:rsidRPr="00310B97">
              <w:rPr>
                <w:rFonts w:ascii="Arial" w:hAnsi="Arial" w:cs="Arial"/>
                <w:sz w:val="20"/>
                <w:szCs w:val="20"/>
              </w:rPr>
              <w:t>200</w:t>
            </w:r>
            <w:r w:rsidRPr="00461BC9">
              <w:rPr>
                <w:rFonts w:ascii="Arial" w:hAnsi="Arial" w:cs="Arial"/>
                <w:sz w:val="20"/>
                <w:szCs w:val="20"/>
              </w:rPr>
              <w:t>4)</w:t>
            </w:r>
            <w:r>
              <w:rPr>
                <w:rFonts w:ascii="Arial" w:hAnsi="Arial" w:cs="Arial"/>
                <w:sz w:val="20"/>
                <w:szCs w:val="20"/>
                <w:vertAlign w:val="superscript"/>
                <w:lang w:val="en-SG"/>
              </w:rPr>
              <w:t>12</w:t>
            </w:r>
          </w:p>
          <w:p w14:paraId="6D1920C6" w14:textId="565A1382" w:rsidR="00051392" w:rsidRPr="00461BC9" w:rsidRDefault="00051392" w:rsidP="00051392">
            <w:pPr>
              <w:spacing w:line="480" w:lineRule="auto"/>
              <w:jc w:val="center"/>
              <w:rPr>
                <w:rFonts w:ascii="Arial" w:hAnsi="Arial" w:cs="Arial"/>
                <w:sz w:val="20"/>
                <w:szCs w:val="20"/>
              </w:rPr>
            </w:pPr>
            <w:proofErr w:type="spellStart"/>
            <w:r w:rsidRPr="00310B97">
              <w:rPr>
                <w:rFonts w:ascii="Arial" w:hAnsi="Arial" w:cs="Arial"/>
                <w:sz w:val="20"/>
                <w:szCs w:val="20"/>
              </w:rPr>
              <w:t>Ghavanini</w:t>
            </w:r>
            <w:proofErr w:type="spellEnd"/>
            <w:r w:rsidRPr="00310B97">
              <w:rPr>
                <w:rFonts w:ascii="Arial" w:hAnsi="Arial" w:cs="Arial"/>
                <w:sz w:val="20"/>
                <w:szCs w:val="20"/>
              </w:rPr>
              <w:t xml:space="preserve"> </w:t>
            </w:r>
            <w:r>
              <w:rPr>
                <w:rFonts w:ascii="Arial" w:hAnsi="Arial" w:cs="Arial"/>
                <w:sz w:val="20"/>
                <w:szCs w:val="20"/>
                <w:lang w:val="en-SG"/>
              </w:rPr>
              <w:t>et al.</w:t>
            </w:r>
            <w:r>
              <w:rPr>
                <w:rFonts w:ascii="Arial" w:hAnsi="Arial" w:cs="Arial"/>
                <w:sz w:val="20"/>
                <w:szCs w:val="20"/>
              </w:rPr>
              <w:t xml:space="preserve"> </w:t>
            </w:r>
            <w:r w:rsidRPr="00461BC9">
              <w:rPr>
                <w:rFonts w:ascii="Arial" w:hAnsi="Arial" w:cs="Arial"/>
                <w:sz w:val="20"/>
                <w:szCs w:val="20"/>
              </w:rPr>
              <w:t>(</w:t>
            </w:r>
            <w:r w:rsidRPr="00310B97">
              <w:rPr>
                <w:rFonts w:ascii="Arial" w:hAnsi="Arial" w:cs="Arial"/>
                <w:sz w:val="20"/>
                <w:szCs w:val="20"/>
              </w:rPr>
              <w:t>2014</w:t>
            </w:r>
            <w:r w:rsidRPr="00461BC9">
              <w:rPr>
                <w:rFonts w:ascii="Arial" w:hAnsi="Arial" w:cs="Arial"/>
                <w:sz w:val="20"/>
                <w:szCs w:val="20"/>
              </w:rPr>
              <w:t>)</w:t>
            </w:r>
            <w:r>
              <w:rPr>
                <w:rFonts w:ascii="Arial" w:hAnsi="Arial" w:cs="Arial"/>
                <w:sz w:val="20"/>
                <w:szCs w:val="20"/>
                <w:vertAlign w:val="superscript"/>
                <w:lang w:val="en-SG"/>
              </w:rPr>
              <w:t>13</w:t>
            </w:r>
          </w:p>
        </w:tc>
      </w:tr>
      <w:tr w:rsidR="00051392" w:rsidRPr="00461BC9" w14:paraId="779EF49F" w14:textId="77777777" w:rsidTr="00A6338B">
        <w:trPr>
          <w:trHeight w:val="1970"/>
        </w:trPr>
        <w:tc>
          <w:tcPr>
            <w:tcW w:w="0" w:type="auto"/>
          </w:tcPr>
          <w:p w14:paraId="6201E24A"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3</w:t>
            </w:r>
          </w:p>
        </w:tc>
        <w:tc>
          <w:tcPr>
            <w:tcW w:w="0" w:type="auto"/>
          </w:tcPr>
          <w:p w14:paraId="7D532159"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 xml:space="preserve">Clear dose and duration recommendations associated with neuropathy etiology, patient risk groups, or symptoms severity have not been established. Clinicians should carefully evaluate each patient’s individual condition when deciding dosage and duration. Based on published literature and expert clinical practices, the following tolerable (maximum) daily dosage and associated duration of vitamin B6 intake is recommended for peripheral neuropathy as shown in Table 2. </w:t>
            </w:r>
          </w:p>
        </w:tc>
        <w:tc>
          <w:tcPr>
            <w:tcW w:w="0" w:type="auto"/>
            <w:vAlign w:val="center"/>
          </w:tcPr>
          <w:p w14:paraId="4039DB29" w14:textId="77777777" w:rsidR="00051392" w:rsidRPr="00461BC9" w:rsidRDefault="00051392" w:rsidP="00051392">
            <w:pPr>
              <w:spacing w:line="480" w:lineRule="auto"/>
              <w:jc w:val="center"/>
              <w:rPr>
                <w:rFonts w:ascii="Arial" w:hAnsi="Arial" w:cs="Arial"/>
                <w:sz w:val="20"/>
                <w:szCs w:val="20"/>
                <w:lang w:val="en-SG"/>
              </w:rPr>
            </w:pPr>
            <w:r w:rsidRPr="00461BC9">
              <w:rPr>
                <w:rFonts w:ascii="Arial" w:hAnsi="Arial" w:cs="Arial"/>
                <w:sz w:val="20"/>
                <w:szCs w:val="20"/>
                <w:lang w:val="en-SG"/>
              </w:rPr>
              <w:t>Institute of Medicine (US) Standing Committee on the Scientific Evaluation of Dietary Reference Intakes and its Panel on Folate, Other B Vitamins, and Choline (1998)</w:t>
            </w:r>
            <w:r>
              <w:rPr>
                <w:rFonts w:ascii="Arial" w:hAnsi="Arial" w:cs="Arial"/>
                <w:sz w:val="20"/>
                <w:szCs w:val="20"/>
                <w:vertAlign w:val="superscript"/>
                <w:lang w:val="en-SG"/>
              </w:rPr>
              <w:t>14</w:t>
            </w:r>
          </w:p>
          <w:p w14:paraId="069995C1" w14:textId="77777777" w:rsidR="00051392" w:rsidRPr="00461BC9" w:rsidRDefault="00051392" w:rsidP="00051392">
            <w:pPr>
              <w:spacing w:line="480" w:lineRule="auto"/>
              <w:jc w:val="center"/>
              <w:rPr>
                <w:rFonts w:ascii="Arial" w:hAnsi="Arial" w:cs="Arial"/>
                <w:sz w:val="20"/>
                <w:szCs w:val="20"/>
                <w:lang w:val="en-SG"/>
              </w:rPr>
            </w:pPr>
            <w:r w:rsidRPr="00310B97">
              <w:rPr>
                <w:rFonts w:ascii="Arial" w:hAnsi="Arial" w:cs="Arial"/>
                <w:sz w:val="20"/>
                <w:szCs w:val="20"/>
                <w:lang w:val="en-SG"/>
              </w:rPr>
              <w:t>National Health and Medical Research Council</w:t>
            </w:r>
            <w:r w:rsidRPr="00461BC9">
              <w:rPr>
                <w:rFonts w:ascii="Arial" w:hAnsi="Arial" w:cs="Arial"/>
                <w:sz w:val="20"/>
                <w:szCs w:val="20"/>
                <w:lang w:val="en-SG"/>
              </w:rPr>
              <w:t>,</w:t>
            </w:r>
            <w:r w:rsidRPr="00310B97">
              <w:rPr>
                <w:rFonts w:ascii="Arial" w:hAnsi="Arial" w:cs="Arial"/>
                <w:sz w:val="20"/>
                <w:szCs w:val="20"/>
                <w:lang w:val="en-SG"/>
              </w:rPr>
              <w:t xml:space="preserve"> Ministry of Health</w:t>
            </w:r>
            <w:r w:rsidRPr="00461BC9">
              <w:rPr>
                <w:rFonts w:ascii="Arial" w:hAnsi="Arial" w:cs="Arial"/>
                <w:sz w:val="20"/>
                <w:szCs w:val="20"/>
                <w:lang w:val="en-SG"/>
              </w:rPr>
              <w:t xml:space="preserve"> (</w:t>
            </w:r>
            <w:r w:rsidRPr="00310B97">
              <w:rPr>
                <w:rFonts w:ascii="Arial" w:hAnsi="Arial" w:cs="Arial"/>
                <w:sz w:val="20"/>
                <w:szCs w:val="20"/>
                <w:lang w:val="en-SG"/>
              </w:rPr>
              <w:t>2006</w:t>
            </w:r>
            <w:r w:rsidRPr="00461BC9">
              <w:rPr>
                <w:rFonts w:ascii="Arial" w:hAnsi="Arial" w:cs="Arial"/>
                <w:sz w:val="20"/>
                <w:szCs w:val="20"/>
                <w:lang w:val="en-SG"/>
              </w:rPr>
              <w:t>)</w:t>
            </w:r>
            <w:r>
              <w:rPr>
                <w:rFonts w:ascii="Arial" w:hAnsi="Arial" w:cs="Arial"/>
                <w:sz w:val="20"/>
                <w:szCs w:val="20"/>
                <w:vertAlign w:val="superscript"/>
                <w:lang w:val="en-SG"/>
              </w:rPr>
              <w:t>15</w:t>
            </w:r>
          </w:p>
          <w:p w14:paraId="4D12C921"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Bernstein et al. (1990)</w:t>
            </w:r>
            <w:r w:rsidRPr="001D5BD1">
              <w:rPr>
                <w:rFonts w:ascii="Arial" w:hAnsi="Arial" w:cs="Arial"/>
                <w:sz w:val="20"/>
                <w:szCs w:val="20"/>
                <w:vertAlign w:val="superscript"/>
                <w:lang w:val="fr-FR"/>
              </w:rPr>
              <w:t>16</w:t>
            </w:r>
          </w:p>
          <w:p w14:paraId="64BAE3C8"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lastRenderedPageBreak/>
              <w:t>Pietrzik</w:t>
            </w:r>
            <w:proofErr w:type="spellEnd"/>
            <w:r w:rsidRPr="001D5BD1">
              <w:rPr>
                <w:rFonts w:ascii="Arial" w:hAnsi="Arial" w:cs="Arial"/>
                <w:sz w:val="20"/>
                <w:szCs w:val="20"/>
                <w:lang w:val="fr-FR"/>
              </w:rPr>
              <w:t xml:space="preserve"> et al. (1991)</w:t>
            </w:r>
            <w:r w:rsidRPr="001D5BD1">
              <w:rPr>
                <w:rFonts w:ascii="Arial" w:hAnsi="Arial" w:cs="Arial"/>
                <w:sz w:val="20"/>
                <w:szCs w:val="20"/>
                <w:vertAlign w:val="superscript"/>
                <w:lang w:val="fr-FR"/>
              </w:rPr>
              <w:t>17</w:t>
            </w:r>
          </w:p>
          <w:p w14:paraId="70C165F7"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Janka</w:t>
            </w:r>
            <w:proofErr w:type="spellEnd"/>
            <w:r w:rsidRPr="001D5BD1">
              <w:rPr>
                <w:rFonts w:ascii="Arial" w:hAnsi="Arial" w:cs="Arial"/>
                <w:sz w:val="20"/>
                <w:szCs w:val="20"/>
                <w:lang w:val="fr-FR"/>
              </w:rPr>
              <w:t xml:space="preserve"> et al. (1991</w:t>
            </w:r>
            <w:r w:rsidRPr="001D5BD1">
              <w:rPr>
                <w:rFonts w:ascii="Arial" w:hAnsi="Arial" w:cs="Arial"/>
                <w:sz w:val="20"/>
                <w:szCs w:val="20"/>
                <w:vertAlign w:val="superscript"/>
                <w:lang w:val="fr-FR"/>
              </w:rPr>
              <w:t>18</w:t>
            </w:r>
          </w:p>
          <w:p w14:paraId="4671ADAA"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Coughlin et al (2021)</w:t>
            </w:r>
            <w:r w:rsidRPr="001D5BD1">
              <w:rPr>
                <w:rFonts w:ascii="Arial" w:hAnsi="Arial" w:cs="Arial"/>
                <w:sz w:val="20"/>
                <w:szCs w:val="20"/>
                <w:vertAlign w:val="superscript"/>
                <w:lang w:val="fr-FR"/>
              </w:rPr>
              <w:t>19</w:t>
            </w:r>
          </w:p>
          <w:p w14:paraId="12203332" w14:textId="77777777" w:rsidR="00051392" w:rsidRPr="00461BC9" w:rsidRDefault="00051392" w:rsidP="00051392">
            <w:pPr>
              <w:spacing w:line="480" w:lineRule="auto"/>
              <w:jc w:val="center"/>
              <w:rPr>
                <w:rFonts w:ascii="Arial" w:hAnsi="Arial" w:cs="Arial"/>
                <w:sz w:val="20"/>
                <w:szCs w:val="20"/>
                <w:lang w:val="en-SG"/>
              </w:rPr>
            </w:pPr>
            <w:r w:rsidRPr="00461BC9">
              <w:rPr>
                <w:rFonts w:ascii="Arial" w:hAnsi="Arial" w:cs="Arial"/>
                <w:sz w:val="20"/>
                <w:szCs w:val="20"/>
                <w:lang w:val="en-SG"/>
              </w:rPr>
              <w:t>T</w:t>
            </w:r>
            <w:r w:rsidRPr="00310B97">
              <w:rPr>
                <w:rFonts w:ascii="Arial" w:hAnsi="Arial" w:cs="Arial"/>
                <w:sz w:val="20"/>
                <w:szCs w:val="20"/>
                <w:lang w:val="en-SG"/>
              </w:rPr>
              <w:t>herapeutic Goods Administration (TGA)</w:t>
            </w:r>
            <w:r w:rsidRPr="00461BC9">
              <w:rPr>
                <w:rFonts w:ascii="Arial" w:hAnsi="Arial" w:cs="Arial"/>
                <w:sz w:val="20"/>
                <w:szCs w:val="20"/>
                <w:lang w:val="en-SG"/>
              </w:rPr>
              <w:t xml:space="preserve"> (</w:t>
            </w:r>
            <w:r w:rsidRPr="00310B97">
              <w:rPr>
                <w:rFonts w:ascii="Arial" w:hAnsi="Arial" w:cs="Arial"/>
                <w:sz w:val="20"/>
                <w:szCs w:val="20"/>
                <w:lang w:val="en-SG"/>
              </w:rPr>
              <w:t>2022</w:t>
            </w:r>
            <w:r w:rsidRPr="00461BC9">
              <w:rPr>
                <w:rFonts w:ascii="Arial" w:hAnsi="Arial" w:cs="Arial"/>
                <w:sz w:val="20"/>
                <w:szCs w:val="20"/>
                <w:lang w:val="en-SG"/>
              </w:rPr>
              <w:t>)</w:t>
            </w:r>
            <w:r>
              <w:rPr>
                <w:rFonts w:ascii="Arial" w:hAnsi="Arial" w:cs="Arial"/>
                <w:sz w:val="20"/>
                <w:szCs w:val="20"/>
                <w:vertAlign w:val="superscript"/>
                <w:lang w:val="en-SG"/>
              </w:rPr>
              <w:t>20</w:t>
            </w:r>
          </w:p>
          <w:p w14:paraId="52ADFBBA" w14:textId="7858AFDF" w:rsidR="00051392" w:rsidRPr="00461BC9" w:rsidRDefault="00051392" w:rsidP="00051392">
            <w:pPr>
              <w:spacing w:line="480" w:lineRule="auto"/>
              <w:jc w:val="center"/>
              <w:rPr>
                <w:rFonts w:ascii="Arial" w:hAnsi="Arial" w:cs="Arial"/>
                <w:sz w:val="20"/>
                <w:szCs w:val="20"/>
                <w:lang w:val="en-SG"/>
              </w:rPr>
            </w:pPr>
            <w:r w:rsidRPr="00310B97">
              <w:rPr>
                <w:rFonts w:ascii="Arial" w:hAnsi="Arial" w:cs="Arial"/>
                <w:sz w:val="20"/>
                <w:szCs w:val="20"/>
                <w:lang w:val="en-SG"/>
              </w:rPr>
              <w:t>Health Sciences Authority (</w:t>
            </w:r>
            <w:r w:rsidRPr="00461BC9">
              <w:rPr>
                <w:rFonts w:ascii="Arial" w:hAnsi="Arial" w:cs="Arial"/>
                <w:sz w:val="20"/>
                <w:szCs w:val="20"/>
                <w:lang w:val="en-SG"/>
              </w:rPr>
              <w:t>HS</w:t>
            </w:r>
            <w:r>
              <w:rPr>
                <w:rFonts w:ascii="Arial" w:hAnsi="Arial" w:cs="Arial"/>
                <w:sz w:val="20"/>
                <w:szCs w:val="20"/>
                <w:lang w:val="en-SG"/>
              </w:rPr>
              <w:t>A</w:t>
            </w:r>
            <w:r w:rsidRPr="00461BC9">
              <w:rPr>
                <w:rFonts w:ascii="Arial" w:hAnsi="Arial" w:cs="Arial"/>
                <w:sz w:val="20"/>
                <w:szCs w:val="20"/>
                <w:lang w:val="en-SG"/>
              </w:rPr>
              <w:t>) (2023)</w:t>
            </w:r>
            <w:r>
              <w:rPr>
                <w:rFonts w:ascii="Arial" w:hAnsi="Arial" w:cs="Arial"/>
                <w:sz w:val="20"/>
                <w:szCs w:val="20"/>
                <w:vertAlign w:val="superscript"/>
                <w:lang w:val="en-SG"/>
              </w:rPr>
              <w:t>21</w:t>
            </w:r>
          </w:p>
        </w:tc>
      </w:tr>
      <w:tr w:rsidR="00051392" w:rsidRPr="00461BC9" w14:paraId="15AA757E" w14:textId="77777777" w:rsidTr="00A6338B">
        <w:trPr>
          <w:trHeight w:val="841"/>
        </w:trPr>
        <w:tc>
          <w:tcPr>
            <w:tcW w:w="0" w:type="auto"/>
          </w:tcPr>
          <w:p w14:paraId="281B60BD"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lastRenderedPageBreak/>
              <w:t>4</w:t>
            </w:r>
          </w:p>
        </w:tc>
        <w:tc>
          <w:tcPr>
            <w:tcW w:w="0" w:type="auto"/>
          </w:tcPr>
          <w:p w14:paraId="3D5AF892"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Vitamin B6-induced neurological adverse events have been reported in high therapeutic dose and long-term usage. However, these are generally rare and may be reversible upon treatment cessation when recognized early. Regular monitoring by healthcare professionals, screening for history of vitamin consumption is key to early detection of adverse events.</w:t>
            </w:r>
          </w:p>
        </w:tc>
        <w:tc>
          <w:tcPr>
            <w:tcW w:w="0" w:type="auto"/>
            <w:vAlign w:val="center"/>
          </w:tcPr>
          <w:p w14:paraId="63FC3481"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Vrolijk</w:t>
            </w:r>
            <w:proofErr w:type="spellEnd"/>
            <w:r w:rsidRPr="001D5BD1">
              <w:rPr>
                <w:rFonts w:ascii="Arial" w:hAnsi="Arial" w:cs="Arial"/>
                <w:sz w:val="20"/>
                <w:szCs w:val="20"/>
                <w:lang w:val="fr-FR"/>
              </w:rPr>
              <w:t xml:space="preserve"> et al. (2020)</w:t>
            </w:r>
            <w:r w:rsidRPr="001D5BD1">
              <w:rPr>
                <w:rFonts w:ascii="Arial" w:hAnsi="Arial" w:cs="Arial"/>
                <w:sz w:val="20"/>
                <w:szCs w:val="20"/>
                <w:vertAlign w:val="superscript"/>
                <w:lang w:val="fr-FR"/>
              </w:rPr>
              <w:t>22</w:t>
            </w:r>
          </w:p>
          <w:p w14:paraId="5D772F06"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Muhamad</w:t>
            </w:r>
            <w:proofErr w:type="spellEnd"/>
            <w:r w:rsidRPr="001D5BD1">
              <w:rPr>
                <w:rFonts w:ascii="Arial" w:hAnsi="Arial" w:cs="Arial"/>
                <w:sz w:val="20"/>
                <w:szCs w:val="20"/>
                <w:lang w:val="fr-FR"/>
              </w:rPr>
              <w:t xml:space="preserve"> et al. (2023)</w:t>
            </w:r>
            <w:r w:rsidRPr="001D5BD1">
              <w:rPr>
                <w:rFonts w:ascii="Arial" w:hAnsi="Arial" w:cs="Arial"/>
                <w:sz w:val="20"/>
                <w:szCs w:val="20"/>
                <w:vertAlign w:val="superscript"/>
                <w:lang w:val="fr-FR"/>
              </w:rPr>
              <w:t>8</w:t>
            </w:r>
          </w:p>
          <w:p w14:paraId="4053E42D"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 xml:space="preserve">Van </w:t>
            </w:r>
            <w:proofErr w:type="spellStart"/>
            <w:r w:rsidRPr="001D5BD1">
              <w:rPr>
                <w:rFonts w:ascii="Arial" w:hAnsi="Arial" w:cs="Arial"/>
                <w:sz w:val="20"/>
                <w:szCs w:val="20"/>
                <w:lang w:val="fr-FR"/>
              </w:rPr>
              <w:t>Hunsel</w:t>
            </w:r>
            <w:proofErr w:type="spellEnd"/>
            <w:r w:rsidRPr="001D5BD1">
              <w:rPr>
                <w:rFonts w:ascii="Arial" w:hAnsi="Arial" w:cs="Arial"/>
                <w:sz w:val="20"/>
                <w:szCs w:val="20"/>
                <w:lang w:val="fr-FR"/>
              </w:rPr>
              <w:t xml:space="preserve"> et al. (2018)</w:t>
            </w:r>
            <w:r w:rsidRPr="001D5BD1">
              <w:rPr>
                <w:rFonts w:ascii="Arial" w:hAnsi="Arial" w:cs="Arial"/>
                <w:sz w:val="20"/>
                <w:szCs w:val="20"/>
                <w:vertAlign w:val="superscript"/>
                <w:lang w:val="fr-FR"/>
              </w:rPr>
              <w:t>23</w:t>
            </w:r>
          </w:p>
          <w:p w14:paraId="6D657ADF"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Hadtstein</w:t>
            </w:r>
            <w:proofErr w:type="spellEnd"/>
            <w:r w:rsidRPr="001D5BD1">
              <w:rPr>
                <w:rFonts w:ascii="Arial" w:hAnsi="Arial" w:cs="Arial"/>
                <w:sz w:val="20"/>
                <w:szCs w:val="20"/>
                <w:lang w:val="fr-FR"/>
              </w:rPr>
              <w:t xml:space="preserve"> et al. (2021)</w:t>
            </w:r>
            <w:r w:rsidRPr="001D5BD1">
              <w:rPr>
                <w:rFonts w:ascii="Arial" w:hAnsi="Arial" w:cs="Arial"/>
                <w:sz w:val="20"/>
                <w:szCs w:val="20"/>
                <w:vertAlign w:val="superscript"/>
                <w:lang w:val="fr-FR"/>
              </w:rPr>
              <w:t>24</w:t>
            </w:r>
          </w:p>
          <w:p w14:paraId="6927A5C2"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Vrolijk</w:t>
            </w:r>
            <w:proofErr w:type="spellEnd"/>
            <w:r w:rsidRPr="001D5BD1">
              <w:rPr>
                <w:rFonts w:ascii="Arial" w:hAnsi="Arial" w:cs="Arial"/>
                <w:sz w:val="20"/>
                <w:szCs w:val="20"/>
                <w:lang w:val="fr-FR"/>
              </w:rPr>
              <w:t xml:space="preserve"> et al. (2017)</w:t>
            </w:r>
            <w:r w:rsidRPr="001D5BD1">
              <w:rPr>
                <w:rFonts w:ascii="Arial" w:hAnsi="Arial" w:cs="Arial"/>
                <w:sz w:val="20"/>
                <w:szCs w:val="20"/>
                <w:vertAlign w:val="superscript"/>
                <w:lang w:val="fr-FR"/>
              </w:rPr>
              <w:t>25</w:t>
            </w:r>
          </w:p>
          <w:p w14:paraId="310F0148"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Sathienluckana</w:t>
            </w:r>
            <w:proofErr w:type="spellEnd"/>
            <w:r w:rsidRPr="001D5BD1">
              <w:rPr>
                <w:rFonts w:ascii="Arial" w:hAnsi="Arial" w:cs="Arial"/>
                <w:sz w:val="20"/>
                <w:szCs w:val="20"/>
                <w:lang w:val="fr-FR"/>
              </w:rPr>
              <w:t xml:space="preserve"> et al. (2024)</w:t>
            </w:r>
            <w:r w:rsidRPr="001D5BD1">
              <w:rPr>
                <w:rFonts w:ascii="Arial" w:hAnsi="Arial" w:cs="Arial"/>
                <w:sz w:val="20"/>
                <w:szCs w:val="20"/>
                <w:vertAlign w:val="superscript"/>
                <w:lang w:val="fr-FR"/>
              </w:rPr>
              <w:t>26</w:t>
            </w:r>
          </w:p>
          <w:p w14:paraId="27B10006"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Echaniz</w:t>
            </w:r>
            <w:proofErr w:type="spellEnd"/>
            <w:r w:rsidRPr="001D5BD1">
              <w:rPr>
                <w:rFonts w:ascii="Arial" w:hAnsi="Arial" w:cs="Arial"/>
                <w:sz w:val="20"/>
                <w:szCs w:val="20"/>
                <w:lang w:val="fr-FR"/>
              </w:rPr>
              <w:t>-Laguna et al. (2018)</w:t>
            </w:r>
            <w:r w:rsidRPr="001D5BD1">
              <w:rPr>
                <w:rFonts w:ascii="Arial" w:hAnsi="Arial" w:cs="Arial"/>
                <w:sz w:val="20"/>
                <w:szCs w:val="20"/>
                <w:vertAlign w:val="superscript"/>
                <w:lang w:val="fr-FR"/>
              </w:rPr>
              <w:t>27</w:t>
            </w:r>
          </w:p>
          <w:p w14:paraId="4C5AA9FD"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Kulkantrakorn</w:t>
            </w:r>
            <w:proofErr w:type="spellEnd"/>
            <w:r w:rsidRPr="001D5BD1">
              <w:rPr>
                <w:rFonts w:ascii="Arial" w:hAnsi="Arial" w:cs="Arial"/>
                <w:sz w:val="20"/>
                <w:szCs w:val="20"/>
                <w:lang w:val="fr-FR"/>
              </w:rPr>
              <w:t xml:space="preserve"> et al. (2014)</w:t>
            </w:r>
            <w:r w:rsidRPr="001D5BD1">
              <w:rPr>
                <w:rFonts w:ascii="Arial" w:hAnsi="Arial" w:cs="Arial"/>
                <w:sz w:val="20"/>
                <w:szCs w:val="20"/>
                <w:vertAlign w:val="superscript"/>
                <w:lang w:val="fr-FR"/>
              </w:rPr>
              <w:t>28</w:t>
            </w:r>
          </w:p>
          <w:p w14:paraId="4D383782"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Visser et al. (2014)</w:t>
            </w:r>
            <w:r w:rsidRPr="001D5BD1">
              <w:rPr>
                <w:rFonts w:ascii="Arial" w:hAnsi="Arial" w:cs="Arial"/>
                <w:sz w:val="20"/>
                <w:szCs w:val="20"/>
                <w:vertAlign w:val="superscript"/>
                <w:lang w:val="fr-FR"/>
              </w:rPr>
              <w:t>29</w:t>
            </w:r>
          </w:p>
          <w:p w14:paraId="00B665F3"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Dalton et al. (1987)</w:t>
            </w:r>
            <w:r w:rsidRPr="001D5BD1">
              <w:rPr>
                <w:rFonts w:ascii="Arial" w:hAnsi="Arial" w:cs="Arial"/>
                <w:sz w:val="20"/>
                <w:szCs w:val="20"/>
                <w:vertAlign w:val="superscript"/>
                <w:lang w:val="fr-FR"/>
              </w:rPr>
              <w:t>30</w:t>
            </w:r>
          </w:p>
          <w:p w14:paraId="7071C815"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Parry et al. (1985)</w:t>
            </w:r>
            <w:r w:rsidRPr="001D5BD1">
              <w:rPr>
                <w:rFonts w:ascii="Arial" w:hAnsi="Arial" w:cs="Arial"/>
                <w:sz w:val="20"/>
                <w:szCs w:val="20"/>
                <w:vertAlign w:val="superscript"/>
                <w:lang w:val="fr-FR"/>
              </w:rPr>
              <w:t>31</w:t>
            </w:r>
          </w:p>
          <w:p w14:paraId="3EF69B23" w14:textId="5815BF4C" w:rsidR="00051392" w:rsidRPr="00461BC9" w:rsidRDefault="00051392" w:rsidP="00051392">
            <w:pPr>
              <w:spacing w:line="480" w:lineRule="auto"/>
              <w:jc w:val="center"/>
              <w:rPr>
                <w:rFonts w:ascii="Arial" w:hAnsi="Arial" w:cs="Arial"/>
                <w:sz w:val="20"/>
                <w:szCs w:val="20"/>
                <w:lang w:val="en-SG"/>
              </w:rPr>
            </w:pPr>
            <w:r w:rsidRPr="001D5BD1">
              <w:rPr>
                <w:rFonts w:ascii="Arial" w:hAnsi="Arial" w:cs="Arial"/>
                <w:sz w:val="20"/>
                <w:szCs w:val="20"/>
                <w:lang w:val="fr-FR"/>
              </w:rPr>
              <w:t xml:space="preserve">Krishnan et al. </w:t>
            </w:r>
            <w:r w:rsidRPr="00461BC9">
              <w:rPr>
                <w:rFonts w:ascii="Arial" w:hAnsi="Arial" w:cs="Arial"/>
                <w:sz w:val="20"/>
                <w:szCs w:val="20"/>
                <w:lang w:val="en-SG"/>
              </w:rPr>
              <w:t>(</w:t>
            </w:r>
            <w:r w:rsidRPr="00310B97">
              <w:rPr>
                <w:rFonts w:ascii="Arial" w:hAnsi="Arial" w:cs="Arial"/>
                <w:sz w:val="20"/>
                <w:szCs w:val="20"/>
                <w:lang w:val="en-SG"/>
              </w:rPr>
              <w:t>2023</w:t>
            </w:r>
            <w:r w:rsidRPr="00461BC9">
              <w:rPr>
                <w:rFonts w:ascii="Arial" w:hAnsi="Arial" w:cs="Arial"/>
                <w:sz w:val="20"/>
                <w:szCs w:val="20"/>
                <w:lang w:val="en-SG"/>
              </w:rPr>
              <w:t>)</w:t>
            </w:r>
            <w:r>
              <w:rPr>
                <w:rFonts w:ascii="Arial" w:hAnsi="Arial" w:cs="Arial"/>
                <w:sz w:val="20"/>
                <w:szCs w:val="20"/>
                <w:vertAlign w:val="superscript"/>
                <w:lang w:val="en-SG"/>
              </w:rPr>
              <w:t>32</w:t>
            </w:r>
          </w:p>
        </w:tc>
      </w:tr>
      <w:tr w:rsidR="00051392" w:rsidRPr="00461BC9" w14:paraId="42657AE8" w14:textId="77777777" w:rsidTr="00A6338B">
        <w:trPr>
          <w:trHeight w:val="1477"/>
        </w:trPr>
        <w:tc>
          <w:tcPr>
            <w:tcW w:w="0" w:type="auto"/>
          </w:tcPr>
          <w:p w14:paraId="476A2C34"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5</w:t>
            </w:r>
          </w:p>
        </w:tc>
        <w:tc>
          <w:tcPr>
            <w:tcW w:w="0" w:type="auto"/>
          </w:tcPr>
          <w:p w14:paraId="4F2EA107" w14:textId="77777777" w:rsidR="00051392" w:rsidRPr="00461BC9" w:rsidRDefault="00051392" w:rsidP="00051392">
            <w:pPr>
              <w:spacing w:line="480" w:lineRule="auto"/>
              <w:rPr>
                <w:rFonts w:ascii="Arial" w:hAnsi="Arial" w:cs="Arial"/>
                <w:sz w:val="20"/>
                <w:szCs w:val="20"/>
              </w:rPr>
            </w:pPr>
            <w:r w:rsidRPr="00461BC9">
              <w:rPr>
                <w:rFonts w:ascii="Arial" w:hAnsi="Arial" w:cs="Arial"/>
                <w:sz w:val="20"/>
                <w:szCs w:val="20"/>
              </w:rPr>
              <w:t xml:space="preserve">For patient usage duration of longer than 6 months, and over 50 mg/day vitamin B6, regular monitoring by healthcare professionals is recommended. If patients develop neurological side effects, a washout period of 20 ~ 40 days (3 ~ 6 weeks) is recommended before considering resuming vitamin B6 treatment. </w:t>
            </w:r>
          </w:p>
        </w:tc>
        <w:tc>
          <w:tcPr>
            <w:tcW w:w="0" w:type="auto"/>
            <w:vAlign w:val="center"/>
          </w:tcPr>
          <w:p w14:paraId="4335B747"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 xml:space="preserve">Van </w:t>
            </w:r>
            <w:proofErr w:type="spellStart"/>
            <w:r w:rsidRPr="001D5BD1">
              <w:rPr>
                <w:rFonts w:ascii="Arial" w:hAnsi="Arial" w:cs="Arial"/>
                <w:sz w:val="20"/>
                <w:szCs w:val="20"/>
                <w:lang w:val="fr-FR"/>
              </w:rPr>
              <w:t>Hunsel</w:t>
            </w:r>
            <w:proofErr w:type="spellEnd"/>
            <w:r w:rsidRPr="001D5BD1">
              <w:rPr>
                <w:rFonts w:ascii="Arial" w:hAnsi="Arial" w:cs="Arial"/>
                <w:sz w:val="20"/>
                <w:szCs w:val="20"/>
                <w:lang w:val="fr-FR"/>
              </w:rPr>
              <w:t xml:space="preserve"> et al. (2018)</w:t>
            </w:r>
            <w:r w:rsidRPr="001D5BD1">
              <w:rPr>
                <w:rFonts w:ascii="Arial" w:hAnsi="Arial" w:cs="Arial"/>
                <w:sz w:val="20"/>
                <w:szCs w:val="20"/>
                <w:vertAlign w:val="superscript"/>
                <w:lang w:val="fr-FR"/>
              </w:rPr>
              <w:t>23</w:t>
            </w:r>
          </w:p>
          <w:p w14:paraId="7EC4FE79"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Kulkantrakorn</w:t>
            </w:r>
            <w:proofErr w:type="spellEnd"/>
            <w:r w:rsidRPr="001D5BD1">
              <w:rPr>
                <w:rFonts w:ascii="Arial" w:hAnsi="Arial" w:cs="Arial"/>
                <w:sz w:val="20"/>
                <w:szCs w:val="20"/>
                <w:lang w:val="fr-FR"/>
              </w:rPr>
              <w:t xml:space="preserve"> et al. (2014)</w:t>
            </w:r>
            <w:r w:rsidRPr="001D5BD1">
              <w:rPr>
                <w:rFonts w:ascii="Arial" w:hAnsi="Arial" w:cs="Arial"/>
                <w:sz w:val="20"/>
                <w:szCs w:val="20"/>
                <w:vertAlign w:val="superscript"/>
                <w:lang w:val="fr-FR"/>
              </w:rPr>
              <w:t>28</w:t>
            </w:r>
          </w:p>
          <w:p w14:paraId="6663666F"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Dalton et al. (1987)</w:t>
            </w:r>
            <w:r w:rsidRPr="001D5BD1">
              <w:rPr>
                <w:rFonts w:ascii="Arial" w:hAnsi="Arial" w:cs="Arial"/>
                <w:sz w:val="20"/>
                <w:szCs w:val="20"/>
                <w:vertAlign w:val="superscript"/>
                <w:lang w:val="fr-FR"/>
              </w:rPr>
              <w:t>30</w:t>
            </w:r>
          </w:p>
          <w:p w14:paraId="0E5DA18B"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Zempleni</w:t>
            </w:r>
            <w:proofErr w:type="spellEnd"/>
            <w:r w:rsidRPr="001D5BD1">
              <w:rPr>
                <w:rFonts w:ascii="Arial" w:hAnsi="Arial" w:cs="Arial"/>
                <w:sz w:val="20"/>
                <w:szCs w:val="20"/>
                <w:lang w:val="fr-FR"/>
              </w:rPr>
              <w:t xml:space="preserve"> et al. (1995)</w:t>
            </w:r>
            <w:r w:rsidRPr="001D5BD1">
              <w:rPr>
                <w:rFonts w:ascii="Arial" w:hAnsi="Arial" w:cs="Arial"/>
                <w:sz w:val="20"/>
                <w:szCs w:val="20"/>
                <w:vertAlign w:val="superscript"/>
                <w:lang w:val="fr-FR"/>
              </w:rPr>
              <w:t>33</w:t>
            </w:r>
          </w:p>
          <w:p w14:paraId="390B1695" w14:textId="77777777" w:rsidR="00051392" w:rsidRPr="001D5BD1" w:rsidRDefault="00051392" w:rsidP="00051392">
            <w:pPr>
              <w:spacing w:line="480" w:lineRule="auto"/>
              <w:jc w:val="center"/>
              <w:rPr>
                <w:rFonts w:ascii="Arial" w:hAnsi="Arial" w:cs="Arial"/>
                <w:sz w:val="20"/>
                <w:szCs w:val="20"/>
                <w:lang w:val="fr-FR"/>
              </w:rPr>
            </w:pPr>
            <w:proofErr w:type="spellStart"/>
            <w:r w:rsidRPr="001D5BD1">
              <w:rPr>
                <w:rFonts w:ascii="Arial" w:hAnsi="Arial" w:cs="Arial"/>
                <w:sz w:val="20"/>
                <w:szCs w:val="20"/>
                <w:lang w:val="fr-FR"/>
              </w:rPr>
              <w:t>Echaniz</w:t>
            </w:r>
            <w:proofErr w:type="spellEnd"/>
            <w:r w:rsidRPr="001D5BD1">
              <w:rPr>
                <w:rFonts w:ascii="Arial" w:hAnsi="Arial" w:cs="Arial"/>
                <w:sz w:val="20"/>
                <w:szCs w:val="20"/>
                <w:lang w:val="fr-FR"/>
              </w:rPr>
              <w:t>-Laguna et al. (2018)</w:t>
            </w:r>
            <w:r w:rsidRPr="001D5BD1">
              <w:rPr>
                <w:rFonts w:ascii="Arial" w:hAnsi="Arial" w:cs="Arial"/>
                <w:sz w:val="20"/>
                <w:szCs w:val="20"/>
                <w:vertAlign w:val="superscript"/>
                <w:lang w:val="fr-FR"/>
              </w:rPr>
              <w:t>27</w:t>
            </w:r>
          </w:p>
          <w:p w14:paraId="796E17BC"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Parry et al. (1985)</w:t>
            </w:r>
            <w:r w:rsidRPr="001D5BD1">
              <w:rPr>
                <w:rFonts w:ascii="Arial" w:hAnsi="Arial" w:cs="Arial"/>
                <w:sz w:val="20"/>
                <w:szCs w:val="20"/>
                <w:vertAlign w:val="superscript"/>
                <w:lang w:val="fr-FR"/>
              </w:rPr>
              <w:t>31</w:t>
            </w:r>
          </w:p>
          <w:p w14:paraId="0F917DB0" w14:textId="77777777" w:rsidR="00051392" w:rsidRPr="001D5BD1" w:rsidRDefault="00051392" w:rsidP="00051392">
            <w:pPr>
              <w:spacing w:line="480" w:lineRule="auto"/>
              <w:jc w:val="center"/>
              <w:rPr>
                <w:rFonts w:ascii="Arial" w:hAnsi="Arial" w:cs="Arial"/>
                <w:sz w:val="20"/>
                <w:szCs w:val="20"/>
                <w:lang w:val="fr-FR"/>
              </w:rPr>
            </w:pPr>
            <w:r w:rsidRPr="001D5BD1">
              <w:rPr>
                <w:rFonts w:ascii="Arial" w:hAnsi="Arial" w:cs="Arial"/>
                <w:sz w:val="20"/>
                <w:szCs w:val="20"/>
                <w:lang w:val="fr-FR"/>
              </w:rPr>
              <w:t>Howland et al. (2009)</w:t>
            </w:r>
            <w:r w:rsidRPr="001D5BD1">
              <w:rPr>
                <w:rFonts w:ascii="Arial" w:hAnsi="Arial" w:cs="Arial"/>
                <w:sz w:val="20"/>
                <w:szCs w:val="20"/>
                <w:vertAlign w:val="superscript"/>
                <w:lang w:val="fr-FR"/>
              </w:rPr>
              <w:t>34</w:t>
            </w:r>
          </w:p>
          <w:p w14:paraId="5B8F7C1D" w14:textId="77777777" w:rsidR="00051392" w:rsidRPr="00461BC9" w:rsidRDefault="00051392" w:rsidP="00051392">
            <w:pPr>
              <w:spacing w:line="480" w:lineRule="auto"/>
              <w:jc w:val="center"/>
              <w:rPr>
                <w:rFonts w:ascii="Arial" w:hAnsi="Arial" w:cs="Arial"/>
                <w:sz w:val="20"/>
                <w:szCs w:val="20"/>
              </w:rPr>
            </w:pPr>
            <w:r w:rsidRPr="001D5BD1">
              <w:rPr>
                <w:rFonts w:ascii="Arial" w:hAnsi="Arial" w:cs="Arial"/>
                <w:sz w:val="20"/>
                <w:szCs w:val="20"/>
                <w:lang w:val="fr-FR"/>
              </w:rPr>
              <w:t xml:space="preserve">Romano et al. </w:t>
            </w:r>
            <w:r w:rsidRPr="00461BC9">
              <w:rPr>
                <w:rFonts w:ascii="Arial" w:hAnsi="Arial" w:cs="Arial"/>
                <w:sz w:val="20"/>
                <w:szCs w:val="20"/>
              </w:rPr>
              <w:t>(2019)</w:t>
            </w:r>
            <w:r w:rsidRPr="00A62CC0">
              <w:rPr>
                <w:rFonts w:ascii="Arial" w:hAnsi="Arial" w:cs="Arial"/>
                <w:sz w:val="20"/>
                <w:szCs w:val="20"/>
                <w:vertAlign w:val="superscript"/>
                <w:lang w:val="en-SG"/>
              </w:rPr>
              <w:t>3</w:t>
            </w:r>
            <w:r>
              <w:rPr>
                <w:rFonts w:ascii="Arial" w:hAnsi="Arial" w:cs="Arial"/>
                <w:sz w:val="20"/>
                <w:szCs w:val="20"/>
                <w:vertAlign w:val="superscript"/>
                <w:lang w:val="en-SG"/>
              </w:rPr>
              <w:t>5</w:t>
            </w:r>
          </w:p>
          <w:p w14:paraId="2A9940B3" w14:textId="77777777" w:rsidR="00051392" w:rsidRPr="00461BC9" w:rsidRDefault="00051392" w:rsidP="00051392">
            <w:pPr>
              <w:spacing w:line="480" w:lineRule="auto"/>
              <w:jc w:val="center"/>
              <w:rPr>
                <w:rFonts w:ascii="Arial" w:hAnsi="Arial" w:cs="Arial"/>
                <w:sz w:val="20"/>
                <w:szCs w:val="20"/>
              </w:rPr>
            </w:pPr>
            <w:r w:rsidRPr="00D657C5">
              <w:rPr>
                <w:rFonts w:ascii="Arial" w:hAnsi="Arial" w:cs="Arial"/>
                <w:sz w:val="20"/>
                <w:szCs w:val="20"/>
              </w:rPr>
              <w:lastRenderedPageBreak/>
              <w:t>Center for Drug Evaluation and Research</w:t>
            </w:r>
            <w:r w:rsidRPr="00461BC9">
              <w:rPr>
                <w:rFonts w:ascii="Arial" w:hAnsi="Arial" w:cs="Arial"/>
                <w:sz w:val="20"/>
                <w:szCs w:val="20"/>
              </w:rPr>
              <w:t xml:space="preserve"> (CDER) (20</w:t>
            </w:r>
            <w:r>
              <w:rPr>
                <w:rFonts w:ascii="Arial" w:hAnsi="Arial" w:cs="Arial"/>
                <w:sz w:val="20"/>
                <w:szCs w:val="20"/>
              </w:rPr>
              <w:t>21</w:t>
            </w:r>
            <w:r w:rsidRPr="00461BC9">
              <w:rPr>
                <w:rFonts w:ascii="Arial" w:hAnsi="Arial" w:cs="Arial"/>
                <w:sz w:val="20"/>
                <w:szCs w:val="20"/>
              </w:rPr>
              <w:t>)</w:t>
            </w:r>
            <w:r w:rsidRPr="00A62CC0">
              <w:rPr>
                <w:rFonts w:ascii="Arial" w:hAnsi="Arial" w:cs="Arial"/>
                <w:sz w:val="20"/>
                <w:szCs w:val="20"/>
                <w:vertAlign w:val="superscript"/>
                <w:lang w:val="en-SG"/>
              </w:rPr>
              <w:t>3</w:t>
            </w:r>
            <w:r>
              <w:rPr>
                <w:rFonts w:ascii="Arial" w:hAnsi="Arial" w:cs="Arial"/>
                <w:sz w:val="20"/>
                <w:szCs w:val="20"/>
                <w:vertAlign w:val="superscript"/>
                <w:lang w:val="en-SG"/>
              </w:rPr>
              <w:t>6</w:t>
            </w:r>
          </w:p>
          <w:p w14:paraId="5453D689" w14:textId="77777777" w:rsidR="00051392" w:rsidRDefault="00051392" w:rsidP="00051392">
            <w:pPr>
              <w:spacing w:line="480" w:lineRule="auto"/>
              <w:jc w:val="center"/>
              <w:rPr>
                <w:rFonts w:ascii="Arial" w:hAnsi="Arial" w:cs="Arial"/>
                <w:sz w:val="20"/>
                <w:szCs w:val="20"/>
              </w:rPr>
            </w:pPr>
            <w:r>
              <w:rPr>
                <w:rFonts w:ascii="Arial" w:hAnsi="Arial" w:cs="Arial"/>
                <w:sz w:val="20"/>
                <w:szCs w:val="20"/>
              </w:rPr>
              <w:t>Committee for Medicinal Products for Human Use (CHMP) (2010)</w:t>
            </w:r>
            <w:r w:rsidRPr="00A62CC0">
              <w:rPr>
                <w:rFonts w:ascii="Arial" w:hAnsi="Arial" w:cs="Arial"/>
                <w:sz w:val="20"/>
                <w:szCs w:val="20"/>
                <w:vertAlign w:val="superscript"/>
                <w:lang w:val="en-SG"/>
              </w:rPr>
              <w:t xml:space="preserve"> 3</w:t>
            </w:r>
            <w:r>
              <w:rPr>
                <w:rFonts w:ascii="Arial" w:hAnsi="Arial" w:cs="Arial"/>
                <w:sz w:val="20"/>
                <w:szCs w:val="20"/>
                <w:vertAlign w:val="superscript"/>
                <w:lang w:val="en-SG"/>
              </w:rPr>
              <w:t>7</w:t>
            </w:r>
          </w:p>
          <w:p w14:paraId="2F5A38DC" w14:textId="77777777" w:rsidR="00051392" w:rsidRPr="00461BC9" w:rsidRDefault="00051392" w:rsidP="00051392">
            <w:pPr>
              <w:spacing w:line="480" w:lineRule="auto"/>
              <w:jc w:val="center"/>
              <w:rPr>
                <w:rFonts w:ascii="Arial" w:hAnsi="Arial" w:cs="Arial"/>
                <w:sz w:val="20"/>
                <w:szCs w:val="20"/>
              </w:rPr>
            </w:pPr>
            <w:r w:rsidRPr="00D657C5">
              <w:rPr>
                <w:rFonts w:ascii="Arial" w:hAnsi="Arial" w:cs="Arial"/>
                <w:sz w:val="20"/>
                <w:szCs w:val="20"/>
              </w:rPr>
              <w:t>Health Canada</w:t>
            </w:r>
            <w:r w:rsidRPr="00461BC9">
              <w:rPr>
                <w:rFonts w:ascii="Arial" w:hAnsi="Arial" w:cs="Arial"/>
                <w:sz w:val="20"/>
                <w:szCs w:val="20"/>
              </w:rPr>
              <w:t xml:space="preserve"> (</w:t>
            </w:r>
            <w:r w:rsidRPr="00D657C5">
              <w:rPr>
                <w:rFonts w:ascii="Arial" w:hAnsi="Arial" w:cs="Arial"/>
                <w:sz w:val="20"/>
                <w:szCs w:val="20"/>
              </w:rPr>
              <w:t>2018</w:t>
            </w:r>
            <w:r w:rsidRPr="00461BC9">
              <w:rPr>
                <w:rFonts w:ascii="Arial" w:hAnsi="Arial" w:cs="Arial"/>
                <w:sz w:val="20"/>
                <w:szCs w:val="20"/>
              </w:rPr>
              <w:t>)</w:t>
            </w:r>
            <w:r w:rsidRPr="00A62CC0">
              <w:rPr>
                <w:rFonts w:ascii="Arial" w:hAnsi="Arial" w:cs="Arial"/>
                <w:sz w:val="20"/>
                <w:szCs w:val="20"/>
                <w:vertAlign w:val="superscript"/>
                <w:lang w:val="en-SG"/>
              </w:rPr>
              <w:t>3</w:t>
            </w:r>
            <w:r>
              <w:rPr>
                <w:rFonts w:ascii="Arial" w:hAnsi="Arial" w:cs="Arial"/>
                <w:sz w:val="20"/>
                <w:szCs w:val="20"/>
                <w:vertAlign w:val="superscript"/>
                <w:lang w:val="en-SG"/>
              </w:rPr>
              <w:t>8</w:t>
            </w:r>
          </w:p>
          <w:p w14:paraId="334429C3" w14:textId="77777777" w:rsidR="00051392" w:rsidRPr="00461BC9" w:rsidRDefault="00051392" w:rsidP="00051392">
            <w:pPr>
              <w:spacing w:line="480" w:lineRule="auto"/>
              <w:jc w:val="center"/>
              <w:rPr>
                <w:rFonts w:ascii="Arial" w:hAnsi="Arial" w:cs="Arial"/>
                <w:sz w:val="20"/>
                <w:szCs w:val="20"/>
                <w:lang w:val="en-SG"/>
              </w:rPr>
            </w:pPr>
            <w:r w:rsidRPr="00310B97">
              <w:rPr>
                <w:rFonts w:ascii="Arial" w:hAnsi="Arial" w:cs="Arial"/>
                <w:sz w:val="20"/>
                <w:szCs w:val="20"/>
                <w:lang w:val="en-SG"/>
              </w:rPr>
              <w:t xml:space="preserve">Vrolijk </w:t>
            </w:r>
            <w:r>
              <w:rPr>
                <w:rFonts w:ascii="Arial" w:hAnsi="Arial" w:cs="Arial"/>
                <w:sz w:val="20"/>
                <w:szCs w:val="20"/>
                <w:lang w:val="en-SG"/>
              </w:rPr>
              <w:t>et al.</w:t>
            </w:r>
            <w:r w:rsidRPr="00461BC9">
              <w:rPr>
                <w:rFonts w:ascii="Arial" w:hAnsi="Arial" w:cs="Arial"/>
                <w:sz w:val="20"/>
                <w:szCs w:val="20"/>
                <w:lang w:val="en-SG"/>
              </w:rPr>
              <w:t xml:space="preserve"> (</w:t>
            </w:r>
            <w:r w:rsidRPr="00310B97">
              <w:rPr>
                <w:rFonts w:ascii="Arial" w:hAnsi="Arial" w:cs="Arial"/>
                <w:sz w:val="20"/>
                <w:szCs w:val="20"/>
                <w:lang w:val="en-SG"/>
              </w:rPr>
              <w:t>2020</w:t>
            </w:r>
            <w:r w:rsidRPr="00461BC9">
              <w:rPr>
                <w:rFonts w:ascii="Arial" w:hAnsi="Arial" w:cs="Arial"/>
                <w:sz w:val="20"/>
                <w:szCs w:val="20"/>
                <w:lang w:val="en-SG"/>
              </w:rPr>
              <w:t>)</w:t>
            </w:r>
            <w:r>
              <w:rPr>
                <w:rFonts w:ascii="Arial" w:hAnsi="Arial" w:cs="Arial"/>
                <w:sz w:val="20"/>
                <w:szCs w:val="20"/>
                <w:vertAlign w:val="superscript"/>
                <w:lang w:val="en-SG"/>
              </w:rPr>
              <w:t>22</w:t>
            </w:r>
          </w:p>
          <w:p w14:paraId="7BA34A47" w14:textId="4EBDD77F" w:rsidR="00051392" w:rsidRPr="00051392" w:rsidRDefault="00051392" w:rsidP="00051392">
            <w:pPr>
              <w:spacing w:line="480" w:lineRule="auto"/>
              <w:jc w:val="center"/>
              <w:rPr>
                <w:rFonts w:ascii="Arial" w:hAnsi="Arial" w:cs="Arial"/>
                <w:sz w:val="20"/>
                <w:szCs w:val="20"/>
                <w:lang w:val="en-SG"/>
              </w:rPr>
            </w:pPr>
            <w:proofErr w:type="spellStart"/>
            <w:r w:rsidRPr="00310B97">
              <w:rPr>
                <w:rFonts w:ascii="Arial" w:hAnsi="Arial" w:cs="Arial"/>
                <w:sz w:val="20"/>
                <w:szCs w:val="20"/>
                <w:lang w:val="en-SG"/>
              </w:rPr>
              <w:t>Hadtstein</w:t>
            </w:r>
            <w:proofErr w:type="spellEnd"/>
            <w:r w:rsidRPr="00310B97">
              <w:rPr>
                <w:rFonts w:ascii="Arial" w:hAnsi="Arial" w:cs="Arial"/>
                <w:sz w:val="20"/>
                <w:szCs w:val="20"/>
                <w:lang w:val="en-SG"/>
              </w:rPr>
              <w:t xml:space="preserve"> </w:t>
            </w:r>
            <w:r>
              <w:rPr>
                <w:rFonts w:ascii="Arial" w:hAnsi="Arial" w:cs="Arial"/>
                <w:sz w:val="20"/>
                <w:szCs w:val="20"/>
                <w:lang w:val="en-SG"/>
              </w:rPr>
              <w:t>et al.</w:t>
            </w:r>
            <w:r w:rsidRPr="00461BC9">
              <w:rPr>
                <w:rFonts w:ascii="Arial" w:hAnsi="Arial" w:cs="Arial"/>
                <w:sz w:val="20"/>
                <w:szCs w:val="20"/>
                <w:lang w:val="en-SG"/>
              </w:rPr>
              <w:t xml:space="preserve"> (</w:t>
            </w:r>
            <w:r w:rsidRPr="00310B97">
              <w:rPr>
                <w:rFonts w:ascii="Arial" w:hAnsi="Arial" w:cs="Arial"/>
                <w:sz w:val="20"/>
                <w:szCs w:val="20"/>
                <w:lang w:val="en-SG"/>
              </w:rPr>
              <w:t>2021</w:t>
            </w:r>
            <w:r w:rsidRPr="00461BC9">
              <w:rPr>
                <w:rFonts w:ascii="Arial" w:hAnsi="Arial" w:cs="Arial"/>
                <w:sz w:val="20"/>
                <w:szCs w:val="20"/>
                <w:lang w:val="en-SG"/>
              </w:rPr>
              <w:t>)</w:t>
            </w:r>
            <w:r>
              <w:rPr>
                <w:rFonts w:ascii="Arial" w:hAnsi="Arial" w:cs="Arial"/>
                <w:sz w:val="20"/>
                <w:szCs w:val="20"/>
                <w:vertAlign w:val="superscript"/>
                <w:lang w:val="en-SG"/>
              </w:rPr>
              <w:t>24</w:t>
            </w:r>
          </w:p>
        </w:tc>
      </w:tr>
    </w:tbl>
    <w:p w14:paraId="6F30CCE3" w14:textId="77777777" w:rsidR="00A6338B" w:rsidRDefault="00A6338B" w:rsidP="000F4EDC">
      <w:pPr>
        <w:spacing w:line="480" w:lineRule="auto"/>
        <w:rPr>
          <w:rFonts w:ascii="Arial" w:eastAsia="Calibri" w:hAnsi="Arial" w:cs="Arial"/>
          <w:b/>
          <w:bCs/>
          <w:kern w:val="2"/>
          <w:sz w:val="20"/>
          <w:szCs w:val="20"/>
          <w:lang w:val="en-SG" w:eastAsia="en-US"/>
          <w14:ligatures w14:val="standardContextual"/>
        </w:rPr>
      </w:pPr>
    </w:p>
    <w:p w14:paraId="385A5CBA" w14:textId="77777777" w:rsidR="000F4EDC" w:rsidRDefault="000F4EDC" w:rsidP="00085475">
      <w:pPr>
        <w:spacing w:line="480" w:lineRule="auto"/>
        <w:rPr>
          <w:rFonts w:ascii="Arial" w:eastAsia="Calibri" w:hAnsi="Arial" w:cs="Arial"/>
          <w:b/>
          <w:bCs/>
          <w:kern w:val="2"/>
          <w:sz w:val="20"/>
          <w:szCs w:val="20"/>
          <w:lang w:val="en-SG" w:eastAsia="en-US"/>
          <w14:ligatures w14:val="standardContextual"/>
        </w:rPr>
      </w:pPr>
    </w:p>
    <w:p w14:paraId="3ED1F038" w14:textId="77777777" w:rsidR="00E5650C" w:rsidRDefault="00E5650C" w:rsidP="00E5650C">
      <w:pPr>
        <w:spacing w:before="240" w:after="60" w:line="480" w:lineRule="auto"/>
        <w:outlineLvl w:val="0"/>
        <w:rPr>
          <w:rFonts w:ascii="Arial" w:eastAsia="Calibri" w:hAnsi="Arial" w:cs="Arial"/>
          <w:b/>
          <w:bCs/>
          <w:kern w:val="2"/>
          <w:sz w:val="32"/>
          <w:szCs w:val="32"/>
          <w:lang w:val="en-SG" w:eastAsia="en-US"/>
          <w14:ligatures w14:val="standardContextual"/>
        </w:rPr>
        <w:sectPr w:rsidR="00E565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5FB06E2B" w14:textId="77777777" w:rsidR="00E5650C" w:rsidRPr="00E5650C" w:rsidRDefault="00E5650C" w:rsidP="00E5650C">
      <w:pPr>
        <w:spacing w:before="240" w:after="60" w:line="480" w:lineRule="auto"/>
        <w:outlineLvl w:val="0"/>
        <w:rPr>
          <w:rFonts w:ascii="Arial" w:eastAsia="Calibri" w:hAnsi="Arial" w:cs="Arial"/>
          <w:b/>
          <w:bCs/>
          <w:kern w:val="2"/>
          <w:sz w:val="20"/>
          <w:szCs w:val="20"/>
          <w:lang w:val="en-SG" w:eastAsia="en-US"/>
          <w14:ligatures w14:val="standardContextual"/>
        </w:rPr>
      </w:pPr>
      <w:r w:rsidRPr="00E5650C">
        <w:rPr>
          <w:rFonts w:ascii="Arial" w:eastAsia="Calibri" w:hAnsi="Arial" w:cs="Arial"/>
          <w:b/>
          <w:bCs/>
          <w:kern w:val="2"/>
          <w:sz w:val="32"/>
          <w:szCs w:val="32"/>
          <w:lang w:val="en-SG" w:eastAsia="en-US"/>
          <w14:ligatures w14:val="standardContextual"/>
        </w:rPr>
        <w:lastRenderedPageBreak/>
        <w:t>References</w:t>
      </w:r>
    </w:p>
    <w:p w14:paraId="2C078E63" w14:textId="337ACB07" w:rsidR="00442E67" w:rsidRPr="00051392" w:rsidRDefault="00C203F8"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Birch TW, Gyorgy P, Harris LJ. </w:t>
      </w:r>
      <w:proofErr w:type="gramStart"/>
      <w:r w:rsidRPr="00051392">
        <w:rPr>
          <w:rFonts w:ascii="Arial" w:hAnsi="Arial" w:cs="Arial"/>
          <w:sz w:val="20"/>
          <w:szCs w:val="20"/>
        </w:rPr>
        <w:t>The vitamin</w:t>
      </w:r>
      <w:proofErr w:type="gramEnd"/>
      <w:r w:rsidRPr="00051392">
        <w:rPr>
          <w:rFonts w:ascii="Arial" w:hAnsi="Arial" w:cs="Arial"/>
          <w:sz w:val="20"/>
          <w:szCs w:val="20"/>
        </w:rPr>
        <w:t xml:space="preserve"> </w:t>
      </w:r>
      <w:proofErr w:type="gramStart"/>
      <w:r w:rsidRPr="00051392">
        <w:rPr>
          <w:rFonts w:ascii="Arial" w:hAnsi="Arial" w:cs="Arial"/>
          <w:sz w:val="20"/>
          <w:szCs w:val="20"/>
        </w:rPr>
        <w:t>B(</w:t>
      </w:r>
      <w:proofErr w:type="gramEnd"/>
      <w:r w:rsidRPr="00051392">
        <w:rPr>
          <w:rFonts w:ascii="Arial" w:hAnsi="Arial" w:cs="Arial"/>
          <w:sz w:val="20"/>
          <w:szCs w:val="20"/>
        </w:rPr>
        <w:t xml:space="preserve">2) complex. Differentiation of the </w:t>
      </w:r>
      <w:proofErr w:type="spellStart"/>
      <w:r w:rsidRPr="00051392">
        <w:rPr>
          <w:rFonts w:ascii="Arial" w:hAnsi="Arial" w:cs="Arial"/>
          <w:sz w:val="20"/>
          <w:szCs w:val="20"/>
        </w:rPr>
        <w:t>antiblacktongue</w:t>
      </w:r>
      <w:proofErr w:type="spellEnd"/>
      <w:r w:rsidRPr="00051392">
        <w:rPr>
          <w:rFonts w:ascii="Arial" w:hAnsi="Arial" w:cs="Arial"/>
          <w:sz w:val="20"/>
          <w:szCs w:val="20"/>
        </w:rPr>
        <w:t xml:space="preserve"> and the “P.-P.” factors from lactoflavin and vitamin </w:t>
      </w:r>
      <w:proofErr w:type="gramStart"/>
      <w:r w:rsidRPr="00051392">
        <w:rPr>
          <w:rFonts w:ascii="Arial" w:hAnsi="Arial" w:cs="Arial"/>
          <w:sz w:val="20"/>
          <w:szCs w:val="20"/>
        </w:rPr>
        <w:t>B(</w:t>
      </w:r>
      <w:proofErr w:type="gramEnd"/>
      <w:r w:rsidRPr="00051392">
        <w:rPr>
          <w:rFonts w:ascii="Arial" w:hAnsi="Arial" w:cs="Arial"/>
          <w:sz w:val="20"/>
          <w:szCs w:val="20"/>
        </w:rPr>
        <w:t xml:space="preserve">6) (so-called “rat pellagra” factor). Parts I-VI. </w:t>
      </w:r>
      <w:proofErr w:type="spellStart"/>
      <w:r w:rsidRPr="00051392">
        <w:rPr>
          <w:rFonts w:ascii="Arial" w:hAnsi="Arial" w:cs="Arial"/>
          <w:i/>
          <w:iCs/>
          <w:sz w:val="20"/>
          <w:szCs w:val="20"/>
        </w:rPr>
        <w:t>Biochem</w:t>
      </w:r>
      <w:proofErr w:type="spellEnd"/>
      <w:r w:rsidRPr="00051392">
        <w:rPr>
          <w:rFonts w:ascii="Arial" w:hAnsi="Arial" w:cs="Arial"/>
          <w:i/>
          <w:iCs/>
          <w:sz w:val="20"/>
          <w:szCs w:val="20"/>
        </w:rPr>
        <w:t xml:space="preserve"> J</w:t>
      </w:r>
      <w:r w:rsidRPr="00051392">
        <w:rPr>
          <w:rFonts w:ascii="Arial" w:hAnsi="Arial" w:cs="Arial"/>
          <w:sz w:val="20"/>
          <w:szCs w:val="20"/>
        </w:rPr>
        <w:t xml:space="preserve">. 1935;29(12):2830-2850. </w:t>
      </w:r>
      <w:proofErr w:type="spellStart"/>
      <w:proofErr w:type="gramStart"/>
      <w:r w:rsidRPr="00051392">
        <w:rPr>
          <w:rFonts w:ascii="Arial" w:hAnsi="Arial" w:cs="Arial"/>
          <w:sz w:val="20"/>
          <w:szCs w:val="20"/>
        </w:rPr>
        <w:t>doi:https</w:t>
      </w:r>
      <w:proofErr w:type="spellEnd"/>
      <w:r w:rsidRPr="00051392">
        <w:rPr>
          <w:rFonts w:ascii="Arial" w:hAnsi="Arial" w:cs="Arial"/>
          <w:sz w:val="20"/>
          <w:szCs w:val="20"/>
        </w:rPr>
        <w:t>://doi.org/10.1042/bj0292830</w:t>
      </w:r>
      <w:proofErr w:type="gramEnd"/>
    </w:p>
    <w:p w14:paraId="00962C81" w14:textId="1C3601F2" w:rsidR="001E51F9" w:rsidRPr="00051392" w:rsidRDefault="001E51F9" w:rsidP="00051392">
      <w:pPr>
        <w:pStyle w:val="ListParagraph"/>
        <w:numPr>
          <w:ilvl w:val="0"/>
          <w:numId w:val="1"/>
        </w:numPr>
        <w:spacing w:line="480" w:lineRule="auto"/>
        <w:rPr>
          <w:rFonts w:ascii="Arial" w:hAnsi="Arial" w:cs="Arial"/>
          <w:sz w:val="20"/>
          <w:szCs w:val="20"/>
          <w:lang w:val="en-SG"/>
        </w:rPr>
      </w:pPr>
      <w:proofErr w:type="spellStart"/>
      <w:r w:rsidRPr="00051392">
        <w:rPr>
          <w:rFonts w:ascii="Arial" w:hAnsi="Arial" w:cs="Arial"/>
          <w:sz w:val="20"/>
          <w:szCs w:val="20"/>
        </w:rPr>
        <w:t>Rioult-Pedotti</w:t>
      </w:r>
      <w:proofErr w:type="spellEnd"/>
      <w:r w:rsidRPr="00051392">
        <w:rPr>
          <w:rFonts w:ascii="Arial" w:hAnsi="Arial" w:cs="Arial"/>
          <w:sz w:val="20"/>
          <w:szCs w:val="20"/>
        </w:rPr>
        <w:t xml:space="preserve"> MS, </w:t>
      </w:r>
      <w:proofErr w:type="spellStart"/>
      <w:r w:rsidRPr="00051392">
        <w:rPr>
          <w:rFonts w:ascii="Arial" w:hAnsi="Arial" w:cs="Arial"/>
          <w:sz w:val="20"/>
          <w:szCs w:val="20"/>
        </w:rPr>
        <w:t>Pekanovic</w:t>
      </w:r>
      <w:proofErr w:type="spellEnd"/>
      <w:r w:rsidRPr="00051392">
        <w:rPr>
          <w:rFonts w:ascii="Arial" w:hAnsi="Arial" w:cs="Arial"/>
          <w:sz w:val="20"/>
          <w:szCs w:val="20"/>
        </w:rPr>
        <w:t xml:space="preserve"> A, </w:t>
      </w:r>
      <w:proofErr w:type="spellStart"/>
      <w:r w:rsidRPr="00051392">
        <w:rPr>
          <w:rFonts w:ascii="Arial" w:hAnsi="Arial" w:cs="Arial"/>
          <w:sz w:val="20"/>
          <w:szCs w:val="20"/>
        </w:rPr>
        <w:t>Atiemo</w:t>
      </w:r>
      <w:proofErr w:type="spellEnd"/>
      <w:r w:rsidRPr="00051392">
        <w:rPr>
          <w:rFonts w:ascii="Arial" w:hAnsi="Arial" w:cs="Arial"/>
          <w:sz w:val="20"/>
          <w:szCs w:val="20"/>
        </w:rPr>
        <w:t xml:space="preserve"> CO, Marshall J, Luft AR. Dopamine Promotes Motor Cortex Plasticity and Motor Skill Learning via PLC Activation. Beeler JA, ed. </w:t>
      </w:r>
      <w:r w:rsidRPr="00051392">
        <w:rPr>
          <w:rFonts w:ascii="Arial" w:hAnsi="Arial" w:cs="Arial"/>
          <w:i/>
          <w:iCs/>
          <w:sz w:val="20"/>
          <w:szCs w:val="20"/>
        </w:rPr>
        <w:t>PLOS ONE</w:t>
      </w:r>
      <w:r w:rsidRPr="00051392">
        <w:rPr>
          <w:rFonts w:ascii="Arial" w:hAnsi="Arial" w:cs="Arial"/>
          <w:sz w:val="20"/>
          <w:szCs w:val="20"/>
        </w:rPr>
        <w:t>. 2015;10(5</w:t>
      </w:r>
      <w:proofErr w:type="gramStart"/>
      <w:r w:rsidRPr="00051392">
        <w:rPr>
          <w:rFonts w:ascii="Arial" w:hAnsi="Arial" w:cs="Arial"/>
          <w:sz w:val="20"/>
          <w:szCs w:val="20"/>
        </w:rPr>
        <w:t>):e</w:t>
      </w:r>
      <w:proofErr w:type="gramEnd"/>
      <w:r w:rsidRPr="00051392">
        <w:rPr>
          <w:rFonts w:ascii="Arial" w:hAnsi="Arial" w:cs="Arial"/>
          <w:sz w:val="20"/>
          <w:szCs w:val="20"/>
        </w:rPr>
        <w:t xml:space="preserve">0124986. </w:t>
      </w:r>
      <w:proofErr w:type="gramStart"/>
      <w:r w:rsidRPr="00051392">
        <w:rPr>
          <w:rFonts w:ascii="Arial" w:hAnsi="Arial" w:cs="Arial"/>
          <w:sz w:val="20"/>
          <w:szCs w:val="20"/>
        </w:rPr>
        <w:t>doi:10.1371/journal.pone</w:t>
      </w:r>
      <w:proofErr w:type="gramEnd"/>
      <w:r w:rsidRPr="00051392">
        <w:rPr>
          <w:rFonts w:ascii="Arial" w:hAnsi="Arial" w:cs="Arial"/>
          <w:sz w:val="20"/>
          <w:szCs w:val="20"/>
        </w:rPr>
        <w:t>.0124986</w:t>
      </w:r>
    </w:p>
    <w:p w14:paraId="0146DB86" w14:textId="16606073" w:rsidR="00D73DC7" w:rsidRPr="00051392" w:rsidRDefault="00D73DC7"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Gwak YS, </w:t>
      </w:r>
      <w:proofErr w:type="spellStart"/>
      <w:r w:rsidRPr="00051392">
        <w:rPr>
          <w:rFonts w:ascii="Arial" w:hAnsi="Arial" w:cs="Arial"/>
          <w:sz w:val="20"/>
          <w:szCs w:val="20"/>
        </w:rPr>
        <w:t>Hulsebosch</w:t>
      </w:r>
      <w:proofErr w:type="spellEnd"/>
      <w:r w:rsidRPr="00051392">
        <w:rPr>
          <w:rFonts w:ascii="Arial" w:hAnsi="Arial" w:cs="Arial"/>
          <w:sz w:val="20"/>
          <w:szCs w:val="20"/>
        </w:rPr>
        <w:t xml:space="preserve"> CE. GABA and central neuropathic pain following spinal cord injury. </w:t>
      </w:r>
      <w:r w:rsidRPr="00051392">
        <w:rPr>
          <w:rFonts w:ascii="Arial" w:hAnsi="Arial" w:cs="Arial"/>
          <w:i/>
          <w:iCs/>
          <w:sz w:val="20"/>
          <w:szCs w:val="20"/>
        </w:rPr>
        <w:t>Neuropharmacology</w:t>
      </w:r>
      <w:r w:rsidRPr="00051392">
        <w:rPr>
          <w:rFonts w:ascii="Arial" w:hAnsi="Arial" w:cs="Arial"/>
          <w:sz w:val="20"/>
          <w:szCs w:val="20"/>
        </w:rPr>
        <w:t xml:space="preserve">. 2011;60(5):799-808. </w:t>
      </w:r>
      <w:proofErr w:type="gramStart"/>
      <w:r w:rsidRPr="00051392">
        <w:rPr>
          <w:rFonts w:ascii="Arial" w:hAnsi="Arial" w:cs="Arial"/>
          <w:sz w:val="20"/>
          <w:szCs w:val="20"/>
        </w:rPr>
        <w:t>doi:10.1016/j.neuropharm</w:t>
      </w:r>
      <w:proofErr w:type="gramEnd"/>
      <w:r w:rsidRPr="00051392">
        <w:rPr>
          <w:rFonts w:ascii="Arial" w:hAnsi="Arial" w:cs="Arial"/>
          <w:sz w:val="20"/>
          <w:szCs w:val="20"/>
        </w:rPr>
        <w:t>.2010.12.030</w:t>
      </w:r>
    </w:p>
    <w:p w14:paraId="40FED47F" w14:textId="62310AC0" w:rsidR="00007A8B" w:rsidRPr="00051392" w:rsidRDefault="00671C5D"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Parra M, Stahl S, Hellmann H. Vitamin B6 and Its Role in Cell Metabolism and Physiology. </w:t>
      </w:r>
      <w:r w:rsidRPr="00051392">
        <w:rPr>
          <w:rFonts w:ascii="Arial" w:hAnsi="Arial" w:cs="Arial"/>
          <w:i/>
          <w:iCs/>
          <w:sz w:val="20"/>
          <w:szCs w:val="20"/>
        </w:rPr>
        <w:t>Cells</w:t>
      </w:r>
      <w:r w:rsidRPr="00051392">
        <w:rPr>
          <w:rFonts w:ascii="Arial" w:hAnsi="Arial" w:cs="Arial"/>
          <w:sz w:val="20"/>
          <w:szCs w:val="20"/>
        </w:rPr>
        <w:t>. 2018;7(7):84. doi:10.3390/cells7070084</w:t>
      </w:r>
    </w:p>
    <w:p w14:paraId="695D226C" w14:textId="4604CB7A" w:rsidR="00007A8B" w:rsidRPr="00051392" w:rsidRDefault="00007A8B"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Young N S, Leyton M. The role of serotonin in human mood and social interaction. Insight from altered tryptophan levels. </w:t>
      </w:r>
      <w:proofErr w:type="spellStart"/>
      <w:r w:rsidRPr="00051392">
        <w:rPr>
          <w:rFonts w:ascii="Arial" w:hAnsi="Arial" w:cs="Arial"/>
          <w:i/>
          <w:iCs/>
          <w:sz w:val="20"/>
          <w:szCs w:val="20"/>
        </w:rPr>
        <w:t>Pharmacol</w:t>
      </w:r>
      <w:proofErr w:type="spellEnd"/>
      <w:r w:rsidRPr="00051392">
        <w:rPr>
          <w:rFonts w:ascii="Arial" w:hAnsi="Arial" w:cs="Arial"/>
          <w:i/>
          <w:iCs/>
          <w:sz w:val="20"/>
          <w:szCs w:val="20"/>
        </w:rPr>
        <w:t xml:space="preserve"> </w:t>
      </w:r>
      <w:proofErr w:type="spellStart"/>
      <w:r w:rsidRPr="00051392">
        <w:rPr>
          <w:rFonts w:ascii="Arial" w:hAnsi="Arial" w:cs="Arial"/>
          <w:i/>
          <w:iCs/>
          <w:sz w:val="20"/>
          <w:szCs w:val="20"/>
        </w:rPr>
        <w:t>Biochem</w:t>
      </w:r>
      <w:proofErr w:type="spellEnd"/>
      <w:r w:rsidRPr="00051392">
        <w:rPr>
          <w:rFonts w:ascii="Arial" w:hAnsi="Arial" w:cs="Arial"/>
          <w:i/>
          <w:iCs/>
          <w:sz w:val="20"/>
          <w:szCs w:val="20"/>
        </w:rPr>
        <w:t xml:space="preserve"> </w:t>
      </w:r>
      <w:proofErr w:type="spellStart"/>
      <w:r w:rsidRPr="00051392">
        <w:rPr>
          <w:rFonts w:ascii="Arial" w:hAnsi="Arial" w:cs="Arial"/>
          <w:i/>
          <w:iCs/>
          <w:sz w:val="20"/>
          <w:szCs w:val="20"/>
        </w:rPr>
        <w:t>Behav</w:t>
      </w:r>
      <w:proofErr w:type="spellEnd"/>
      <w:r w:rsidRPr="00051392">
        <w:rPr>
          <w:rFonts w:ascii="Arial" w:hAnsi="Arial" w:cs="Arial"/>
          <w:sz w:val="20"/>
          <w:szCs w:val="20"/>
        </w:rPr>
        <w:t xml:space="preserve">. 2002;71(4):857-865. </w:t>
      </w:r>
      <w:proofErr w:type="spellStart"/>
      <w:proofErr w:type="gramStart"/>
      <w:r w:rsidRPr="00051392">
        <w:rPr>
          <w:rFonts w:ascii="Arial" w:hAnsi="Arial" w:cs="Arial"/>
          <w:sz w:val="20"/>
          <w:szCs w:val="20"/>
        </w:rPr>
        <w:t>doi:https</w:t>
      </w:r>
      <w:proofErr w:type="spellEnd"/>
      <w:r w:rsidRPr="00051392">
        <w:rPr>
          <w:rFonts w:ascii="Arial" w:hAnsi="Arial" w:cs="Arial"/>
          <w:sz w:val="20"/>
          <w:szCs w:val="20"/>
        </w:rPr>
        <w:t>://doi.org/10.1016/s0091-3057(01)00670-0</w:t>
      </w:r>
      <w:proofErr w:type="gramEnd"/>
    </w:p>
    <w:p w14:paraId="0853C66B" w14:textId="3E9769D0" w:rsidR="00671C5D" w:rsidRPr="00051392" w:rsidRDefault="005F2C63" w:rsidP="00051392">
      <w:pPr>
        <w:pStyle w:val="ListParagraph"/>
        <w:numPr>
          <w:ilvl w:val="0"/>
          <w:numId w:val="1"/>
        </w:numPr>
        <w:spacing w:line="480" w:lineRule="auto"/>
        <w:rPr>
          <w:rFonts w:ascii="Arial" w:hAnsi="Arial" w:cs="Arial"/>
          <w:sz w:val="20"/>
          <w:szCs w:val="20"/>
          <w:lang w:val="en-SG"/>
        </w:rPr>
      </w:pPr>
      <w:proofErr w:type="spellStart"/>
      <w:r w:rsidRPr="00051392">
        <w:rPr>
          <w:rFonts w:ascii="Arial" w:hAnsi="Arial" w:cs="Arial"/>
          <w:sz w:val="20"/>
          <w:szCs w:val="20"/>
        </w:rPr>
        <w:t>Abosamak</w:t>
      </w:r>
      <w:proofErr w:type="spellEnd"/>
      <w:r w:rsidRPr="00051392">
        <w:rPr>
          <w:rFonts w:ascii="Arial" w:hAnsi="Arial" w:cs="Arial"/>
          <w:sz w:val="20"/>
          <w:szCs w:val="20"/>
        </w:rPr>
        <w:t xml:space="preserve"> N, Gupta V. Vitamin B6 (Pyridoxine). </w:t>
      </w:r>
      <w:proofErr w:type="spellStart"/>
      <w:r w:rsidRPr="00051392">
        <w:rPr>
          <w:rFonts w:ascii="Arial" w:hAnsi="Arial" w:cs="Arial"/>
          <w:i/>
          <w:iCs/>
          <w:sz w:val="20"/>
          <w:szCs w:val="20"/>
        </w:rPr>
        <w:t>StatPearls</w:t>
      </w:r>
      <w:proofErr w:type="spellEnd"/>
      <w:r w:rsidRPr="00051392">
        <w:rPr>
          <w:rFonts w:ascii="Arial" w:hAnsi="Arial" w:cs="Arial"/>
          <w:sz w:val="20"/>
          <w:szCs w:val="20"/>
        </w:rPr>
        <w:t xml:space="preserve">. Published online August 17, 2023. </w:t>
      </w:r>
      <w:hyperlink r:id="rId16" w:history="1">
        <w:r w:rsidRPr="00051392">
          <w:rPr>
            <w:rStyle w:val="Hyperlink"/>
            <w:rFonts w:ascii="Arial" w:hAnsi="Arial" w:cs="Arial"/>
            <w:sz w:val="20"/>
            <w:szCs w:val="20"/>
          </w:rPr>
          <w:t>https://www.ncbi.nlm.nih.gov/books/NBK557436/</w:t>
        </w:r>
      </w:hyperlink>
    </w:p>
    <w:p w14:paraId="5637149C" w14:textId="72E5E950" w:rsidR="005F2C63" w:rsidRPr="00051392" w:rsidRDefault="00AB2391"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Snider DE. Pyridoxine supplementation during isoniazid therapy. </w:t>
      </w:r>
      <w:r w:rsidRPr="00051392">
        <w:rPr>
          <w:rFonts w:ascii="Arial" w:hAnsi="Arial" w:cs="Arial"/>
          <w:i/>
          <w:iCs/>
          <w:sz w:val="20"/>
          <w:szCs w:val="20"/>
        </w:rPr>
        <w:t>Tubercle</w:t>
      </w:r>
      <w:r w:rsidRPr="00051392">
        <w:rPr>
          <w:rFonts w:ascii="Arial" w:hAnsi="Arial" w:cs="Arial"/>
          <w:sz w:val="20"/>
          <w:szCs w:val="20"/>
        </w:rPr>
        <w:t>. 1980;61(4):191-196. doi:10.1016/0041-3879(80)90038-0</w:t>
      </w:r>
    </w:p>
    <w:p w14:paraId="67ABD73E" w14:textId="586DB147" w:rsidR="00AB2391" w:rsidRPr="00051392" w:rsidRDefault="00195798"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Muhamad R, </w:t>
      </w:r>
      <w:proofErr w:type="spellStart"/>
      <w:r w:rsidRPr="00051392">
        <w:rPr>
          <w:rFonts w:ascii="Arial" w:hAnsi="Arial" w:cs="Arial"/>
          <w:sz w:val="20"/>
          <w:szCs w:val="20"/>
        </w:rPr>
        <w:t>Akrivaki</w:t>
      </w:r>
      <w:proofErr w:type="spellEnd"/>
      <w:r w:rsidRPr="00051392">
        <w:rPr>
          <w:rFonts w:ascii="Arial" w:hAnsi="Arial" w:cs="Arial"/>
          <w:sz w:val="20"/>
          <w:szCs w:val="20"/>
        </w:rPr>
        <w:t xml:space="preserve"> A, Papagiannopoulou G, </w:t>
      </w:r>
      <w:proofErr w:type="spellStart"/>
      <w:r w:rsidRPr="00051392">
        <w:rPr>
          <w:rFonts w:ascii="Arial" w:hAnsi="Arial" w:cs="Arial"/>
          <w:sz w:val="20"/>
          <w:szCs w:val="20"/>
        </w:rPr>
        <w:t>Zavridis</w:t>
      </w:r>
      <w:proofErr w:type="spellEnd"/>
      <w:r w:rsidRPr="00051392">
        <w:rPr>
          <w:rFonts w:ascii="Arial" w:hAnsi="Arial" w:cs="Arial"/>
          <w:sz w:val="20"/>
          <w:szCs w:val="20"/>
        </w:rPr>
        <w:t xml:space="preserve"> P, Zis P. The Role of Vitamin B6 in Peripheral Neuropathy: A Systematic Review. </w:t>
      </w:r>
      <w:r w:rsidRPr="00051392">
        <w:rPr>
          <w:rFonts w:ascii="Arial" w:hAnsi="Arial" w:cs="Arial"/>
          <w:i/>
          <w:iCs/>
          <w:sz w:val="20"/>
          <w:szCs w:val="20"/>
        </w:rPr>
        <w:t>Nutrients</w:t>
      </w:r>
      <w:r w:rsidRPr="00051392">
        <w:rPr>
          <w:rFonts w:ascii="Arial" w:hAnsi="Arial" w:cs="Arial"/>
          <w:sz w:val="20"/>
          <w:szCs w:val="20"/>
        </w:rPr>
        <w:t>. 2023;15(13):2823. doi:10.3390/nu15132823</w:t>
      </w:r>
    </w:p>
    <w:p w14:paraId="124CE177" w14:textId="463DA432" w:rsidR="00195798" w:rsidRPr="00051392" w:rsidRDefault="00B84CA6"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Raskin NH, Fishman RA. Pyridoxine-Deficiency Neuropathy Due to Hydralazine. </w:t>
      </w:r>
      <w:r w:rsidRPr="00051392">
        <w:rPr>
          <w:rFonts w:ascii="Arial" w:hAnsi="Arial" w:cs="Arial"/>
          <w:i/>
          <w:iCs/>
          <w:sz w:val="20"/>
          <w:szCs w:val="20"/>
        </w:rPr>
        <w:t>N Engl J Med</w:t>
      </w:r>
      <w:r w:rsidRPr="00051392">
        <w:rPr>
          <w:rFonts w:ascii="Arial" w:hAnsi="Arial" w:cs="Arial"/>
          <w:sz w:val="20"/>
          <w:szCs w:val="20"/>
        </w:rPr>
        <w:t>. 1965;273(22):1182-1185. doi:10.1056/NEJM196511252732203</w:t>
      </w:r>
    </w:p>
    <w:p w14:paraId="170D212A" w14:textId="584A6F4D" w:rsidR="00B84CA6" w:rsidRPr="00051392" w:rsidRDefault="00486C8E"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Nair S, Maguire W, Baron H, </w:t>
      </w:r>
      <w:proofErr w:type="spellStart"/>
      <w:r w:rsidRPr="00051392">
        <w:rPr>
          <w:rFonts w:ascii="Arial" w:hAnsi="Arial" w:cs="Arial"/>
          <w:sz w:val="20"/>
          <w:szCs w:val="20"/>
        </w:rPr>
        <w:t>Imbruce</w:t>
      </w:r>
      <w:proofErr w:type="spellEnd"/>
      <w:r w:rsidRPr="00051392">
        <w:rPr>
          <w:rFonts w:ascii="Arial" w:hAnsi="Arial" w:cs="Arial"/>
          <w:sz w:val="20"/>
          <w:szCs w:val="20"/>
        </w:rPr>
        <w:t xml:space="preserve"> R. The Effect of </w:t>
      </w:r>
      <w:proofErr w:type="spellStart"/>
      <w:r w:rsidRPr="00051392">
        <w:rPr>
          <w:rFonts w:ascii="Arial" w:hAnsi="Arial" w:cs="Arial"/>
          <w:sz w:val="20"/>
          <w:szCs w:val="20"/>
        </w:rPr>
        <w:t>Cycloserine</w:t>
      </w:r>
      <w:proofErr w:type="spellEnd"/>
      <w:r w:rsidRPr="00051392">
        <w:rPr>
          <w:rFonts w:ascii="Arial" w:hAnsi="Arial" w:cs="Arial"/>
          <w:sz w:val="20"/>
          <w:szCs w:val="20"/>
        </w:rPr>
        <w:t xml:space="preserve"> on Pyridoxine-Dependent Metabolism in Tuberculosis. </w:t>
      </w:r>
      <w:r w:rsidRPr="00051392">
        <w:rPr>
          <w:rFonts w:ascii="Arial" w:hAnsi="Arial" w:cs="Arial"/>
          <w:i/>
          <w:iCs/>
          <w:sz w:val="20"/>
          <w:szCs w:val="20"/>
        </w:rPr>
        <w:t xml:space="preserve">J Clin </w:t>
      </w:r>
      <w:proofErr w:type="spellStart"/>
      <w:r w:rsidRPr="00051392">
        <w:rPr>
          <w:rFonts w:ascii="Arial" w:hAnsi="Arial" w:cs="Arial"/>
          <w:i/>
          <w:iCs/>
          <w:sz w:val="20"/>
          <w:szCs w:val="20"/>
        </w:rPr>
        <w:t>Pharmacol</w:t>
      </w:r>
      <w:proofErr w:type="spellEnd"/>
      <w:r w:rsidRPr="00051392">
        <w:rPr>
          <w:rFonts w:ascii="Arial" w:hAnsi="Arial" w:cs="Arial"/>
          <w:sz w:val="20"/>
          <w:szCs w:val="20"/>
        </w:rPr>
        <w:t xml:space="preserve">. 1976;16(8-9). </w:t>
      </w:r>
      <w:proofErr w:type="spellStart"/>
      <w:proofErr w:type="gramStart"/>
      <w:r w:rsidRPr="00051392">
        <w:rPr>
          <w:rFonts w:ascii="Arial" w:hAnsi="Arial" w:cs="Arial"/>
          <w:sz w:val="20"/>
          <w:szCs w:val="20"/>
        </w:rPr>
        <w:t>doi:https</w:t>
      </w:r>
      <w:proofErr w:type="spellEnd"/>
      <w:r w:rsidRPr="00051392">
        <w:rPr>
          <w:rFonts w:ascii="Arial" w:hAnsi="Arial" w:cs="Arial"/>
          <w:sz w:val="20"/>
          <w:szCs w:val="20"/>
        </w:rPr>
        <w:t>://doi.org/10.1002/j.1552-4604.1976.tb02419.x</w:t>
      </w:r>
      <w:proofErr w:type="gramEnd"/>
    </w:p>
    <w:p w14:paraId="693B0BBA" w14:textId="5807A102" w:rsidR="00486C8E" w:rsidRPr="00051392" w:rsidRDefault="00195944"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lastRenderedPageBreak/>
        <w:t xml:space="preserve">Hoyumpa AM. Mechanisms of Vitamin Deficiencies in Alcoholism. </w:t>
      </w:r>
      <w:r w:rsidRPr="00051392">
        <w:rPr>
          <w:rFonts w:ascii="Arial" w:hAnsi="Arial" w:cs="Arial"/>
          <w:i/>
          <w:iCs/>
          <w:sz w:val="20"/>
          <w:szCs w:val="20"/>
        </w:rPr>
        <w:t>Alcohol Clin Exp Res</w:t>
      </w:r>
      <w:r w:rsidRPr="00051392">
        <w:rPr>
          <w:rFonts w:ascii="Arial" w:hAnsi="Arial" w:cs="Arial"/>
          <w:sz w:val="20"/>
          <w:szCs w:val="20"/>
        </w:rPr>
        <w:t xml:space="preserve">. 1986;10(6):573-581. </w:t>
      </w:r>
      <w:proofErr w:type="spellStart"/>
      <w:proofErr w:type="gramStart"/>
      <w:r w:rsidRPr="00051392">
        <w:rPr>
          <w:rFonts w:ascii="Arial" w:hAnsi="Arial" w:cs="Arial"/>
          <w:sz w:val="20"/>
          <w:szCs w:val="20"/>
        </w:rPr>
        <w:t>doi:https</w:t>
      </w:r>
      <w:proofErr w:type="spellEnd"/>
      <w:r w:rsidRPr="00051392">
        <w:rPr>
          <w:rFonts w:ascii="Arial" w:hAnsi="Arial" w:cs="Arial"/>
          <w:sz w:val="20"/>
          <w:szCs w:val="20"/>
        </w:rPr>
        <w:t>://doi.org/10.1111/j.1530-0277.1986.tb05147.x</w:t>
      </w:r>
      <w:proofErr w:type="gramEnd"/>
    </w:p>
    <w:p w14:paraId="433F8736" w14:textId="51635A6B" w:rsidR="00195944" w:rsidRPr="00051392" w:rsidRDefault="0034435C" w:rsidP="00051392">
      <w:pPr>
        <w:pStyle w:val="ListParagraph"/>
        <w:numPr>
          <w:ilvl w:val="0"/>
          <w:numId w:val="1"/>
        </w:numPr>
        <w:spacing w:line="480" w:lineRule="auto"/>
        <w:rPr>
          <w:rFonts w:ascii="Arial" w:hAnsi="Arial" w:cs="Arial"/>
          <w:sz w:val="20"/>
          <w:szCs w:val="20"/>
          <w:lang w:val="en-SG"/>
        </w:rPr>
      </w:pPr>
      <w:proofErr w:type="spellStart"/>
      <w:r w:rsidRPr="00051392">
        <w:rPr>
          <w:rFonts w:ascii="Arial" w:hAnsi="Arial" w:cs="Arial"/>
          <w:sz w:val="20"/>
          <w:szCs w:val="20"/>
        </w:rPr>
        <w:t>orld</w:t>
      </w:r>
      <w:proofErr w:type="spellEnd"/>
      <w:r w:rsidRPr="00051392">
        <w:rPr>
          <w:rFonts w:ascii="Arial" w:hAnsi="Arial" w:cs="Arial"/>
          <w:sz w:val="20"/>
          <w:szCs w:val="20"/>
        </w:rPr>
        <w:t xml:space="preserve"> Health Organization, Food and Agriculture Organization of the United Nations. </w:t>
      </w:r>
      <w:r w:rsidRPr="00051392">
        <w:rPr>
          <w:rFonts w:ascii="Arial" w:hAnsi="Arial" w:cs="Arial"/>
          <w:i/>
          <w:iCs/>
          <w:sz w:val="20"/>
          <w:szCs w:val="20"/>
        </w:rPr>
        <w:t>Vitamin and Mineral Requirements in Human Nutrition</w:t>
      </w:r>
      <w:r w:rsidRPr="00051392">
        <w:rPr>
          <w:rFonts w:ascii="Arial" w:hAnsi="Arial" w:cs="Arial"/>
          <w:sz w:val="20"/>
          <w:szCs w:val="20"/>
        </w:rPr>
        <w:t xml:space="preserve">, 2nd edition. 2004. Available from  </w:t>
      </w:r>
      <w:hyperlink r:id="rId17" w:history="1">
        <w:r w:rsidRPr="00051392">
          <w:rPr>
            <w:rStyle w:val="Hyperlink"/>
            <w:rFonts w:ascii="Arial" w:hAnsi="Arial" w:cs="Arial"/>
            <w:sz w:val="20"/>
            <w:szCs w:val="20"/>
          </w:rPr>
          <w:t>https://iris.who.int/bitstream/handle/10665/42716/9241546123.pdf?sequence=1</w:t>
        </w:r>
      </w:hyperlink>
      <w:r w:rsidRPr="00051392">
        <w:rPr>
          <w:rFonts w:ascii="Arial" w:hAnsi="Arial" w:cs="Arial"/>
          <w:sz w:val="20"/>
          <w:szCs w:val="20"/>
        </w:rPr>
        <w:t xml:space="preserve"> Accessed on 15 April 2024.</w:t>
      </w:r>
    </w:p>
    <w:p w14:paraId="0956443D" w14:textId="4D8483EC" w:rsidR="00B05F2C" w:rsidRPr="00051392" w:rsidRDefault="00B05F2C" w:rsidP="00051392">
      <w:pPr>
        <w:pStyle w:val="ListParagraph"/>
        <w:numPr>
          <w:ilvl w:val="0"/>
          <w:numId w:val="1"/>
        </w:numPr>
        <w:spacing w:line="480" w:lineRule="auto"/>
        <w:rPr>
          <w:rFonts w:ascii="Arial" w:hAnsi="Arial" w:cs="Arial"/>
          <w:sz w:val="20"/>
          <w:szCs w:val="20"/>
          <w:lang w:val="en-SG"/>
        </w:rPr>
      </w:pPr>
      <w:proofErr w:type="spellStart"/>
      <w:r w:rsidRPr="00051392">
        <w:rPr>
          <w:rFonts w:ascii="Arial" w:hAnsi="Arial" w:cs="Arial"/>
          <w:sz w:val="20"/>
          <w:szCs w:val="20"/>
        </w:rPr>
        <w:t>Ghavanini</w:t>
      </w:r>
      <w:proofErr w:type="spellEnd"/>
      <w:r w:rsidRPr="00051392">
        <w:rPr>
          <w:rFonts w:ascii="Arial" w:hAnsi="Arial" w:cs="Arial"/>
          <w:sz w:val="20"/>
          <w:szCs w:val="20"/>
        </w:rPr>
        <w:t xml:space="preserve"> AA, </w:t>
      </w:r>
      <w:proofErr w:type="spellStart"/>
      <w:r w:rsidRPr="00051392">
        <w:rPr>
          <w:rFonts w:ascii="Arial" w:hAnsi="Arial" w:cs="Arial"/>
          <w:sz w:val="20"/>
          <w:szCs w:val="20"/>
        </w:rPr>
        <w:t>Kimpinski</w:t>
      </w:r>
      <w:proofErr w:type="spellEnd"/>
      <w:r w:rsidRPr="00051392">
        <w:rPr>
          <w:rFonts w:ascii="Arial" w:hAnsi="Arial" w:cs="Arial"/>
          <w:sz w:val="20"/>
          <w:szCs w:val="20"/>
        </w:rPr>
        <w:t xml:space="preserve"> K. Revisiting the Evidence for Neuropathy Caused by Pyridoxine Deficiency and Excess. </w:t>
      </w:r>
      <w:r w:rsidRPr="00051392">
        <w:rPr>
          <w:rFonts w:ascii="Arial" w:hAnsi="Arial" w:cs="Arial"/>
          <w:i/>
          <w:iCs/>
          <w:sz w:val="20"/>
          <w:szCs w:val="20"/>
        </w:rPr>
        <w:t xml:space="preserve">J Clin </w:t>
      </w:r>
      <w:proofErr w:type="spellStart"/>
      <w:r w:rsidRPr="00051392">
        <w:rPr>
          <w:rFonts w:ascii="Arial" w:hAnsi="Arial" w:cs="Arial"/>
          <w:i/>
          <w:iCs/>
          <w:sz w:val="20"/>
          <w:szCs w:val="20"/>
        </w:rPr>
        <w:t>Neuromuscul</w:t>
      </w:r>
      <w:proofErr w:type="spellEnd"/>
      <w:r w:rsidRPr="00051392">
        <w:rPr>
          <w:rFonts w:ascii="Arial" w:hAnsi="Arial" w:cs="Arial"/>
          <w:i/>
          <w:iCs/>
          <w:sz w:val="20"/>
          <w:szCs w:val="20"/>
        </w:rPr>
        <w:t xml:space="preserve"> Dis</w:t>
      </w:r>
      <w:r w:rsidRPr="00051392">
        <w:rPr>
          <w:rFonts w:ascii="Arial" w:hAnsi="Arial" w:cs="Arial"/>
          <w:sz w:val="20"/>
          <w:szCs w:val="20"/>
        </w:rPr>
        <w:t>. 2014;16(1):25-31. doi:10.1097/CND.0000000000000049</w:t>
      </w:r>
    </w:p>
    <w:p w14:paraId="56B0BC40" w14:textId="7DD17099" w:rsidR="00E1306E" w:rsidRPr="00051392" w:rsidRDefault="007662C9"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Institute of Medicine (US) Standing Committee on the Scientific Evaluation of Dietary Reference Intakes and its Panel on Folate, Other B Vitamins, and Choline. </w:t>
      </w:r>
      <w:r w:rsidRPr="00051392">
        <w:rPr>
          <w:rFonts w:ascii="Arial" w:hAnsi="Arial" w:cs="Arial"/>
          <w:i/>
          <w:iCs/>
          <w:sz w:val="20"/>
          <w:szCs w:val="20"/>
        </w:rPr>
        <w:t>Dietary Reference Intakes for Thiamin, Riboflavin, Niacin, Vitamin B6, Folate, Vitamin B12, Pantothenic Acid, Biotin, and Choline</w:t>
      </w:r>
      <w:r w:rsidRPr="00051392">
        <w:rPr>
          <w:rFonts w:ascii="Arial" w:hAnsi="Arial" w:cs="Arial"/>
          <w:sz w:val="20"/>
          <w:szCs w:val="20"/>
        </w:rPr>
        <w:t>. National Academies Press; 1998:6015. doi:10.17226/6015</w:t>
      </w:r>
    </w:p>
    <w:p w14:paraId="152DA5C4" w14:textId="0DC93DAD" w:rsidR="007662C9" w:rsidRPr="00051392" w:rsidRDefault="006C402A"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National Health and Medical Research Council.  </w:t>
      </w:r>
      <w:r w:rsidRPr="00051392">
        <w:rPr>
          <w:rFonts w:ascii="Arial" w:hAnsi="Arial" w:cs="Arial"/>
          <w:i/>
          <w:iCs/>
          <w:sz w:val="20"/>
          <w:szCs w:val="20"/>
        </w:rPr>
        <w:t>Nutrient Reference Values for Australia and New Zealand: Including Recommended Dietary Intakes</w:t>
      </w:r>
      <w:r w:rsidRPr="00051392">
        <w:rPr>
          <w:rFonts w:ascii="Arial" w:hAnsi="Arial" w:cs="Arial"/>
          <w:sz w:val="20"/>
          <w:szCs w:val="20"/>
        </w:rPr>
        <w:t xml:space="preserve">. National Health and Medical Research </w:t>
      </w:r>
      <w:proofErr w:type="gramStart"/>
      <w:r w:rsidRPr="00051392">
        <w:rPr>
          <w:rFonts w:ascii="Arial" w:hAnsi="Arial" w:cs="Arial"/>
          <w:sz w:val="20"/>
          <w:szCs w:val="20"/>
        </w:rPr>
        <w:t>Council ;</w:t>
      </w:r>
      <w:proofErr w:type="gramEnd"/>
      <w:r w:rsidRPr="00051392">
        <w:rPr>
          <w:rFonts w:ascii="Arial" w:hAnsi="Arial" w:cs="Arial"/>
          <w:sz w:val="20"/>
          <w:szCs w:val="20"/>
        </w:rPr>
        <w:t xml:space="preserve"> Ministry of Health; 2006. Available from: </w:t>
      </w:r>
      <w:hyperlink r:id="rId18" w:history="1">
        <w:r w:rsidRPr="00051392">
          <w:rPr>
            <w:rStyle w:val="Hyperlink"/>
            <w:rFonts w:ascii="Arial" w:hAnsi="Arial" w:cs="Arial"/>
            <w:sz w:val="20"/>
            <w:szCs w:val="20"/>
          </w:rPr>
          <w:t>https://www.nhmrc.gov.au/about-us/publications/nutrient-reference-values-australia-and-new-zealand-including-recommended-dietary-intakes. Accessed 15 April 2024</w:t>
        </w:r>
      </w:hyperlink>
      <w:r w:rsidRPr="00051392">
        <w:rPr>
          <w:rFonts w:ascii="Arial" w:hAnsi="Arial" w:cs="Arial"/>
          <w:sz w:val="20"/>
          <w:szCs w:val="20"/>
        </w:rPr>
        <w:t>.</w:t>
      </w:r>
    </w:p>
    <w:p w14:paraId="2546A371" w14:textId="77777777" w:rsidR="00C8021F" w:rsidRPr="00051392" w:rsidRDefault="00C8021F" w:rsidP="00051392">
      <w:pPr>
        <w:pStyle w:val="Bibliography"/>
        <w:numPr>
          <w:ilvl w:val="0"/>
          <w:numId w:val="1"/>
        </w:numPr>
        <w:spacing w:line="480" w:lineRule="auto"/>
        <w:rPr>
          <w:rFonts w:ascii="Arial" w:hAnsi="Arial" w:cs="Arial"/>
          <w:sz w:val="20"/>
          <w:szCs w:val="20"/>
        </w:rPr>
      </w:pPr>
      <w:r w:rsidRPr="00051392">
        <w:rPr>
          <w:rFonts w:ascii="Arial" w:hAnsi="Arial" w:cs="Arial"/>
          <w:sz w:val="20"/>
          <w:szCs w:val="20"/>
        </w:rPr>
        <w:t xml:space="preserve">Bernstein AL. Vitamin B </w:t>
      </w:r>
      <w:r w:rsidRPr="00051392">
        <w:rPr>
          <w:rFonts w:ascii="Arial" w:hAnsi="Arial" w:cs="Arial"/>
          <w:sz w:val="20"/>
          <w:szCs w:val="20"/>
          <w:vertAlign w:val="subscript"/>
        </w:rPr>
        <w:t>6</w:t>
      </w:r>
      <w:r w:rsidRPr="00051392">
        <w:rPr>
          <w:rFonts w:ascii="Arial" w:hAnsi="Arial" w:cs="Arial"/>
          <w:sz w:val="20"/>
          <w:szCs w:val="20"/>
        </w:rPr>
        <w:t xml:space="preserve"> in Clinical Neurology. </w:t>
      </w:r>
      <w:r w:rsidRPr="00051392">
        <w:rPr>
          <w:rFonts w:ascii="Arial" w:hAnsi="Arial" w:cs="Arial"/>
          <w:i/>
          <w:iCs/>
          <w:sz w:val="20"/>
          <w:szCs w:val="20"/>
        </w:rPr>
        <w:t xml:space="preserve">Ann N Y </w:t>
      </w:r>
      <w:proofErr w:type="spellStart"/>
      <w:r w:rsidRPr="00051392">
        <w:rPr>
          <w:rFonts w:ascii="Arial" w:hAnsi="Arial" w:cs="Arial"/>
          <w:i/>
          <w:iCs/>
          <w:sz w:val="20"/>
          <w:szCs w:val="20"/>
        </w:rPr>
        <w:t>Acad</w:t>
      </w:r>
      <w:proofErr w:type="spellEnd"/>
      <w:r w:rsidRPr="00051392">
        <w:rPr>
          <w:rFonts w:ascii="Arial" w:hAnsi="Arial" w:cs="Arial"/>
          <w:i/>
          <w:iCs/>
          <w:sz w:val="20"/>
          <w:szCs w:val="20"/>
        </w:rPr>
        <w:t xml:space="preserve"> Sci</w:t>
      </w:r>
      <w:r w:rsidRPr="00051392">
        <w:rPr>
          <w:rFonts w:ascii="Arial" w:hAnsi="Arial" w:cs="Arial"/>
          <w:sz w:val="20"/>
          <w:szCs w:val="20"/>
        </w:rPr>
        <w:t>. 1990;585(1):250-260. doi:10.1111/j.1749-</w:t>
      </w:r>
      <w:proofErr w:type="gramStart"/>
      <w:r w:rsidRPr="00051392">
        <w:rPr>
          <w:rFonts w:ascii="Arial" w:hAnsi="Arial" w:cs="Arial"/>
          <w:sz w:val="20"/>
          <w:szCs w:val="20"/>
        </w:rPr>
        <w:t>6632.1990.tb</w:t>
      </w:r>
      <w:proofErr w:type="gramEnd"/>
      <w:r w:rsidRPr="00051392">
        <w:rPr>
          <w:rFonts w:ascii="Arial" w:hAnsi="Arial" w:cs="Arial"/>
          <w:sz w:val="20"/>
          <w:szCs w:val="20"/>
        </w:rPr>
        <w:t>28058.x</w:t>
      </w:r>
    </w:p>
    <w:p w14:paraId="21F8F2B4" w14:textId="66DF72A6" w:rsidR="00C8021F" w:rsidRPr="00051392" w:rsidRDefault="00C8021F" w:rsidP="00051392">
      <w:pPr>
        <w:pStyle w:val="Bibliography"/>
        <w:numPr>
          <w:ilvl w:val="0"/>
          <w:numId w:val="1"/>
        </w:numPr>
        <w:spacing w:line="480" w:lineRule="auto"/>
        <w:rPr>
          <w:rFonts w:ascii="Arial" w:hAnsi="Arial" w:cs="Arial"/>
          <w:sz w:val="20"/>
          <w:szCs w:val="20"/>
        </w:rPr>
      </w:pPr>
      <w:proofErr w:type="spellStart"/>
      <w:r w:rsidRPr="00051392">
        <w:rPr>
          <w:rFonts w:ascii="Arial" w:hAnsi="Arial" w:cs="Arial"/>
          <w:sz w:val="20"/>
          <w:szCs w:val="20"/>
        </w:rPr>
        <w:t>Pietrzik</w:t>
      </w:r>
      <w:proofErr w:type="spellEnd"/>
      <w:r w:rsidRPr="00051392">
        <w:rPr>
          <w:rFonts w:ascii="Arial" w:hAnsi="Arial" w:cs="Arial"/>
          <w:sz w:val="20"/>
          <w:szCs w:val="20"/>
        </w:rPr>
        <w:t xml:space="preserve"> K, Hages M. Risk/benefit evaluation of a high dose B vitamin therapy. </w:t>
      </w:r>
      <w:proofErr w:type="spellStart"/>
      <w:r w:rsidRPr="00051392">
        <w:rPr>
          <w:rFonts w:ascii="Arial" w:hAnsi="Arial" w:cs="Arial"/>
          <w:i/>
          <w:iCs/>
          <w:sz w:val="20"/>
          <w:szCs w:val="20"/>
        </w:rPr>
        <w:t>Steinkopff</w:t>
      </w:r>
      <w:proofErr w:type="spellEnd"/>
      <w:r w:rsidRPr="00051392">
        <w:rPr>
          <w:rFonts w:ascii="Arial" w:hAnsi="Arial" w:cs="Arial"/>
          <w:i/>
          <w:iCs/>
          <w:sz w:val="20"/>
          <w:szCs w:val="20"/>
        </w:rPr>
        <w:t xml:space="preserve"> Verl Darmstadt</w:t>
      </w:r>
      <w:r w:rsidRPr="00051392">
        <w:rPr>
          <w:rFonts w:ascii="Arial" w:hAnsi="Arial" w:cs="Arial"/>
          <w:sz w:val="20"/>
          <w:szCs w:val="20"/>
        </w:rPr>
        <w:t>. Published online 1991:115-124.</w:t>
      </w:r>
    </w:p>
    <w:p w14:paraId="1944B13E" w14:textId="50627B1D" w:rsidR="006C402A" w:rsidRPr="00051392" w:rsidRDefault="00D42249"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Janka HU, </w:t>
      </w:r>
      <w:proofErr w:type="spellStart"/>
      <w:r w:rsidRPr="00051392">
        <w:rPr>
          <w:rFonts w:ascii="Arial" w:hAnsi="Arial" w:cs="Arial"/>
          <w:sz w:val="20"/>
          <w:szCs w:val="20"/>
        </w:rPr>
        <w:t>Rietzel</w:t>
      </w:r>
      <w:proofErr w:type="spellEnd"/>
      <w:r w:rsidRPr="00051392">
        <w:rPr>
          <w:rFonts w:ascii="Arial" w:hAnsi="Arial" w:cs="Arial"/>
          <w:sz w:val="20"/>
          <w:szCs w:val="20"/>
        </w:rPr>
        <w:t xml:space="preserve"> S, Mehnert H. The influence of </w:t>
      </w:r>
      <w:proofErr w:type="spellStart"/>
      <w:r w:rsidRPr="00051392">
        <w:rPr>
          <w:rFonts w:ascii="Arial" w:hAnsi="Arial" w:cs="Arial"/>
          <w:sz w:val="20"/>
          <w:szCs w:val="20"/>
        </w:rPr>
        <w:t>neurobion</w:t>
      </w:r>
      <w:proofErr w:type="spellEnd"/>
      <w:r w:rsidRPr="00051392">
        <w:rPr>
          <w:rFonts w:ascii="Arial" w:hAnsi="Arial" w:cs="Arial"/>
          <w:sz w:val="20"/>
          <w:szCs w:val="20"/>
        </w:rPr>
        <w:t xml:space="preserve"> on temperature sensibility in patients with diabetic polyneuropathy. In: </w:t>
      </w:r>
      <w:proofErr w:type="spellStart"/>
      <w:r w:rsidRPr="00051392">
        <w:rPr>
          <w:rFonts w:ascii="Arial" w:hAnsi="Arial" w:cs="Arial"/>
          <w:i/>
          <w:iCs/>
          <w:sz w:val="20"/>
          <w:szCs w:val="20"/>
        </w:rPr>
        <w:t>Pharmakologie</w:t>
      </w:r>
      <w:proofErr w:type="spellEnd"/>
      <w:r w:rsidRPr="00051392">
        <w:rPr>
          <w:rFonts w:ascii="Arial" w:hAnsi="Arial" w:cs="Arial"/>
          <w:i/>
          <w:iCs/>
          <w:sz w:val="20"/>
          <w:szCs w:val="20"/>
        </w:rPr>
        <w:t xml:space="preserve"> Und </w:t>
      </w:r>
      <w:proofErr w:type="spellStart"/>
      <w:r w:rsidRPr="00051392">
        <w:rPr>
          <w:rFonts w:ascii="Arial" w:hAnsi="Arial" w:cs="Arial"/>
          <w:i/>
          <w:iCs/>
          <w:sz w:val="20"/>
          <w:szCs w:val="20"/>
        </w:rPr>
        <w:t>Klinische</w:t>
      </w:r>
      <w:proofErr w:type="spellEnd"/>
      <w:r w:rsidRPr="00051392">
        <w:rPr>
          <w:rFonts w:ascii="Arial" w:hAnsi="Arial" w:cs="Arial"/>
          <w:i/>
          <w:iCs/>
          <w:sz w:val="20"/>
          <w:szCs w:val="20"/>
        </w:rPr>
        <w:t xml:space="preserve"> </w:t>
      </w:r>
      <w:proofErr w:type="spellStart"/>
      <w:r w:rsidRPr="00051392">
        <w:rPr>
          <w:rFonts w:ascii="Arial" w:hAnsi="Arial" w:cs="Arial"/>
          <w:i/>
          <w:iCs/>
          <w:sz w:val="20"/>
          <w:szCs w:val="20"/>
        </w:rPr>
        <w:t>Anwendung</w:t>
      </w:r>
      <w:proofErr w:type="spellEnd"/>
      <w:r w:rsidRPr="00051392">
        <w:rPr>
          <w:rFonts w:ascii="Arial" w:hAnsi="Arial" w:cs="Arial"/>
          <w:i/>
          <w:iCs/>
          <w:sz w:val="20"/>
          <w:szCs w:val="20"/>
        </w:rPr>
        <w:t xml:space="preserve"> </w:t>
      </w:r>
      <w:proofErr w:type="spellStart"/>
      <w:r w:rsidRPr="00051392">
        <w:rPr>
          <w:rFonts w:ascii="Arial" w:hAnsi="Arial" w:cs="Arial"/>
          <w:i/>
          <w:iCs/>
          <w:sz w:val="20"/>
          <w:szCs w:val="20"/>
        </w:rPr>
        <w:t>Hochdosierter</w:t>
      </w:r>
      <w:proofErr w:type="spellEnd"/>
      <w:r w:rsidRPr="00051392">
        <w:rPr>
          <w:rFonts w:ascii="Arial" w:hAnsi="Arial" w:cs="Arial"/>
          <w:i/>
          <w:iCs/>
          <w:sz w:val="20"/>
          <w:szCs w:val="20"/>
        </w:rPr>
        <w:t xml:space="preserve"> B-</w:t>
      </w:r>
      <w:proofErr w:type="spellStart"/>
      <w:r w:rsidRPr="00051392">
        <w:rPr>
          <w:rFonts w:ascii="Arial" w:hAnsi="Arial" w:cs="Arial"/>
          <w:i/>
          <w:iCs/>
          <w:sz w:val="20"/>
          <w:szCs w:val="20"/>
        </w:rPr>
        <w:t>Vitamine</w:t>
      </w:r>
      <w:proofErr w:type="spellEnd"/>
      <w:r w:rsidRPr="00051392">
        <w:rPr>
          <w:rFonts w:ascii="Arial" w:hAnsi="Arial" w:cs="Arial"/>
          <w:sz w:val="20"/>
          <w:szCs w:val="20"/>
        </w:rPr>
        <w:t xml:space="preserve">. </w:t>
      </w:r>
      <w:proofErr w:type="spellStart"/>
      <w:r w:rsidRPr="00051392">
        <w:rPr>
          <w:rFonts w:ascii="Arial" w:hAnsi="Arial" w:cs="Arial"/>
          <w:sz w:val="20"/>
          <w:szCs w:val="20"/>
        </w:rPr>
        <w:t>Steinkopff</w:t>
      </w:r>
      <w:proofErr w:type="spellEnd"/>
      <w:r w:rsidRPr="00051392">
        <w:rPr>
          <w:rFonts w:ascii="Arial" w:hAnsi="Arial" w:cs="Arial"/>
          <w:sz w:val="20"/>
          <w:szCs w:val="20"/>
        </w:rPr>
        <w:t xml:space="preserve">; 1991:87-97. </w:t>
      </w:r>
      <w:hyperlink r:id="rId19" w:history="1">
        <w:r w:rsidRPr="00051392">
          <w:rPr>
            <w:rStyle w:val="Hyperlink"/>
            <w:rFonts w:ascii="Arial" w:hAnsi="Arial" w:cs="Arial"/>
            <w:sz w:val="20"/>
            <w:szCs w:val="20"/>
          </w:rPr>
          <w:t>http://link.springer.com/10.1007/978-3-642-85410-1_9</w:t>
        </w:r>
      </w:hyperlink>
      <w:r w:rsidRPr="00051392">
        <w:rPr>
          <w:rFonts w:ascii="Arial" w:hAnsi="Arial" w:cs="Arial"/>
          <w:sz w:val="20"/>
          <w:szCs w:val="20"/>
        </w:rPr>
        <w:t>. German.</w:t>
      </w:r>
    </w:p>
    <w:p w14:paraId="4493EA2C" w14:textId="1A438D01" w:rsidR="00D42249" w:rsidRPr="00051392" w:rsidRDefault="00484B85" w:rsidP="00051392">
      <w:pPr>
        <w:pStyle w:val="ListParagraph"/>
        <w:numPr>
          <w:ilvl w:val="0"/>
          <w:numId w:val="1"/>
        </w:numPr>
        <w:spacing w:line="480" w:lineRule="auto"/>
        <w:rPr>
          <w:rFonts w:ascii="Arial" w:hAnsi="Arial" w:cs="Arial"/>
          <w:sz w:val="20"/>
          <w:szCs w:val="20"/>
          <w:lang w:val="en-SG"/>
        </w:rPr>
      </w:pPr>
      <w:r w:rsidRPr="001D5BD1">
        <w:rPr>
          <w:rFonts w:ascii="Arial" w:hAnsi="Arial" w:cs="Arial"/>
          <w:sz w:val="20"/>
          <w:szCs w:val="20"/>
          <w:lang w:val="fr-FR"/>
        </w:rPr>
        <w:lastRenderedPageBreak/>
        <w:t xml:space="preserve">Coughlin CR, </w:t>
      </w:r>
      <w:proofErr w:type="spellStart"/>
      <w:r w:rsidRPr="001D5BD1">
        <w:rPr>
          <w:rFonts w:ascii="Arial" w:hAnsi="Arial" w:cs="Arial"/>
          <w:sz w:val="20"/>
          <w:szCs w:val="20"/>
          <w:lang w:val="fr-FR"/>
        </w:rPr>
        <w:t>Tseng</w:t>
      </w:r>
      <w:proofErr w:type="spellEnd"/>
      <w:r w:rsidRPr="001D5BD1">
        <w:rPr>
          <w:rFonts w:ascii="Arial" w:hAnsi="Arial" w:cs="Arial"/>
          <w:sz w:val="20"/>
          <w:szCs w:val="20"/>
          <w:lang w:val="fr-FR"/>
        </w:rPr>
        <w:t xml:space="preserve"> LA, </w:t>
      </w:r>
      <w:proofErr w:type="spellStart"/>
      <w:r w:rsidRPr="001D5BD1">
        <w:rPr>
          <w:rFonts w:ascii="Arial" w:hAnsi="Arial" w:cs="Arial"/>
          <w:sz w:val="20"/>
          <w:szCs w:val="20"/>
          <w:lang w:val="fr-FR"/>
        </w:rPr>
        <w:t>Abdenur</w:t>
      </w:r>
      <w:proofErr w:type="spellEnd"/>
      <w:r w:rsidRPr="001D5BD1">
        <w:rPr>
          <w:rFonts w:ascii="Arial" w:hAnsi="Arial" w:cs="Arial"/>
          <w:sz w:val="20"/>
          <w:szCs w:val="20"/>
          <w:lang w:val="fr-FR"/>
        </w:rPr>
        <w:t xml:space="preserve"> JE, et al. </w:t>
      </w:r>
      <w:r w:rsidRPr="00051392">
        <w:rPr>
          <w:rFonts w:ascii="Arial" w:hAnsi="Arial" w:cs="Arial"/>
          <w:sz w:val="20"/>
          <w:szCs w:val="20"/>
        </w:rPr>
        <w:t>Consensus guidelines for the diagnosis and management of pyridoxine</w:t>
      </w:r>
      <w:r w:rsidRPr="00051392">
        <w:rPr>
          <w:rFonts w:ascii="Cambria Math" w:hAnsi="Cambria Math" w:cs="Cambria Math"/>
          <w:sz w:val="20"/>
          <w:szCs w:val="20"/>
        </w:rPr>
        <w:t>‐</w:t>
      </w:r>
      <w:r w:rsidRPr="00051392">
        <w:rPr>
          <w:rFonts w:ascii="Arial" w:hAnsi="Arial" w:cs="Arial"/>
          <w:sz w:val="20"/>
          <w:szCs w:val="20"/>
        </w:rPr>
        <w:t>dependent epilepsy due to α</w:t>
      </w:r>
      <w:r w:rsidRPr="00051392">
        <w:rPr>
          <w:rFonts w:ascii="Cambria Math" w:hAnsi="Cambria Math" w:cs="Cambria Math"/>
          <w:sz w:val="20"/>
          <w:szCs w:val="20"/>
        </w:rPr>
        <w:t>‐</w:t>
      </w:r>
      <w:r w:rsidRPr="00051392">
        <w:rPr>
          <w:rFonts w:ascii="Arial" w:hAnsi="Arial" w:cs="Arial"/>
          <w:sz w:val="20"/>
          <w:szCs w:val="20"/>
        </w:rPr>
        <w:t xml:space="preserve">aminoadipic semialdehyde dehydrogenase deficiency. </w:t>
      </w:r>
      <w:r w:rsidRPr="00051392">
        <w:rPr>
          <w:rFonts w:ascii="Arial" w:hAnsi="Arial" w:cs="Arial"/>
          <w:i/>
          <w:iCs/>
          <w:sz w:val="20"/>
          <w:szCs w:val="20"/>
        </w:rPr>
        <w:t xml:space="preserve">J Inherit </w:t>
      </w:r>
      <w:proofErr w:type="spellStart"/>
      <w:r w:rsidRPr="00051392">
        <w:rPr>
          <w:rFonts w:ascii="Arial" w:hAnsi="Arial" w:cs="Arial"/>
          <w:i/>
          <w:iCs/>
          <w:sz w:val="20"/>
          <w:szCs w:val="20"/>
        </w:rPr>
        <w:t>Metab</w:t>
      </w:r>
      <w:proofErr w:type="spellEnd"/>
      <w:r w:rsidRPr="00051392">
        <w:rPr>
          <w:rFonts w:ascii="Arial" w:hAnsi="Arial" w:cs="Arial"/>
          <w:i/>
          <w:iCs/>
          <w:sz w:val="20"/>
          <w:szCs w:val="20"/>
        </w:rPr>
        <w:t xml:space="preserve"> Dis</w:t>
      </w:r>
      <w:r w:rsidRPr="00051392">
        <w:rPr>
          <w:rFonts w:ascii="Arial" w:hAnsi="Arial" w:cs="Arial"/>
          <w:sz w:val="20"/>
          <w:szCs w:val="20"/>
        </w:rPr>
        <w:t>. 2021;44(1):178-192. doi:10.1002/jimd.12332</w:t>
      </w:r>
    </w:p>
    <w:p w14:paraId="1A08A140" w14:textId="12B593BA" w:rsidR="00484B85" w:rsidRPr="00051392" w:rsidRDefault="0004391B"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Therapeutic Goods Administration (TGA). Health supplements containing vitamin B6 can cause peripheral neuropathy. 2022 November 10. Available from: </w:t>
      </w:r>
      <w:hyperlink r:id="rId20" w:history="1">
        <w:r w:rsidRPr="00051392">
          <w:rPr>
            <w:rStyle w:val="Hyperlink"/>
            <w:rFonts w:ascii="Arial" w:hAnsi="Arial" w:cs="Arial"/>
            <w:sz w:val="20"/>
            <w:szCs w:val="20"/>
          </w:rPr>
          <w:t>https://www.tga.gov.au/news/safety-alerts/health-supplements-containing-vitamin-b6-can-cause-peripheral-neuropathy</w:t>
        </w:r>
      </w:hyperlink>
      <w:r w:rsidRPr="00051392">
        <w:rPr>
          <w:rFonts w:ascii="Arial" w:hAnsi="Arial" w:cs="Arial"/>
          <w:sz w:val="20"/>
          <w:szCs w:val="20"/>
        </w:rPr>
        <w:t>. Accessed April 15, 2024.</w:t>
      </w:r>
    </w:p>
    <w:p w14:paraId="49E63541" w14:textId="1F95E724" w:rsidR="00DB14EA" w:rsidRPr="00051392" w:rsidRDefault="00DB14EA"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Health Sciences Authority (HSA). High-dose vitamin B6 and risk of peripheral neuropathy. 2023 May 15. Available from: https://www.hsa.gov.sg/announcements/safety-alert/high-dose-vitamin-b6-and-risk-of-peripheral-neuropathy. Accessed April 15, 2024.</w:t>
      </w:r>
    </w:p>
    <w:p w14:paraId="0F03E23B" w14:textId="55E16934" w:rsidR="00DB14EA" w:rsidRPr="00051392" w:rsidRDefault="00065BE4"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Vrolijk MF, Hageman GJ, Van De Koppel S, Van Hunsel F, Bast A. Inter-individual differences in pharmacokinetics of vitamin B6: A possible explanation of different sensitivity to its neuropathic effects. </w:t>
      </w:r>
      <w:proofErr w:type="spellStart"/>
      <w:r w:rsidRPr="00051392">
        <w:rPr>
          <w:rFonts w:ascii="Arial" w:hAnsi="Arial" w:cs="Arial"/>
          <w:i/>
          <w:iCs/>
          <w:sz w:val="20"/>
          <w:szCs w:val="20"/>
        </w:rPr>
        <w:t>PharmaNutrition</w:t>
      </w:r>
      <w:proofErr w:type="spellEnd"/>
      <w:r w:rsidRPr="00051392">
        <w:rPr>
          <w:rFonts w:ascii="Arial" w:hAnsi="Arial" w:cs="Arial"/>
          <w:sz w:val="20"/>
          <w:szCs w:val="20"/>
        </w:rPr>
        <w:t xml:space="preserve">. </w:t>
      </w:r>
      <w:proofErr w:type="gramStart"/>
      <w:r w:rsidRPr="00051392">
        <w:rPr>
          <w:rFonts w:ascii="Arial" w:hAnsi="Arial" w:cs="Arial"/>
          <w:sz w:val="20"/>
          <w:szCs w:val="20"/>
        </w:rPr>
        <w:t>2020;12:100188</w:t>
      </w:r>
      <w:proofErr w:type="gramEnd"/>
      <w:r w:rsidRPr="00051392">
        <w:rPr>
          <w:rFonts w:ascii="Arial" w:hAnsi="Arial" w:cs="Arial"/>
          <w:sz w:val="20"/>
          <w:szCs w:val="20"/>
        </w:rPr>
        <w:t xml:space="preserve">. </w:t>
      </w:r>
      <w:proofErr w:type="gramStart"/>
      <w:r w:rsidRPr="00051392">
        <w:rPr>
          <w:rFonts w:ascii="Arial" w:hAnsi="Arial" w:cs="Arial"/>
          <w:sz w:val="20"/>
          <w:szCs w:val="20"/>
        </w:rPr>
        <w:t>doi:10.1016/j.phanu</w:t>
      </w:r>
      <w:proofErr w:type="gramEnd"/>
      <w:r w:rsidRPr="00051392">
        <w:rPr>
          <w:rFonts w:ascii="Arial" w:hAnsi="Arial" w:cs="Arial"/>
          <w:sz w:val="20"/>
          <w:szCs w:val="20"/>
        </w:rPr>
        <w:t>.2020.100188</w:t>
      </w:r>
    </w:p>
    <w:p w14:paraId="4E18197D" w14:textId="5C080302" w:rsidR="00065BE4" w:rsidRPr="00051392" w:rsidRDefault="00FE419C"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Van Hunsel F, Van De Koppel S, Van </w:t>
      </w:r>
      <w:proofErr w:type="spellStart"/>
      <w:r w:rsidRPr="00051392">
        <w:rPr>
          <w:rFonts w:ascii="Arial" w:hAnsi="Arial" w:cs="Arial"/>
          <w:sz w:val="20"/>
          <w:szCs w:val="20"/>
        </w:rPr>
        <w:t>Puijenbroek</w:t>
      </w:r>
      <w:proofErr w:type="spellEnd"/>
      <w:r w:rsidRPr="00051392">
        <w:rPr>
          <w:rFonts w:ascii="Arial" w:hAnsi="Arial" w:cs="Arial"/>
          <w:sz w:val="20"/>
          <w:szCs w:val="20"/>
        </w:rPr>
        <w:t xml:space="preserve"> E, Kant A. Vitamin B6 in Health Supplements and Neuropathy: Case Series Assessment of Spontaneously Reported Cases. </w:t>
      </w:r>
      <w:r w:rsidRPr="00051392">
        <w:rPr>
          <w:rFonts w:ascii="Arial" w:hAnsi="Arial" w:cs="Arial"/>
          <w:i/>
          <w:iCs/>
          <w:sz w:val="20"/>
          <w:szCs w:val="20"/>
        </w:rPr>
        <w:t>Drug Saf</w:t>
      </w:r>
      <w:r w:rsidRPr="00051392">
        <w:rPr>
          <w:rFonts w:ascii="Arial" w:hAnsi="Arial" w:cs="Arial"/>
          <w:sz w:val="20"/>
          <w:szCs w:val="20"/>
        </w:rPr>
        <w:t>. 2018;41(9):859-869. doi:10.1007/s40264-018-0664-0</w:t>
      </w:r>
    </w:p>
    <w:p w14:paraId="072EA2BF" w14:textId="77777777" w:rsidR="002B513B" w:rsidRPr="00051392" w:rsidRDefault="002B513B" w:rsidP="00051392">
      <w:pPr>
        <w:pStyle w:val="Bibliography"/>
        <w:numPr>
          <w:ilvl w:val="0"/>
          <w:numId w:val="1"/>
        </w:numPr>
        <w:spacing w:line="480" w:lineRule="auto"/>
        <w:rPr>
          <w:rFonts w:ascii="Arial" w:hAnsi="Arial" w:cs="Arial"/>
          <w:sz w:val="20"/>
          <w:szCs w:val="20"/>
        </w:rPr>
      </w:pPr>
      <w:proofErr w:type="spellStart"/>
      <w:r w:rsidRPr="00051392">
        <w:rPr>
          <w:rFonts w:ascii="Arial" w:hAnsi="Arial" w:cs="Arial"/>
          <w:sz w:val="20"/>
          <w:szCs w:val="20"/>
        </w:rPr>
        <w:t>Hadtstein</w:t>
      </w:r>
      <w:proofErr w:type="spellEnd"/>
      <w:r w:rsidRPr="00051392">
        <w:rPr>
          <w:rFonts w:ascii="Arial" w:hAnsi="Arial" w:cs="Arial"/>
          <w:sz w:val="20"/>
          <w:szCs w:val="20"/>
        </w:rPr>
        <w:t xml:space="preserve"> F, Vrolijk M. Vitamin B-6-Induced Neuropathy: Exploring the Mechanisms of Pyridoxine Toxicity. </w:t>
      </w:r>
      <w:r w:rsidRPr="00051392">
        <w:rPr>
          <w:rFonts w:ascii="Arial" w:hAnsi="Arial" w:cs="Arial"/>
          <w:i/>
          <w:iCs/>
          <w:sz w:val="20"/>
          <w:szCs w:val="20"/>
        </w:rPr>
        <w:t xml:space="preserve">Adv </w:t>
      </w:r>
      <w:proofErr w:type="spellStart"/>
      <w:r w:rsidRPr="00051392">
        <w:rPr>
          <w:rFonts w:ascii="Arial" w:hAnsi="Arial" w:cs="Arial"/>
          <w:i/>
          <w:iCs/>
          <w:sz w:val="20"/>
          <w:szCs w:val="20"/>
        </w:rPr>
        <w:t>Nutr</w:t>
      </w:r>
      <w:proofErr w:type="spellEnd"/>
      <w:r w:rsidRPr="00051392">
        <w:rPr>
          <w:rFonts w:ascii="Arial" w:hAnsi="Arial" w:cs="Arial"/>
          <w:sz w:val="20"/>
          <w:szCs w:val="20"/>
        </w:rPr>
        <w:t>. 2021;12(5):1911-1929. doi:10.1093/advances/nmab033</w:t>
      </w:r>
    </w:p>
    <w:p w14:paraId="03713512" w14:textId="066706CF" w:rsidR="00FE419C" w:rsidRPr="00051392" w:rsidRDefault="00A70771"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Vrolijk MF, </w:t>
      </w:r>
      <w:proofErr w:type="spellStart"/>
      <w:r w:rsidRPr="00051392">
        <w:rPr>
          <w:rFonts w:ascii="Arial" w:hAnsi="Arial" w:cs="Arial"/>
          <w:sz w:val="20"/>
          <w:szCs w:val="20"/>
        </w:rPr>
        <w:t>Opperhuizen</w:t>
      </w:r>
      <w:proofErr w:type="spellEnd"/>
      <w:r w:rsidRPr="00051392">
        <w:rPr>
          <w:rFonts w:ascii="Arial" w:hAnsi="Arial" w:cs="Arial"/>
          <w:sz w:val="20"/>
          <w:szCs w:val="20"/>
        </w:rPr>
        <w:t xml:space="preserve"> A, Jansen EHJM, Hageman GJ, Bast A, </w:t>
      </w:r>
      <w:proofErr w:type="spellStart"/>
      <w:r w:rsidRPr="00051392">
        <w:rPr>
          <w:rFonts w:ascii="Arial" w:hAnsi="Arial" w:cs="Arial"/>
          <w:sz w:val="20"/>
          <w:szCs w:val="20"/>
        </w:rPr>
        <w:t>Haenen</w:t>
      </w:r>
      <w:proofErr w:type="spellEnd"/>
      <w:r w:rsidRPr="00051392">
        <w:rPr>
          <w:rFonts w:ascii="Arial" w:hAnsi="Arial" w:cs="Arial"/>
          <w:sz w:val="20"/>
          <w:szCs w:val="20"/>
        </w:rPr>
        <w:t xml:space="preserve"> GRMM. The vitamin B6 paradox: Supplementation with high concentrations of pyridoxine leads to decreased vitamin B6 function. </w:t>
      </w:r>
      <w:proofErr w:type="spellStart"/>
      <w:r w:rsidRPr="00051392">
        <w:rPr>
          <w:rFonts w:ascii="Arial" w:hAnsi="Arial" w:cs="Arial"/>
          <w:i/>
          <w:iCs/>
          <w:sz w:val="20"/>
          <w:szCs w:val="20"/>
        </w:rPr>
        <w:t>Toxicol</w:t>
      </w:r>
      <w:proofErr w:type="spellEnd"/>
      <w:r w:rsidRPr="00051392">
        <w:rPr>
          <w:rFonts w:ascii="Arial" w:hAnsi="Arial" w:cs="Arial"/>
          <w:i/>
          <w:iCs/>
          <w:sz w:val="20"/>
          <w:szCs w:val="20"/>
        </w:rPr>
        <w:t xml:space="preserve"> In Vitro</w:t>
      </w:r>
      <w:r w:rsidRPr="00051392">
        <w:rPr>
          <w:rFonts w:ascii="Arial" w:hAnsi="Arial" w:cs="Arial"/>
          <w:sz w:val="20"/>
          <w:szCs w:val="20"/>
        </w:rPr>
        <w:t xml:space="preserve">. </w:t>
      </w:r>
      <w:proofErr w:type="gramStart"/>
      <w:r w:rsidRPr="00051392">
        <w:rPr>
          <w:rFonts w:ascii="Arial" w:hAnsi="Arial" w:cs="Arial"/>
          <w:sz w:val="20"/>
          <w:szCs w:val="20"/>
        </w:rPr>
        <w:t>2017;44:206</w:t>
      </w:r>
      <w:proofErr w:type="gramEnd"/>
      <w:r w:rsidRPr="00051392">
        <w:rPr>
          <w:rFonts w:ascii="Arial" w:hAnsi="Arial" w:cs="Arial"/>
          <w:sz w:val="20"/>
          <w:szCs w:val="20"/>
        </w:rPr>
        <w:t xml:space="preserve">-212. </w:t>
      </w:r>
      <w:proofErr w:type="gramStart"/>
      <w:r w:rsidRPr="00051392">
        <w:rPr>
          <w:rFonts w:ascii="Arial" w:hAnsi="Arial" w:cs="Arial"/>
          <w:sz w:val="20"/>
          <w:szCs w:val="20"/>
        </w:rPr>
        <w:t>doi:10.1016/j.tiv</w:t>
      </w:r>
      <w:proofErr w:type="gramEnd"/>
      <w:r w:rsidRPr="00051392">
        <w:rPr>
          <w:rFonts w:ascii="Arial" w:hAnsi="Arial" w:cs="Arial"/>
          <w:sz w:val="20"/>
          <w:szCs w:val="20"/>
        </w:rPr>
        <w:t>.2017.07.009</w:t>
      </w:r>
    </w:p>
    <w:p w14:paraId="78B0B32F" w14:textId="6CBE2B94" w:rsidR="00A70771" w:rsidRPr="00051392" w:rsidRDefault="00710459" w:rsidP="00051392">
      <w:pPr>
        <w:pStyle w:val="ListParagraph"/>
        <w:numPr>
          <w:ilvl w:val="0"/>
          <w:numId w:val="1"/>
        </w:numPr>
        <w:spacing w:line="480" w:lineRule="auto"/>
        <w:rPr>
          <w:rFonts w:ascii="Arial" w:hAnsi="Arial" w:cs="Arial"/>
          <w:sz w:val="20"/>
          <w:szCs w:val="20"/>
          <w:lang w:val="en-SG"/>
        </w:rPr>
      </w:pPr>
      <w:proofErr w:type="spellStart"/>
      <w:r w:rsidRPr="00051392">
        <w:rPr>
          <w:rFonts w:ascii="Arial" w:hAnsi="Arial" w:cs="Arial"/>
          <w:sz w:val="20"/>
          <w:szCs w:val="20"/>
        </w:rPr>
        <w:t>Sathienluckana</w:t>
      </w:r>
      <w:proofErr w:type="spellEnd"/>
      <w:r w:rsidRPr="00051392">
        <w:rPr>
          <w:rFonts w:ascii="Arial" w:hAnsi="Arial" w:cs="Arial"/>
          <w:sz w:val="20"/>
          <w:szCs w:val="20"/>
        </w:rPr>
        <w:t xml:space="preserve"> T, </w:t>
      </w:r>
      <w:proofErr w:type="spellStart"/>
      <w:r w:rsidRPr="00051392">
        <w:rPr>
          <w:rFonts w:ascii="Arial" w:hAnsi="Arial" w:cs="Arial"/>
          <w:sz w:val="20"/>
          <w:szCs w:val="20"/>
        </w:rPr>
        <w:t>Palapinyo</w:t>
      </w:r>
      <w:proofErr w:type="spellEnd"/>
      <w:r w:rsidRPr="00051392">
        <w:rPr>
          <w:rFonts w:ascii="Arial" w:hAnsi="Arial" w:cs="Arial"/>
          <w:sz w:val="20"/>
          <w:szCs w:val="20"/>
        </w:rPr>
        <w:t xml:space="preserve"> S, </w:t>
      </w:r>
      <w:proofErr w:type="spellStart"/>
      <w:r w:rsidRPr="00051392">
        <w:rPr>
          <w:rFonts w:ascii="Arial" w:hAnsi="Arial" w:cs="Arial"/>
          <w:sz w:val="20"/>
          <w:szCs w:val="20"/>
        </w:rPr>
        <w:t>Yotsombut</w:t>
      </w:r>
      <w:proofErr w:type="spellEnd"/>
      <w:r w:rsidRPr="00051392">
        <w:rPr>
          <w:rFonts w:ascii="Arial" w:hAnsi="Arial" w:cs="Arial"/>
          <w:sz w:val="20"/>
          <w:szCs w:val="20"/>
        </w:rPr>
        <w:t xml:space="preserve"> K, </w:t>
      </w:r>
      <w:proofErr w:type="spellStart"/>
      <w:r w:rsidRPr="00051392">
        <w:rPr>
          <w:rFonts w:ascii="Arial" w:hAnsi="Arial" w:cs="Arial"/>
          <w:sz w:val="20"/>
          <w:szCs w:val="20"/>
        </w:rPr>
        <w:t>Wanothayaroj</w:t>
      </w:r>
      <w:proofErr w:type="spellEnd"/>
      <w:r w:rsidRPr="00051392">
        <w:rPr>
          <w:rFonts w:ascii="Arial" w:hAnsi="Arial" w:cs="Arial"/>
          <w:sz w:val="20"/>
          <w:szCs w:val="20"/>
        </w:rPr>
        <w:t xml:space="preserve"> E, </w:t>
      </w:r>
      <w:proofErr w:type="spellStart"/>
      <w:r w:rsidRPr="00051392">
        <w:rPr>
          <w:rFonts w:ascii="Arial" w:hAnsi="Arial" w:cs="Arial"/>
          <w:sz w:val="20"/>
          <w:szCs w:val="20"/>
        </w:rPr>
        <w:t>Sithinamsuwan</w:t>
      </w:r>
      <w:proofErr w:type="spellEnd"/>
      <w:r w:rsidRPr="00051392">
        <w:rPr>
          <w:rFonts w:ascii="Arial" w:hAnsi="Arial" w:cs="Arial"/>
          <w:sz w:val="20"/>
          <w:szCs w:val="20"/>
        </w:rPr>
        <w:t xml:space="preserve"> P, </w:t>
      </w:r>
      <w:proofErr w:type="spellStart"/>
      <w:r w:rsidRPr="00051392">
        <w:rPr>
          <w:rFonts w:ascii="Arial" w:hAnsi="Arial" w:cs="Arial"/>
          <w:sz w:val="20"/>
          <w:szCs w:val="20"/>
        </w:rPr>
        <w:t>Suksomboon</w:t>
      </w:r>
      <w:proofErr w:type="spellEnd"/>
      <w:r w:rsidRPr="00051392">
        <w:rPr>
          <w:rFonts w:ascii="Arial" w:hAnsi="Arial" w:cs="Arial"/>
          <w:sz w:val="20"/>
          <w:szCs w:val="20"/>
        </w:rPr>
        <w:t xml:space="preserve"> N. Expert consensus guidelines for community pharmacists in the management of diabetic peripheral neuropathy with a combination of neurotropic B vitamins. </w:t>
      </w:r>
      <w:r w:rsidRPr="00051392">
        <w:rPr>
          <w:rFonts w:ascii="Arial" w:hAnsi="Arial" w:cs="Arial"/>
          <w:i/>
          <w:iCs/>
          <w:sz w:val="20"/>
          <w:szCs w:val="20"/>
        </w:rPr>
        <w:t xml:space="preserve">J Pharm Policy </w:t>
      </w:r>
      <w:proofErr w:type="spellStart"/>
      <w:r w:rsidRPr="00051392">
        <w:rPr>
          <w:rFonts w:ascii="Arial" w:hAnsi="Arial" w:cs="Arial"/>
          <w:i/>
          <w:iCs/>
          <w:sz w:val="20"/>
          <w:szCs w:val="20"/>
        </w:rPr>
        <w:t>Pract</w:t>
      </w:r>
      <w:proofErr w:type="spellEnd"/>
      <w:r w:rsidRPr="00051392">
        <w:rPr>
          <w:rFonts w:ascii="Arial" w:hAnsi="Arial" w:cs="Arial"/>
          <w:sz w:val="20"/>
          <w:szCs w:val="20"/>
        </w:rPr>
        <w:t>. 2024;17(1):2306866. doi:10.1080/20523211.2024.2306866</w:t>
      </w:r>
    </w:p>
    <w:p w14:paraId="2B7DCED7" w14:textId="6A838EC2" w:rsidR="00710459" w:rsidRPr="00051392" w:rsidRDefault="000E4502"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lastRenderedPageBreak/>
        <w:t xml:space="preserve">Echaniz-Laguna A, </w:t>
      </w:r>
      <w:proofErr w:type="spellStart"/>
      <w:r w:rsidRPr="00051392">
        <w:rPr>
          <w:rFonts w:ascii="Arial" w:hAnsi="Arial" w:cs="Arial"/>
          <w:sz w:val="20"/>
          <w:szCs w:val="20"/>
        </w:rPr>
        <w:t>Mourot</w:t>
      </w:r>
      <w:proofErr w:type="spellEnd"/>
      <w:r w:rsidRPr="00051392">
        <w:rPr>
          <w:rFonts w:ascii="Arial" w:hAnsi="Arial" w:cs="Arial"/>
          <w:sz w:val="20"/>
          <w:szCs w:val="20"/>
        </w:rPr>
        <w:t xml:space="preserve">-Cottet R, Noel E, Chanson JB. Regressive pyridoxine-induced sensory neuronopathy in a patient with homocystinuria. </w:t>
      </w:r>
      <w:r w:rsidRPr="00051392">
        <w:rPr>
          <w:rFonts w:ascii="Arial" w:hAnsi="Arial" w:cs="Arial"/>
          <w:i/>
          <w:iCs/>
          <w:sz w:val="20"/>
          <w:szCs w:val="20"/>
        </w:rPr>
        <w:t>BMJ Case Rep</w:t>
      </w:r>
      <w:r w:rsidRPr="00051392">
        <w:rPr>
          <w:rFonts w:ascii="Arial" w:hAnsi="Arial" w:cs="Arial"/>
          <w:sz w:val="20"/>
          <w:szCs w:val="20"/>
        </w:rPr>
        <w:t xml:space="preserve">. Published online June 28, </w:t>
      </w:r>
      <w:proofErr w:type="gramStart"/>
      <w:r w:rsidRPr="00051392">
        <w:rPr>
          <w:rFonts w:ascii="Arial" w:hAnsi="Arial" w:cs="Arial"/>
          <w:sz w:val="20"/>
          <w:szCs w:val="20"/>
        </w:rPr>
        <w:t>2018:bcr</w:t>
      </w:r>
      <w:proofErr w:type="gramEnd"/>
      <w:r w:rsidRPr="00051392">
        <w:rPr>
          <w:rFonts w:ascii="Arial" w:hAnsi="Arial" w:cs="Arial"/>
          <w:sz w:val="20"/>
          <w:szCs w:val="20"/>
        </w:rPr>
        <w:t>-2018-225059. doi:10.1136/bcr-2018-225059</w:t>
      </w:r>
    </w:p>
    <w:p w14:paraId="7FDD9C4A" w14:textId="77777777" w:rsidR="00147980" w:rsidRPr="00051392" w:rsidRDefault="00147980" w:rsidP="00051392">
      <w:pPr>
        <w:pStyle w:val="Bibliography"/>
        <w:numPr>
          <w:ilvl w:val="0"/>
          <w:numId w:val="1"/>
        </w:numPr>
        <w:spacing w:line="480" w:lineRule="auto"/>
        <w:rPr>
          <w:rFonts w:ascii="Arial" w:hAnsi="Arial" w:cs="Arial"/>
          <w:sz w:val="20"/>
          <w:szCs w:val="20"/>
        </w:rPr>
      </w:pPr>
      <w:proofErr w:type="spellStart"/>
      <w:r w:rsidRPr="00051392">
        <w:rPr>
          <w:rFonts w:ascii="Arial" w:hAnsi="Arial" w:cs="Arial"/>
          <w:sz w:val="20"/>
          <w:szCs w:val="20"/>
        </w:rPr>
        <w:t>Kulkantrakorn</w:t>
      </w:r>
      <w:proofErr w:type="spellEnd"/>
      <w:r w:rsidRPr="00051392">
        <w:rPr>
          <w:rFonts w:ascii="Arial" w:hAnsi="Arial" w:cs="Arial"/>
          <w:sz w:val="20"/>
          <w:szCs w:val="20"/>
        </w:rPr>
        <w:t xml:space="preserve"> K. Pyridoxine-induced sensory ataxic neuronopathy and neuropathy: revisited. </w:t>
      </w:r>
      <w:r w:rsidRPr="00051392">
        <w:rPr>
          <w:rFonts w:ascii="Arial" w:hAnsi="Arial" w:cs="Arial"/>
          <w:i/>
          <w:iCs/>
          <w:sz w:val="20"/>
          <w:szCs w:val="20"/>
        </w:rPr>
        <w:t>Neurol Sci</w:t>
      </w:r>
      <w:r w:rsidRPr="00051392">
        <w:rPr>
          <w:rFonts w:ascii="Arial" w:hAnsi="Arial" w:cs="Arial"/>
          <w:sz w:val="20"/>
          <w:szCs w:val="20"/>
        </w:rPr>
        <w:t>. 2014;35(11):1827-1830. doi:10.1007/s10072-014-1902-6</w:t>
      </w:r>
    </w:p>
    <w:p w14:paraId="73C1CAE0" w14:textId="717DAE4F" w:rsidR="00147980" w:rsidRPr="00051392" w:rsidRDefault="00147980" w:rsidP="00051392">
      <w:pPr>
        <w:pStyle w:val="Bibliography"/>
        <w:numPr>
          <w:ilvl w:val="0"/>
          <w:numId w:val="1"/>
        </w:numPr>
        <w:spacing w:line="480" w:lineRule="auto"/>
        <w:rPr>
          <w:rFonts w:ascii="Arial" w:hAnsi="Arial" w:cs="Arial"/>
          <w:sz w:val="20"/>
          <w:szCs w:val="20"/>
        </w:rPr>
      </w:pPr>
      <w:r w:rsidRPr="00051392">
        <w:rPr>
          <w:rFonts w:ascii="Arial" w:hAnsi="Arial" w:cs="Arial"/>
          <w:sz w:val="20"/>
          <w:szCs w:val="20"/>
        </w:rPr>
        <w:t xml:space="preserve">Visser NA, </w:t>
      </w:r>
      <w:proofErr w:type="spellStart"/>
      <w:r w:rsidRPr="00051392">
        <w:rPr>
          <w:rFonts w:ascii="Arial" w:hAnsi="Arial" w:cs="Arial"/>
          <w:sz w:val="20"/>
          <w:szCs w:val="20"/>
        </w:rPr>
        <w:t>Notermans</w:t>
      </w:r>
      <w:proofErr w:type="spellEnd"/>
      <w:r w:rsidRPr="00051392">
        <w:rPr>
          <w:rFonts w:ascii="Arial" w:hAnsi="Arial" w:cs="Arial"/>
          <w:sz w:val="20"/>
          <w:szCs w:val="20"/>
        </w:rPr>
        <w:t xml:space="preserve"> NC, Degen LAR, De </w:t>
      </w:r>
      <w:proofErr w:type="spellStart"/>
      <w:r w:rsidRPr="00051392">
        <w:rPr>
          <w:rFonts w:ascii="Arial" w:hAnsi="Arial" w:cs="Arial"/>
          <w:sz w:val="20"/>
          <w:szCs w:val="20"/>
        </w:rPr>
        <w:t>Kruijk</w:t>
      </w:r>
      <w:proofErr w:type="spellEnd"/>
      <w:r w:rsidRPr="00051392">
        <w:rPr>
          <w:rFonts w:ascii="Arial" w:hAnsi="Arial" w:cs="Arial"/>
          <w:sz w:val="20"/>
          <w:szCs w:val="20"/>
        </w:rPr>
        <w:t xml:space="preserve"> JR, Van Den Berg LH, </w:t>
      </w:r>
      <w:proofErr w:type="spellStart"/>
      <w:r w:rsidRPr="00051392">
        <w:rPr>
          <w:rFonts w:ascii="Arial" w:hAnsi="Arial" w:cs="Arial"/>
          <w:sz w:val="20"/>
          <w:szCs w:val="20"/>
        </w:rPr>
        <w:t>Vrancken</w:t>
      </w:r>
      <w:proofErr w:type="spellEnd"/>
      <w:r w:rsidRPr="00051392">
        <w:rPr>
          <w:rFonts w:ascii="Arial" w:hAnsi="Arial" w:cs="Arial"/>
          <w:sz w:val="20"/>
          <w:szCs w:val="20"/>
        </w:rPr>
        <w:t xml:space="preserve"> AFJE. Chronic idiopathic axonal polyneuropathy and vitamin </w:t>
      </w:r>
      <w:r w:rsidRPr="00051392">
        <w:rPr>
          <w:rFonts w:ascii="Arial" w:hAnsi="Arial" w:cs="Arial"/>
          <w:smallCaps/>
          <w:sz w:val="20"/>
          <w:szCs w:val="20"/>
        </w:rPr>
        <w:t>B</w:t>
      </w:r>
      <w:proofErr w:type="gramStart"/>
      <w:r w:rsidRPr="00051392">
        <w:rPr>
          <w:rFonts w:ascii="Arial" w:hAnsi="Arial" w:cs="Arial"/>
          <w:smallCaps/>
          <w:sz w:val="20"/>
          <w:szCs w:val="20"/>
        </w:rPr>
        <w:t>6</w:t>
      </w:r>
      <w:r w:rsidRPr="00051392">
        <w:rPr>
          <w:rFonts w:ascii="Arial" w:hAnsi="Arial" w:cs="Arial"/>
          <w:sz w:val="20"/>
          <w:szCs w:val="20"/>
        </w:rPr>
        <w:t> :</w:t>
      </w:r>
      <w:proofErr w:type="gramEnd"/>
      <w:r w:rsidRPr="00051392">
        <w:rPr>
          <w:rFonts w:ascii="Arial" w:hAnsi="Arial" w:cs="Arial"/>
          <w:sz w:val="20"/>
          <w:szCs w:val="20"/>
        </w:rPr>
        <w:t xml:space="preserve"> a controlled population</w:t>
      </w:r>
      <w:r w:rsidRPr="00051392">
        <w:rPr>
          <w:rFonts w:ascii="Cambria Math" w:hAnsi="Cambria Math" w:cs="Cambria Math"/>
          <w:sz w:val="20"/>
          <w:szCs w:val="20"/>
        </w:rPr>
        <w:t>‐</w:t>
      </w:r>
      <w:r w:rsidRPr="00051392">
        <w:rPr>
          <w:rFonts w:ascii="Arial" w:hAnsi="Arial" w:cs="Arial"/>
          <w:sz w:val="20"/>
          <w:szCs w:val="20"/>
        </w:rPr>
        <w:t xml:space="preserve">based study. </w:t>
      </w:r>
      <w:r w:rsidRPr="00051392">
        <w:rPr>
          <w:rFonts w:ascii="Arial" w:hAnsi="Arial" w:cs="Arial"/>
          <w:i/>
          <w:iCs/>
          <w:sz w:val="20"/>
          <w:szCs w:val="20"/>
        </w:rPr>
        <w:t xml:space="preserve">J </w:t>
      </w:r>
      <w:proofErr w:type="spellStart"/>
      <w:r w:rsidRPr="00051392">
        <w:rPr>
          <w:rFonts w:ascii="Arial" w:hAnsi="Arial" w:cs="Arial"/>
          <w:i/>
          <w:iCs/>
          <w:sz w:val="20"/>
          <w:szCs w:val="20"/>
        </w:rPr>
        <w:t>Peripher</w:t>
      </w:r>
      <w:proofErr w:type="spellEnd"/>
      <w:r w:rsidRPr="00051392">
        <w:rPr>
          <w:rFonts w:ascii="Arial" w:hAnsi="Arial" w:cs="Arial"/>
          <w:i/>
          <w:iCs/>
          <w:sz w:val="20"/>
          <w:szCs w:val="20"/>
        </w:rPr>
        <w:t xml:space="preserve"> </w:t>
      </w:r>
      <w:proofErr w:type="spellStart"/>
      <w:r w:rsidRPr="00051392">
        <w:rPr>
          <w:rFonts w:ascii="Arial" w:hAnsi="Arial" w:cs="Arial"/>
          <w:i/>
          <w:iCs/>
          <w:sz w:val="20"/>
          <w:szCs w:val="20"/>
        </w:rPr>
        <w:t>Nerv</w:t>
      </w:r>
      <w:proofErr w:type="spellEnd"/>
      <w:r w:rsidRPr="00051392">
        <w:rPr>
          <w:rFonts w:ascii="Arial" w:hAnsi="Arial" w:cs="Arial"/>
          <w:i/>
          <w:iCs/>
          <w:sz w:val="20"/>
          <w:szCs w:val="20"/>
        </w:rPr>
        <w:t xml:space="preserve"> Syst</w:t>
      </w:r>
      <w:r w:rsidRPr="00051392">
        <w:rPr>
          <w:rFonts w:ascii="Arial" w:hAnsi="Arial" w:cs="Arial"/>
          <w:sz w:val="20"/>
          <w:szCs w:val="20"/>
        </w:rPr>
        <w:t>. 2014;19(2):136-144. doi:10.1111/jns5.12063</w:t>
      </w:r>
    </w:p>
    <w:p w14:paraId="6C90E749" w14:textId="00095483" w:rsidR="00147980" w:rsidRPr="00051392" w:rsidRDefault="00147980" w:rsidP="00051392">
      <w:pPr>
        <w:pStyle w:val="Bibliography"/>
        <w:numPr>
          <w:ilvl w:val="0"/>
          <w:numId w:val="1"/>
        </w:numPr>
        <w:spacing w:line="480" w:lineRule="auto"/>
        <w:rPr>
          <w:rFonts w:ascii="Arial" w:hAnsi="Arial" w:cs="Arial"/>
          <w:sz w:val="20"/>
          <w:szCs w:val="20"/>
        </w:rPr>
      </w:pPr>
      <w:r w:rsidRPr="00051392">
        <w:rPr>
          <w:rFonts w:ascii="Arial" w:hAnsi="Arial" w:cs="Arial"/>
          <w:sz w:val="20"/>
          <w:szCs w:val="20"/>
        </w:rPr>
        <w:t xml:space="preserve">Dalton K, Dalton MJT. Characteristics of pyridoxine overdose neuropathy syndrome. </w:t>
      </w:r>
      <w:r w:rsidRPr="00051392">
        <w:rPr>
          <w:rFonts w:ascii="Arial" w:hAnsi="Arial" w:cs="Arial"/>
          <w:i/>
          <w:iCs/>
          <w:sz w:val="20"/>
          <w:szCs w:val="20"/>
        </w:rPr>
        <w:t>Acta Neurol Scand</w:t>
      </w:r>
      <w:r w:rsidRPr="00051392">
        <w:rPr>
          <w:rFonts w:ascii="Arial" w:hAnsi="Arial" w:cs="Arial"/>
          <w:sz w:val="20"/>
          <w:szCs w:val="20"/>
        </w:rPr>
        <w:t>. 1987;76(1):8-11. doi:10.1111/j.1600-</w:t>
      </w:r>
      <w:proofErr w:type="gramStart"/>
      <w:r w:rsidRPr="00051392">
        <w:rPr>
          <w:rFonts w:ascii="Arial" w:hAnsi="Arial" w:cs="Arial"/>
          <w:sz w:val="20"/>
          <w:szCs w:val="20"/>
        </w:rPr>
        <w:t>0404.1987.tb</w:t>
      </w:r>
      <w:proofErr w:type="gramEnd"/>
      <w:r w:rsidRPr="00051392">
        <w:rPr>
          <w:rFonts w:ascii="Arial" w:hAnsi="Arial" w:cs="Arial"/>
          <w:sz w:val="20"/>
          <w:szCs w:val="20"/>
        </w:rPr>
        <w:t>03536.x</w:t>
      </w:r>
    </w:p>
    <w:p w14:paraId="0E05DBBA" w14:textId="0DAE910E" w:rsidR="00147980" w:rsidRPr="00051392" w:rsidRDefault="00147980" w:rsidP="00051392">
      <w:pPr>
        <w:pStyle w:val="Bibliography"/>
        <w:numPr>
          <w:ilvl w:val="0"/>
          <w:numId w:val="1"/>
        </w:numPr>
        <w:spacing w:line="480" w:lineRule="auto"/>
        <w:rPr>
          <w:rFonts w:ascii="Arial" w:hAnsi="Arial" w:cs="Arial"/>
          <w:sz w:val="20"/>
          <w:szCs w:val="20"/>
        </w:rPr>
      </w:pPr>
      <w:r w:rsidRPr="00051392">
        <w:rPr>
          <w:rFonts w:ascii="Arial" w:hAnsi="Arial" w:cs="Arial"/>
          <w:sz w:val="20"/>
          <w:szCs w:val="20"/>
        </w:rPr>
        <w:t>Parry GJ, Bredesen DE. Sensory neuropathy with low</w:t>
      </w:r>
      <w:r w:rsidRPr="00051392">
        <w:rPr>
          <w:rFonts w:ascii="Cambria Math" w:hAnsi="Cambria Math" w:cs="Cambria Math"/>
          <w:sz w:val="20"/>
          <w:szCs w:val="20"/>
        </w:rPr>
        <w:t>‐</w:t>
      </w:r>
      <w:r w:rsidRPr="00051392">
        <w:rPr>
          <w:rFonts w:ascii="Arial" w:hAnsi="Arial" w:cs="Arial"/>
          <w:sz w:val="20"/>
          <w:szCs w:val="20"/>
        </w:rPr>
        <w:t xml:space="preserve">dose pyridoxine. </w:t>
      </w:r>
      <w:r w:rsidRPr="00051392">
        <w:rPr>
          <w:rFonts w:ascii="Arial" w:hAnsi="Arial" w:cs="Arial"/>
          <w:i/>
          <w:iCs/>
          <w:sz w:val="20"/>
          <w:szCs w:val="20"/>
        </w:rPr>
        <w:t>Neurology</w:t>
      </w:r>
      <w:r w:rsidRPr="00051392">
        <w:rPr>
          <w:rFonts w:ascii="Arial" w:hAnsi="Arial" w:cs="Arial"/>
          <w:sz w:val="20"/>
          <w:szCs w:val="20"/>
        </w:rPr>
        <w:t>. 1985;35(10):1466-1466. doi:10.1212/WNL.35.10.1466</w:t>
      </w:r>
    </w:p>
    <w:p w14:paraId="6189E6EF" w14:textId="277C18DF" w:rsidR="000E4502" w:rsidRPr="00051392" w:rsidRDefault="00FB4808"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Krishnan D, Kiernan MC. Neurotoxic risks from over</w:t>
      </w:r>
      <w:r w:rsidRPr="00051392">
        <w:rPr>
          <w:rFonts w:ascii="Cambria Math" w:hAnsi="Cambria Math" w:cs="Cambria Math"/>
          <w:sz w:val="20"/>
          <w:szCs w:val="20"/>
        </w:rPr>
        <w:t>‐</w:t>
      </w:r>
      <w:r w:rsidRPr="00051392">
        <w:rPr>
          <w:rFonts w:ascii="Arial" w:hAnsi="Arial" w:cs="Arial"/>
          <w:sz w:val="20"/>
          <w:szCs w:val="20"/>
        </w:rPr>
        <w:t>the</w:t>
      </w:r>
      <w:r w:rsidRPr="00051392">
        <w:rPr>
          <w:rFonts w:ascii="Cambria Math" w:hAnsi="Cambria Math" w:cs="Cambria Math"/>
          <w:sz w:val="20"/>
          <w:szCs w:val="20"/>
        </w:rPr>
        <w:t>‐</w:t>
      </w:r>
      <w:r w:rsidRPr="00051392">
        <w:rPr>
          <w:rFonts w:ascii="Arial" w:hAnsi="Arial" w:cs="Arial"/>
          <w:sz w:val="20"/>
          <w:szCs w:val="20"/>
        </w:rPr>
        <w:t xml:space="preserve">counter vitamin supplements. </w:t>
      </w:r>
      <w:r w:rsidRPr="00051392">
        <w:rPr>
          <w:rFonts w:ascii="Arial" w:hAnsi="Arial" w:cs="Arial"/>
          <w:i/>
          <w:iCs/>
          <w:sz w:val="20"/>
          <w:szCs w:val="20"/>
        </w:rPr>
        <w:t>Med J Aust</w:t>
      </w:r>
      <w:r w:rsidRPr="00051392">
        <w:rPr>
          <w:rFonts w:ascii="Arial" w:hAnsi="Arial" w:cs="Arial"/>
          <w:sz w:val="20"/>
          <w:szCs w:val="20"/>
        </w:rPr>
        <w:t>. 2023;218(7):304-306. doi:10.5694/mja2.51851</w:t>
      </w:r>
    </w:p>
    <w:p w14:paraId="6D05BAE2" w14:textId="0713DFD5" w:rsidR="00343E11" w:rsidRPr="00051392" w:rsidRDefault="004A3777" w:rsidP="00051392">
      <w:pPr>
        <w:pStyle w:val="ListParagraph"/>
        <w:numPr>
          <w:ilvl w:val="0"/>
          <w:numId w:val="1"/>
        </w:numPr>
        <w:spacing w:line="480" w:lineRule="auto"/>
        <w:rPr>
          <w:rFonts w:ascii="Arial" w:hAnsi="Arial" w:cs="Arial"/>
          <w:sz w:val="20"/>
          <w:szCs w:val="20"/>
          <w:lang w:val="en-SG"/>
        </w:rPr>
      </w:pPr>
      <w:proofErr w:type="spellStart"/>
      <w:r w:rsidRPr="00051392">
        <w:rPr>
          <w:rFonts w:ascii="Arial" w:hAnsi="Arial" w:cs="Arial"/>
          <w:sz w:val="20"/>
          <w:szCs w:val="20"/>
        </w:rPr>
        <w:t>Zempleni</w:t>
      </w:r>
      <w:proofErr w:type="spellEnd"/>
      <w:r w:rsidRPr="00051392">
        <w:rPr>
          <w:rFonts w:ascii="Arial" w:hAnsi="Arial" w:cs="Arial"/>
          <w:sz w:val="20"/>
          <w:szCs w:val="20"/>
        </w:rPr>
        <w:t xml:space="preserve"> J. Pharmacokinetics of vitamin B6 supplements in humans. </w:t>
      </w:r>
      <w:r w:rsidRPr="00051392">
        <w:rPr>
          <w:rFonts w:ascii="Arial" w:hAnsi="Arial" w:cs="Arial"/>
          <w:i/>
          <w:iCs/>
          <w:sz w:val="20"/>
          <w:szCs w:val="20"/>
        </w:rPr>
        <w:t xml:space="preserve">J Am Coll </w:t>
      </w:r>
      <w:proofErr w:type="spellStart"/>
      <w:r w:rsidRPr="00051392">
        <w:rPr>
          <w:rFonts w:ascii="Arial" w:hAnsi="Arial" w:cs="Arial"/>
          <w:i/>
          <w:iCs/>
          <w:sz w:val="20"/>
          <w:szCs w:val="20"/>
        </w:rPr>
        <w:t>Nutr</w:t>
      </w:r>
      <w:proofErr w:type="spellEnd"/>
      <w:r w:rsidRPr="00051392">
        <w:rPr>
          <w:rFonts w:ascii="Arial" w:hAnsi="Arial" w:cs="Arial"/>
          <w:sz w:val="20"/>
          <w:szCs w:val="20"/>
        </w:rPr>
        <w:t>. 1995;14(6):579-586. doi:10.1080/07315724.1995.10718546</w:t>
      </w:r>
    </w:p>
    <w:p w14:paraId="7C8020DA" w14:textId="560923FF" w:rsidR="004A3777" w:rsidRPr="00051392" w:rsidRDefault="002C71C0"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Howland RH. Medication Holidays. </w:t>
      </w:r>
      <w:r w:rsidRPr="00051392">
        <w:rPr>
          <w:rFonts w:ascii="Arial" w:hAnsi="Arial" w:cs="Arial"/>
          <w:i/>
          <w:iCs/>
          <w:sz w:val="20"/>
          <w:szCs w:val="20"/>
        </w:rPr>
        <w:t xml:space="preserve">J </w:t>
      </w:r>
      <w:proofErr w:type="spellStart"/>
      <w:r w:rsidRPr="00051392">
        <w:rPr>
          <w:rFonts w:ascii="Arial" w:hAnsi="Arial" w:cs="Arial"/>
          <w:i/>
          <w:iCs/>
          <w:sz w:val="20"/>
          <w:szCs w:val="20"/>
        </w:rPr>
        <w:t>Psychosoc</w:t>
      </w:r>
      <w:proofErr w:type="spellEnd"/>
      <w:r w:rsidRPr="00051392">
        <w:rPr>
          <w:rFonts w:ascii="Arial" w:hAnsi="Arial" w:cs="Arial"/>
          <w:i/>
          <w:iCs/>
          <w:sz w:val="20"/>
          <w:szCs w:val="20"/>
        </w:rPr>
        <w:t xml:space="preserve"> </w:t>
      </w:r>
      <w:proofErr w:type="spellStart"/>
      <w:r w:rsidRPr="00051392">
        <w:rPr>
          <w:rFonts w:ascii="Arial" w:hAnsi="Arial" w:cs="Arial"/>
          <w:i/>
          <w:iCs/>
          <w:sz w:val="20"/>
          <w:szCs w:val="20"/>
        </w:rPr>
        <w:t>Nurs</w:t>
      </w:r>
      <w:proofErr w:type="spellEnd"/>
      <w:r w:rsidRPr="00051392">
        <w:rPr>
          <w:rFonts w:ascii="Arial" w:hAnsi="Arial" w:cs="Arial"/>
          <w:i/>
          <w:iCs/>
          <w:sz w:val="20"/>
          <w:szCs w:val="20"/>
        </w:rPr>
        <w:t xml:space="preserve"> Ment Health Serv</w:t>
      </w:r>
      <w:r w:rsidRPr="00051392">
        <w:rPr>
          <w:rFonts w:ascii="Arial" w:hAnsi="Arial" w:cs="Arial"/>
          <w:sz w:val="20"/>
          <w:szCs w:val="20"/>
        </w:rPr>
        <w:t xml:space="preserve">. 2009;47(9):15-18. </w:t>
      </w:r>
      <w:proofErr w:type="spellStart"/>
      <w:proofErr w:type="gramStart"/>
      <w:r w:rsidRPr="00051392">
        <w:rPr>
          <w:rFonts w:ascii="Arial" w:hAnsi="Arial" w:cs="Arial"/>
          <w:sz w:val="20"/>
          <w:szCs w:val="20"/>
        </w:rPr>
        <w:t>doi:https</w:t>
      </w:r>
      <w:proofErr w:type="spellEnd"/>
      <w:r w:rsidRPr="00051392">
        <w:rPr>
          <w:rFonts w:ascii="Arial" w:hAnsi="Arial" w:cs="Arial"/>
          <w:sz w:val="20"/>
          <w:szCs w:val="20"/>
        </w:rPr>
        <w:t>://doi.org/10.3928/02793695-20090804-01</w:t>
      </w:r>
      <w:proofErr w:type="gramEnd"/>
    </w:p>
    <w:p w14:paraId="7793FC71" w14:textId="1E73B29A" w:rsidR="002C71C0" w:rsidRPr="00051392" w:rsidRDefault="00010694"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Romano S, </w:t>
      </w:r>
      <w:proofErr w:type="spellStart"/>
      <w:r w:rsidRPr="00051392">
        <w:rPr>
          <w:rFonts w:ascii="Arial" w:hAnsi="Arial" w:cs="Arial"/>
          <w:sz w:val="20"/>
          <w:szCs w:val="20"/>
        </w:rPr>
        <w:t>Ferraldeschi</w:t>
      </w:r>
      <w:proofErr w:type="spellEnd"/>
      <w:r w:rsidRPr="00051392">
        <w:rPr>
          <w:rFonts w:ascii="Arial" w:hAnsi="Arial" w:cs="Arial"/>
          <w:sz w:val="20"/>
          <w:szCs w:val="20"/>
        </w:rPr>
        <w:t xml:space="preserve"> M, Bagnato F, et al. Drug Holiday of Interferon Beta 1b in Multiple Sclerosis: A Pilot, Randomized, Single Blind Study of Non-inferiority. </w:t>
      </w:r>
      <w:r w:rsidRPr="00051392">
        <w:rPr>
          <w:rFonts w:ascii="Arial" w:hAnsi="Arial" w:cs="Arial"/>
          <w:i/>
          <w:iCs/>
          <w:sz w:val="20"/>
          <w:szCs w:val="20"/>
        </w:rPr>
        <w:t>Front Neurol</w:t>
      </w:r>
      <w:r w:rsidRPr="00051392">
        <w:rPr>
          <w:rFonts w:ascii="Arial" w:hAnsi="Arial" w:cs="Arial"/>
          <w:sz w:val="20"/>
          <w:szCs w:val="20"/>
        </w:rPr>
        <w:t xml:space="preserve">. </w:t>
      </w:r>
      <w:proofErr w:type="gramStart"/>
      <w:r w:rsidRPr="00051392">
        <w:rPr>
          <w:rFonts w:ascii="Arial" w:hAnsi="Arial" w:cs="Arial"/>
          <w:sz w:val="20"/>
          <w:szCs w:val="20"/>
        </w:rPr>
        <w:t>2019;10:695</w:t>
      </w:r>
      <w:proofErr w:type="gramEnd"/>
      <w:r w:rsidRPr="00051392">
        <w:rPr>
          <w:rFonts w:ascii="Arial" w:hAnsi="Arial" w:cs="Arial"/>
          <w:sz w:val="20"/>
          <w:szCs w:val="20"/>
        </w:rPr>
        <w:t>. doi:10.3389/fneur.2019.00695</w:t>
      </w:r>
    </w:p>
    <w:p w14:paraId="097C5DE5" w14:textId="0898DADB" w:rsidR="005842F6" w:rsidRPr="00051392" w:rsidRDefault="00DD4994"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Centre for Drug Evaluation and Research (CDER). Bioequivalence Studies </w:t>
      </w:r>
      <w:proofErr w:type="gramStart"/>
      <w:r w:rsidRPr="00051392">
        <w:rPr>
          <w:rFonts w:ascii="Arial" w:hAnsi="Arial" w:cs="Arial"/>
          <w:sz w:val="20"/>
          <w:szCs w:val="20"/>
        </w:rPr>
        <w:t>With</w:t>
      </w:r>
      <w:proofErr w:type="gramEnd"/>
      <w:r w:rsidRPr="00051392">
        <w:rPr>
          <w:rFonts w:ascii="Arial" w:hAnsi="Arial" w:cs="Arial"/>
          <w:sz w:val="20"/>
          <w:szCs w:val="20"/>
        </w:rPr>
        <w:t xml:space="preserve"> Pharmacokinetic Endpoints for Drugs Submitted Under an ANDA Guidance for Industry. 2021 August 20. Available from: </w:t>
      </w:r>
      <w:hyperlink r:id="rId21" w:history="1">
        <w:r w:rsidRPr="00051392">
          <w:rPr>
            <w:rStyle w:val="Hyperlink"/>
            <w:rFonts w:ascii="Arial" w:hAnsi="Arial" w:cs="Arial"/>
            <w:sz w:val="20"/>
            <w:szCs w:val="20"/>
          </w:rPr>
          <w:t>https://www.fda.gov/regulatory-information/search-fda-guidance-documents/bioequivalence-studies-pharmacokinetic-endpoints-drugs-submitted-under-abbreviated-new-drug?utm_medium=email&amp;utm_source=govdelivery</w:t>
        </w:r>
      </w:hyperlink>
      <w:r w:rsidRPr="00051392">
        <w:rPr>
          <w:rFonts w:ascii="Arial" w:hAnsi="Arial" w:cs="Arial"/>
          <w:sz w:val="20"/>
          <w:szCs w:val="20"/>
        </w:rPr>
        <w:t xml:space="preserve"> Accessed 15 April 2024.</w:t>
      </w:r>
    </w:p>
    <w:p w14:paraId="243686D9" w14:textId="5AE00660" w:rsidR="005842F6" w:rsidRPr="00051392" w:rsidRDefault="005842F6"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lastRenderedPageBreak/>
        <w:t xml:space="preserve">Committee for Medicinal Products for Human Use (CHMP). Guideline on the investigation of bioequivalence. 2010 January 20. Available from: </w:t>
      </w:r>
      <w:hyperlink r:id="rId22" w:history="1">
        <w:r w:rsidRPr="00051392">
          <w:rPr>
            <w:rStyle w:val="Hyperlink"/>
            <w:rFonts w:ascii="Arial" w:hAnsi="Arial" w:cs="Arial"/>
            <w:sz w:val="20"/>
            <w:szCs w:val="20"/>
          </w:rPr>
          <w:t>https://www.ema.europa.eu/en/documents/scientific-guideline/guideline-investigation-bioequivalence-rev1_en.pdf</w:t>
        </w:r>
      </w:hyperlink>
      <w:r w:rsidRPr="00051392">
        <w:rPr>
          <w:rFonts w:ascii="Arial" w:hAnsi="Arial" w:cs="Arial"/>
          <w:sz w:val="20"/>
          <w:szCs w:val="20"/>
        </w:rPr>
        <w:t xml:space="preserve"> Accessed 15 April 2024</w:t>
      </w:r>
    </w:p>
    <w:p w14:paraId="23248F37" w14:textId="4C9704E6" w:rsidR="0052685C" w:rsidRPr="00051392" w:rsidRDefault="0052685C" w:rsidP="00051392">
      <w:pPr>
        <w:pStyle w:val="ListParagraph"/>
        <w:numPr>
          <w:ilvl w:val="0"/>
          <w:numId w:val="1"/>
        </w:numPr>
        <w:spacing w:line="480" w:lineRule="auto"/>
        <w:rPr>
          <w:rFonts w:ascii="Arial" w:hAnsi="Arial" w:cs="Arial"/>
          <w:sz w:val="20"/>
          <w:szCs w:val="20"/>
          <w:lang w:val="en-SG"/>
        </w:rPr>
      </w:pPr>
      <w:r w:rsidRPr="00051392">
        <w:rPr>
          <w:rFonts w:ascii="Arial" w:hAnsi="Arial" w:cs="Arial"/>
          <w:sz w:val="20"/>
          <w:szCs w:val="20"/>
        </w:rPr>
        <w:t xml:space="preserve">Health Canada. Guidance Document: Conduct and Analysis of Comparative Bioavailability Studies. 2018 January 9. Available from: </w:t>
      </w:r>
      <w:hyperlink r:id="rId23" w:history="1">
        <w:r w:rsidRPr="00051392">
          <w:rPr>
            <w:rStyle w:val="Hyperlink"/>
            <w:rFonts w:ascii="Arial" w:hAnsi="Arial" w:cs="Arial"/>
            <w:sz w:val="20"/>
            <w:szCs w:val="20"/>
          </w:rPr>
          <w:t>https://www.canada.ca/content/dam/hc-sc/documents/services/drugs-health-products/drug-products/applications-submissions/guidance-documents/bioavailability-bioequivalence/conduct-analysis-comparative.pdf</w:t>
        </w:r>
      </w:hyperlink>
      <w:r w:rsidRPr="00051392">
        <w:rPr>
          <w:rFonts w:ascii="Arial" w:hAnsi="Arial" w:cs="Arial"/>
          <w:sz w:val="20"/>
          <w:szCs w:val="20"/>
        </w:rPr>
        <w:t>. Accessed 15 April 2024</w:t>
      </w:r>
    </w:p>
    <w:sectPr w:rsidR="0052685C" w:rsidRPr="000513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3240" w14:textId="77777777" w:rsidR="00DB1E74" w:rsidRDefault="00DB1E74" w:rsidP="0039620C">
      <w:pPr>
        <w:spacing w:after="0" w:line="240" w:lineRule="auto"/>
      </w:pPr>
      <w:r>
        <w:separator/>
      </w:r>
    </w:p>
  </w:endnote>
  <w:endnote w:type="continuationSeparator" w:id="0">
    <w:p w14:paraId="15D77782" w14:textId="77777777" w:rsidR="00DB1E74" w:rsidRDefault="00DB1E74" w:rsidP="0039620C">
      <w:pPr>
        <w:spacing w:after="0" w:line="240" w:lineRule="auto"/>
      </w:pPr>
      <w:r>
        <w:continuationSeparator/>
      </w:r>
    </w:p>
  </w:endnote>
  <w:endnote w:type="continuationNotice" w:id="1">
    <w:p w14:paraId="3FF301B5" w14:textId="77777777" w:rsidR="00DB1E74" w:rsidRDefault="00DB1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A43" w14:textId="235F2F79" w:rsidR="0015054A" w:rsidRDefault="0015054A">
    <w:pPr>
      <w:pStyle w:val="Footer"/>
    </w:pPr>
    <w:r>
      <w:rPr>
        <w:noProof/>
      </w:rPr>
      <mc:AlternateContent>
        <mc:Choice Requires="wps">
          <w:drawing>
            <wp:anchor distT="0" distB="0" distL="0" distR="0" simplePos="0" relativeHeight="251658244" behindDoc="0" locked="0" layoutInCell="1" allowOverlap="1" wp14:anchorId="15ACED4E" wp14:editId="36BA372B">
              <wp:simplePos x="635" y="635"/>
              <wp:positionH relativeFrom="page">
                <wp:align>left</wp:align>
              </wp:positionH>
              <wp:positionV relativeFrom="page">
                <wp:align>bottom</wp:align>
              </wp:positionV>
              <wp:extent cx="2085975" cy="346710"/>
              <wp:effectExtent l="0" t="0" r="9525" b="0"/>
              <wp:wrapNone/>
              <wp:docPr id="379569284"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7601DAF2" w14:textId="4039694E" w:rsidR="0015054A" w:rsidRPr="0015054A" w:rsidRDefault="0015054A" w:rsidP="0015054A">
                          <w:pPr>
                            <w:spacing w:after="0"/>
                            <w:rPr>
                              <w:rFonts w:ascii="Rockwell" w:eastAsia="Rockwell" w:hAnsi="Rockwell" w:cs="Rockwell"/>
                              <w:noProof/>
                              <w:color w:val="0078D7"/>
                              <w:sz w:val="18"/>
                              <w:szCs w:val="18"/>
                            </w:rPr>
                          </w:pPr>
                          <w:r w:rsidRPr="001505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ACED4E" id="_x0000_t202" coordsize="21600,21600" o:spt="202" path="m,l,21600r21600,l21600,xe">
              <v:stroke joinstyle="miter"/>
              <v:path gradientshapeok="t" o:connecttype="rect"/>
            </v:shapetype>
            <v:shape id="Text Box 5" o:spid="_x0000_s1028" type="#_x0000_t202" alt="Information Classification: General" style="position:absolute;margin-left:0;margin-top:0;width:164.25pt;height:27.3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" filled="f" stroked="f">
              <v:textbox style="mso-fit-shape-to-text:t" inset="20pt,0,0,15pt">
                <w:txbxContent>
                  <w:p w14:paraId="7601DAF2" w14:textId="4039694E" w:rsidR="0015054A" w:rsidRPr="0015054A" w:rsidRDefault="0015054A" w:rsidP="0015054A">
                    <w:pPr>
                      <w:spacing w:after="0"/>
                      <w:rPr>
                        <w:rFonts w:ascii="Rockwell" w:eastAsia="Rockwell" w:hAnsi="Rockwell" w:cs="Rockwell"/>
                        <w:noProof/>
                        <w:color w:val="0078D7"/>
                        <w:sz w:val="18"/>
                        <w:szCs w:val="18"/>
                      </w:rPr>
                    </w:pPr>
                    <w:r w:rsidRPr="001505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DEEF" w14:textId="4B0463AD" w:rsidR="0015054A" w:rsidRDefault="0015054A">
    <w:pPr>
      <w:pStyle w:val="Footer"/>
    </w:pPr>
    <w:r>
      <w:rPr>
        <w:noProof/>
      </w:rPr>
      <mc:AlternateContent>
        <mc:Choice Requires="wps">
          <w:drawing>
            <wp:anchor distT="0" distB="0" distL="0" distR="0" simplePos="0" relativeHeight="251658245" behindDoc="0" locked="0" layoutInCell="1" allowOverlap="1" wp14:anchorId="0270BC58" wp14:editId="139F4562">
              <wp:simplePos x="914400" y="9414344"/>
              <wp:positionH relativeFrom="page">
                <wp:align>left</wp:align>
              </wp:positionH>
              <wp:positionV relativeFrom="page">
                <wp:align>bottom</wp:align>
              </wp:positionV>
              <wp:extent cx="2085975" cy="346710"/>
              <wp:effectExtent l="0" t="0" r="9525" b="0"/>
              <wp:wrapNone/>
              <wp:docPr id="1042254111"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5344E364" w14:textId="14D44F0B" w:rsidR="0015054A" w:rsidRPr="0015054A" w:rsidRDefault="0015054A" w:rsidP="0015054A">
                          <w:pPr>
                            <w:spacing w:after="0"/>
                            <w:rPr>
                              <w:rFonts w:ascii="Rockwell" w:eastAsia="Rockwell" w:hAnsi="Rockwell" w:cs="Rockwell"/>
                              <w:noProof/>
                              <w:color w:val="0078D7"/>
                              <w:sz w:val="18"/>
                              <w:szCs w:val="18"/>
                            </w:rPr>
                          </w:pPr>
                          <w:r w:rsidRPr="001505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70BC58" id="_x0000_t202" coordsize="21600,21600" o:spt="202" path="m,l,21600r21600,l21600,xe">
              <v:stroke joinstyle="miter"/>
              <v:path gradientshapeok="t" o:connecttype="rect"/>
            </v:shapetype>
            <v:shape id="Text Box 6" o:spid="_x0000_s1029" type="#_x0000_t202" alt="Information Classification: General" style="position:absolute;margin-left:0;margin-top:0;width:164.25pt;height:27.3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" filled="f" stroked="f">
              <v:textbox style="mso-fit-shape-to-text:t" inset="20pt,0,0,15pt">
                <w:txbxContent>
                  <w:p w14:paraId="5344E364" w14:textId="14D44F0B" w:rsidR="0015054A" w:rsidRPr="0015054A" w:rsidRDefault="0015054A" w:rsidP="0015054A">
                    <w:pPr>
                      <w:spacing w:after="0"/>
                      <w:rPr>
                        <w:rFonts w:ascii="Rockwell" w:eastAsia="Rockwell" w:hAnsi="Rockwell" w:cs="Rockwell"/>
                        <w:noProof/>
                        <w:color w:val="0078D7"/>
                        <w:sz w:val="18"/>
                        <w:szCs w:val="18"/>
                      </w:rPr>
                    </w:pPr>
                    <w:r w:rsidRPr="001505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CB66" w14:textId="6780FE63" w:rsidR="0015054A" w:rsidRDefault="0015054A">
    <w:pPr>
      <w:pStyle w:val="Footer"/>
    </w:pPr>
    <w:r>
      <w:rPr>
        <w:noProof/>
      </w:rPr>
      <mc:AlternateContent>
        <mc:Choice Requires="wps">
          <w:drawing>
            <wp:anchor distT="0" distB="0" distL="0" distR="0" simplePos="0" relativeHeight="251658243" behindDoc="0" locked="0" layoutInCell="1" allowOverlap="1" wp14:anchorId="5AABF9B3" wp14:editId="723E9A84">
              <wp:simplePos x="635" y="635"/>
              <wp:positionH relativeFrom="page">
                <wp:align>left</wp:align>
              </wp:positionH>
              <wp:positionV relativeFrom="page">
                <wp:align>bottom</wp:align>
              </wp:positionV>
              <wp:extent cx="2085975" cy="346710"/>
              <wp:effectExtent l="0" t="0" r="9525" b="0"/>
              <wp:wrapNone/>
              <wp:docPr id="1207447096"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5FDC432A" w14:textId="20099D11" w:rsidR="0015054A" w:rsidRPr="0015054A" w:rsidRDefault="0015054A" w:rsidP="0015054A">
                          <w:pPr>
                            <w:spacing w:after="0"/>
                            <w:rPr>
                              <w:rFonts w:ascii="Rockwell" w:eastAsia="Rockwell" w:hAnsi="Rockwell" w:cs="Rockwell"/>
                              <w:noProof/>
                              <w:color w:val="0078D7"/>
                              <w:sz w:val="18"/>
                              <w:szCs w:val="18"/>
                            </w:rPr>
                          </w:pPr>
                          <w:r w:rsidRPr="001505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BF9B3"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164.25pt;height:27.3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" filled="f" stroked="f">
              <v:textbox style="mso-fit-shape-to-text:t" inset="20pt,0,0,15pt">
                <w:txbxContent>
                  <w:p w14:paraId="5FDC432A" w14:textId="20099D11" w:rsidR="0015054A" w:rsidRPr="0015054A" w:rsidRDefault="0015054A" w:rsidP="0015054A">
                    <w:pPr>
                      <w:spacing w:after="0"/>
                      <w:rPr>
                        <w:rFonts w:ascii="Rockwell" w:eastAsia="Rockwell" w:hAnsi="Rockwell" w:cs="Rockwell"/>
                        <w:noProof/>
                        <w:color w:val="0078D7"/>
                        <w:sz w:val="18"/>
                        <w:szCs w:val="18"/>
                      </w:rPr>
                    </w:pPr>
                    <w:r w:rsidRPr="001505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A2C5D" w14:textId="77777777" w:rsidR="00DB1E74" w:rsidRDefault="00DB1E74" w:rsidP="0039620C">
      <w:pPr>
        <w:spacing w:after="0" w:line="240" w:lineRule="auto"/>
      </w:pPr>
      <w:r>
        <w:separator/>
      </w:r>
    </w:p>
  </w:footnote>
  <w:footnote w:type="continuationSeparator" w:id="0">
    <w:p w14:paraId="4E50F81A" w14:textId="77777777" w:rsidR="00DB1E74" w:rsidRDefault="00DB1E74" w:rsidP="0039620C">
      <w:pPr>
        <w:spacing w:after="0" w:line="240" w:lineRule="auto"/>
      </w:pPr>
      <w:r>
        <w:continuationSeparator/>
      </w:r>
    </w:p>
  </w:footnote>
  <w:footnote w:type="continuationNotice" w:id="1">
    <w:p w14:paraId="39EE24C2" w14:textId="77777777" w:rsidR="00DB1E74" w:rsidRDefault="00DB1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32F1" w14:textId="17F4902E" w:rsidR="003A3103" w:rsidRDefault="003A3103">
    <w:pPr>
      <w:pStyle w:val="Header"/>
    </w:pPr>
    <w:r>
      <w:rPr>
        <w:noProof/>
      </w:rPr>
      <mc:AlternateContent>
        <mc:Choice Requires="wps">
          <w:drawing>
            <wp:anchor distT="0" distB="0" distL="0" distR="0" simplePos="0" relativeHeight="251658241" behindDoc="0" locked="0" layoutInCell="1" allowOverlap="1" wp14:anchorId="1C4BE74A" wp14:editId="5B42EA73">
              <wp:simplePos x="635" y="635"/>
              <wp:positionH relativeFrom="page">
                <wp:align>right</wp:align>
              </wp:positionH>
              <wp:positionV relativeFrom="page">
                <wp:align>top</wp:align>
              </wp:positionV>
              <wp:extent cx="443865" cy="443865"/>
              <wp:effectExtent l="0" t="0" r="0" b="10160"/>
              <wp:wrapNone/>
              <wp:docPr id="1853734971"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A821B" w14:textId="132E1576" w:rsidR="003A3103" w:rsidRPr="003A3103" w:rsidRDefault="003A3103" w:rsidP="003A3103">
                          <w:pPr>
                            <w:spacing w:after="0"/>
                            <w:rPr>
                              <w:rFonts w:ascii="Calibri" w:eastAsia="Calibri" w:hAnsi="Calibri" w:cs="Calibri"/>
                              <w:noProof/>
                              <w:color w:val="000000"/>
                              <w:sz w:val="20"/>
                              <w:szCs w:val="20"/>
                            </w:rPr>
                          </w:pPr>
                          <w:r w:rsidRPr="003A3103">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4BE74A" id="_x0000_t202" coordsize="21600,21600" o:spt="202" path="m,l,21600r21600,l21600,xe">
              <v:stroke joinstyle="miter"/>
              <v:path gradientshapeok="t" o:connecttype="rect"/>
            </v:shapetype>
            <v:shape id="Text Box 2" o:spid="_x0000_s1026" type="#_x0000_t202" alt="Business Use"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90A821B" w14:textId="132E1576" w:rsidR="003A3103" w:rsidRPr="003A3103" w:rsidRDefault="003A3103" w:rsidP="003A3103">
                    <w:pPr>
                      <w:spacing w:after="0"/>
                      <w:rPr>
                        <w:rFonts w:ascii="Calibri" w:eastAsia="Calibri" w:hAnsi="Calibri" w:cs="Calibri"/>
                        <w:noProof/>
                        <w:color w:val="000000"/>
                        <w:sz w:val="20"/>
                        <w:szCs w:val="20"/>
                      </w:rPr>
                    </w:pPr>
                    <w:r w:rsidRPr="003A3103">
                      <w:rPr>
                        <w:rFonts w:ascii="Calibri" w:eastAsia="Calibri" w:hAnsi="Calibri" w:cs="Calibri"/>
                        <w:noProof/>
                        <w:color w:val="000000"/>
                        <w:sz w:val="20"/>
                        <w:szCs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9F6E" w14:textId="121CA752" w:rsidR="003A3103" w:rsidRDefault="003A3103">
    <w:pPr>
      <w:pStyle w:val="Header"/>
    </w:pPr>
    <w:r>
      <w:rPr>
        <w:noProof/>
      </w:rPr>
      <mc:AlternateContent>
        <mc:Choice Requires="wps">
          <w:drawing>
            <wp:anchor distT="0" distB="0" distL="0" distR="0" simplePos="0" relativeHeight="251658242" behindDoc="0" locked="0" layoutInCell="1" allowOverlap="1" wp14:anchorId="704BB812" wp14:editId="28731CD3">
              <wp:simplePos x="914400" y="457200"/>
              <wp:positionH relativeFrom="page">
                <wp:align>right</wp:align>
              </wp:positionH>
              <wp:positionV relativeFrom="page">
                <wp:align>top</wp:align>
              </wp:positionV>
              <wp:extent cx="443865" cy="443865"/>
              <wp:effectExtent l="0" t="0" r="0" b="10160"/>
              <wp:wrapNone/>
              <wp:docPr id="883192217" name="Text Box 3"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19F95" w14:textId="2E23F6F7" w:rsidR="003A3103" w:rsidRPr="003A3103" w:rsidRDefault="003A3103" w:rsidP="003A3103">
                          <w:pPr>
                            <w:spacing w:after="0"/>
                            <w:rPr>
                              <w:rFonts w:ascii="Calibri" w:eastAsia="Calibri" w:hAnsi="Calibri" w:cs="Calibri"/>
                              <w:noProof/>
                              <w:color w:val="000000"/>
                              <w:sz w:val="20"/>
                              <w:szCs w:val="20"/>
                            </w:rPr>
                          </w:pPr>
                          <w:r w:rsidRPr="003A3103">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4BB812" id="_x0000_t202" coordsize="21600,21600" o:spt="202" path="m,l,21600r21600,l21600,xe">
              <v:stroke joinstyle="miter"/>
              <v:path gradientshapeok="t" o:connecttype="rect"/>
            </v:shapetype>
            <v:shape id="Text Box 3" o:spid="_x0000_s1027" type="#_x0000_t202" alt="Business Use"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B119F95" w14:textId="2E23F6F7" w:rsidR="003A3103" w:rsidRPr="003A3103" w:rsidRDefault="003A3103" w:rsidP="003A3103">
                    <w:pPr>
                      <w:spacing w:after="0"/>
                      <w:rPr>
                        <w:rFonts w:ascii="Calibri" w:eastAsia="Calibri" w:hAnsi="Calibri" w:cs="Calibri"/>
                        <w:noProof/>
                        <w:color w:val="000000"/>
                        <w:sz w:val="20"/>
                        <w:szCs w:val="20"/>
                      </w:rPr>
                    </w:pPr>
                    <w:r w:rsidRPr="003A3103">
                      <w:rPr>
                        <w:rFonts w:ascii="Calibri" w:eastAsia="Calibri" w:hAnsi="Calibri" w:cs="Calibri"/>
                        <w:noProof/>
                        <w:color w:val="000000"/>
                        <w:sz w:val="20"/>
                        <w:szCs w:val="20"/>
                      </w:rPr>
                      <w:t>Business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81A7" w14:textId="53D4C0E8" w:rsidR="003A3103" w:rsidRDefault="003A3103">
    <w:pPr>
      <w:pStyle w:val="Header"/>
    </w:pPr>
    <w:r>
      <w:rPr>
        <w:noProof/>
      </w:rPr>
      <mc:AlternateContent>
        <mc:Choice Requires="wps">
          <w:drawing>
            <wp:anchor distT="0" distB="0" distL="0" distR="0" simplePos="0" relativeHeight="251658240" behindDoc="0" locked="0" layoutInCell="1" allowOverlap="1" wp14:anchorId="23F96D42" wp14:editId="149A9071">
              <wp:simplePos x="635" y="635"/>
              <wp:positionH relativeFrom="page">
                <wp:align>right</wp:align>
              </wp:positionH>
              <wp:positionV relativeFrom="page">
                <wp:align>top</wp:align>
              </wp:positionV>
              <wp:extent cx="443865" cy="443865"/>
              <wp:effectExtent l="0" t="0" r="0" b="10160"/>
              <wp:wrapNone/>
              <wp:docPr id="1998538936"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89329" w14:textId="4A128F8B" w:rsidR="003A3103" w:rsidRPr="003A3103" w:rsidRDefault="003A3103" w:rsidP="003A3103">
                          <w:pPr>
                            <w:spacing w:after="0"/>
                            <w:rPr>
                              <w:rFonts w:ascii="Calibri" w:eastAsia="Calibri" w:hAnsi="Calibri" w:cs="Calibri"/>
                              <w:noProof/>
                              <w:color w:val="000000"/>
                              <w:sz w:val="20"/>
                              <w:szCs w:val="20"/>
                            </w:rPr>
                          </w:pPr>
                          <w:r w:rsidRPr="003A3103">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F96D42" id="_x0000_t202" coordsize="21600,21600" o:spt="202" path="m,l,21600r21600,l21600,xe">
              <v:stroke joinstyle="miter"/>
              <v:path gradientshapeok="t" o:connecttype="rect"/>
            </v:shapetype>
            <v:shape id="Text Box 1" o:spid="_x0000_s1030" type="#_x0000_t202" alt="Business Us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7D589329" w14:textId="4A128F8B" w:rsidR="003A3103" w:rsidRPr="003A3103" w:rsidRDefault="003A3103" w:rsidP="003A3103">
                    <w:pPr>
                      <w:spacing w:after="0"/>
                      <w:rPr>
                        <w:rFonts w:ascii="Calibri" w:eastAsia="Calibri" w:hAnsi="Calibri" w:cs="Calibri"/>
                        <w:noProof/>
                        <w:color w:val="000000"/>
                        <w:sz w:val="20"/>
                        <w:szCs w:val="20"/>
                      </w:rPr>
                    </w:pPr>
                    <w:r w:rsidRPr="003A3103">
                      <w:rPr>
                        <w:rFonts w:ascii="Calibri" w:eastAsia="Calibri" w:hAnsi="Calibri" w:cs="Calibri"/>
                        <w:noProof/>
                        <w:color w:val="000000"/>
                        <w:sz w:val="20"/>
                        <w:szCs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46C6F"/>
    <w:multiLevelType w:val="hybridMultilevel"/>
    <w:tmpl w:val="68EE132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3461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3C1263"/>
    <w:rsid w:val="00007A8B"/>
    <w:rsid w:val="00010694"/>
    <w:rsid w:val="00010AB8"/>
    <w:rsid w:val="00011879"/>
    <w:rsid w:val="0004391B"/>
    <w:rsid w:val="00051392"/>
    <w:rsid w:val="000615F6"/>
    <w:rsid w:val="00061DC7"/>
    <w:rsid w:val="00065BE4"/>
    <w:rsid w:val="000810F8"/>
    <w:rsid w:val="00085475"/>
    <w:rsid w:val="000B2B62"/>
    <w:rsid w:val="000E2D8C"/>
    <w:rsid w:val="000E4502"/>
    <w:rsid w:val="000F3676"/>
    <w:rsid w:val="000F4EDC"/>
    <w:rsid w:val="001344E4"/>
    <w:rsid w:val="00147980"/>
    <w:rsid w:val="0015054A"/>
    <w:rsid w:val="00157FC1"/>
    <w:rsid w:val="00195798"/>
    <w:rsid w:val="00195944"/>
    <w:rsid w:val="001D5BD1"/>
    <w:rsid w:val="001E51F9"/>
    <w:rsid w:val="001F6E25"/>
    <w:rsid w:val="00242F27"/>
    <w:rsid w:val="002839EF"/>
    <w:rsid w:val="00287F88"/>
    <w:rsid w:val="002B513B"/>
    <w:rsid w:val="002C131D"/>
    <w:rsid w:val="002C6C81"/>
    <w:rsid w:val="002C71C0"/>
    <w:rsid w:val="002D2F02"/>
    <w:rsid w:val="002E373A"/>
    <w:rsid w:val="00310B97"/>
    <w:rsid w:val="003264A2"/>
    <w:rsid w:val="003323A2"/>
    <w:rsid w:val="00343E11"/>
    <w:rsid w:val="0034435C"/>
    <w:rsid w:val="00350A6B"/>
    <w:rsid w:val="00386D79"/>
    <w:rsid w:val="0039620C"/>
    <w:rsid w:val="003A3103"/>
    <w:rsid w:val="003A4654"/>
    <w:rsid w:val="003B5047"/>
    <w:rsid w:val="003C42C4"/>
    <w:rsid w:val="003D1D0E"/>
    <w:rsid w:val="003D3666"/>
    <w:rsid w:val="003F5ED1"/>
    <w:rsid w:val="004246EE"/>
    <w:rsid w:val="0042648C"/>
    <w:rsid w:val="00442E67"/>
    <w:rsid w:val="00460C98"/>
    <w:rsid w:val="00461BC9"/>
    <w:rsid w:val="00484B85"/>
    <w:rsid w:val="00486C8E"/>
    <w:rsid w:val="00492AB1"/>
    <w:rsid w:val="00494891"/>
    <w:rsid w:val="004A3777"/>
    <w:rsid w:val="004A6BC2"/>
    <w:rsid w:val="004F3AA8"/>
    <w:rsid w:val="00505368"/>
    <w:rsid w:val="0052341D"/>
    <w:rsid w:val="0052685C"/>
    <w:rsid w:val="005476A4"/>
    <w:rsid w:val="005842F6"/>
    <w:rsid w:val="0059707C"/>
    <w:rsid w:val="005F2C63"/>
    <w:rsid w:val="00651C71"/>
    <w:rsid w:val="00664BC3"/>
    <w:rsid w:val="00671C5D"/>
    <w:rsid w:val="006C2901"/>
    <w:rsid w:val="006C402A"/>
    <w:rsid w:val="00710459"/>
    <w:rsid w:val="007146F4"/>
    <w:rsid w:val="00740B04"/>
    <w:rsid w:val="00753E7C"/>
    <w:rsid w:val="007662C9"/>
    <w:rsid w:val="007A34D0"/>
    <w:rsid w:val="007E5060"/>
    <w:rsid w:val="008333A2"/>
    <w:rsid w:val="00846E46"/>
    <w:rsid w:val="008522C6"/>
    <w:rsid w:val="00875411"/>
    <w:rsid w:val="008C14E3"/>
    <w:rsid w:val="00935965"/>
    <w:rsid w:val="00974EE4"/>
    <w:rsid w:val="009B08FF"/>
    <w:rsid w:val="009C197E"/>
    <w:rsid w:val="009E3000"/>
    <w:rsid w:val="009F5D9E"/>
    <w:rsid w:val="00A01B84"/>
    <w:rsid w:val="00A40540"/>
    <w:rsid w:val="00A4486A"/>
    <w:rsid w:val="00A6338B"/>
    <w:rsid w:val="00A70771"/>
    <w:rsid w:val="00AB2391"/>
    <w:rsid w:val="00AF1CEC"/>
    <w:rsid w:val="00B05F2C"/>
    <w:rsid w:val="00B3448E"/>
    <w:rsid w:val="00B84CA6"/>
    <w:rsid w:val="00BE45E4"/>
    <w:rsid w:val="00C203F8"/>
    <w:rsid w:val="00C45AED"/>
    <w:rsid w:val="00C60E47"/>
    <w:rsid w:val="00C77A9C"/>
    <w:rsid w:val="00C8021F"/>
    <w:rsid w:val="00C922AD"/>
    <w:rsid w:val="00CA0B92"/>
    <w:rsid w:val="00CE311A"/>
    <w:rsid w:val="00CE3250"/>
    <w:rsid w:val="00D10508"/>
    <w:rsid w:val="00D11E26"/>
    <w:rsid w:val="00D1455F"/>
    <w:rsid w:val="00D42249"/>
    <w:rsid w:val="00D56383"/>
    <w:rsid w:val="00D657C5"/>
    <w:rsid w:val="00D73DC7"/>
    <w:rsid w:val="00DA4444"/>
    <w:rsid w:val="00DA7A21"/>
    <w:rsid w:val="00DB14EA"/>
    <w:rsid w:val="00DB1E74"/>
    <w:rsid w:val="00DD4994"/>
    <w:rsid w:val="00E1306E"/>
    <w:rsid w:val="00E52102"/>
    <w:rsid w:val="00E5650C"/>
    <w:rsid w:val="00E61650"/>
    <w:rsid w:val="00E635AB"/>
    <w:rsid w:val="00E851B5"/>
    <w:rsid w:val="00E94888"/>
    <w:rsid w:val="00E95E68"/>
    <w:rsid w:val="00ED4417"/>
    <w:rsid w:val="00F27630"/>
    <w:rsid w:val="00F311C3"/>
    <w:rsid w:val="00F34B23"/>
    <w:rsid w:val="00F45FBF"/>
    <w:rsid w:val="00F75DCC"/>
    <w:rsid w:val="00F87397"/>
    <w:rsid w:val="00FA75BA"/>
    <w:rsid w:val="00FB1C1A"/>
    <w:rsid w:val="00FB4808"/>
    <w:rsid w:val="00FD3155"/>
    <w:rsid w:val="00FE419C"/>
    <w:rsid w:val="2B3C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1263"/>
  <w15:chartTrackingRefBased/>
  <w15:docId w15:val="{330469B2-3E50-4383-8714-2EC1AC06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39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0C"/>
  </w:style>
  <w:style w:type="paragraph" w:styleId="Footer">
    <w:name w:val="footer"/>
    <w:basedOn w:val="Normal"/>
    <w:link w:val="FooterChar"/>
    <w:uiPriority w:val="99"/>
    <w:unhideWhenUsed/>
    <w:rsid w:val="0039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0C"/>
  </w:style>
  <w:style w:type="table" w:styleId="TableGrid">
    <w:name w:val="Table Grid"/>
    <w:basedOn w:val="TableNormal"/>
    <w:uiPriority w:val="39"/>
    <w:rsid w:val="0039620C"/>
    <w:pPr>
      <w:spacing w:after="0" w:line="240" w:lineRule="auto"/>
    </w:pPr>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0C"/>
    <w:rPr>
      <w:color w:val="467886" w:themeColor="hyperlink"/>
      <w:u w:val="single"/>
    </w:rPr>
  </w:style>
  <w:style w:type="character" w:styleId="UnresolvedMention">
    <w:name w:val="Unresolved Mention"/>
    <w:basedOn w:val="DefaultParagraphFont"/>
    <w:uiPriority w:val="99"/>
    <w:semiHidden/>
    <w:unhideWhenUsed/>
    <w:rsid w:val="0039620C"/>
    <w:rPr>
      <w:color w:val="605E5C"/>
      <w:shd w:val="clear" w:color="auto" w:fill="E1DFDD"/>
    </w:rPr>
  </w:style>
  <w:style w:type="paragraph" w:styleId="ListParagraph">
    <w:name w:val="List Paragraph"/>
    <w:basedOn w:val="Normal"/>
    <w:uiPriority w:val="34"/>
    <w:qFormat/>
    <w:rsid w:val="0039620C"/>
    <w:pPr>
      <w:ind w:left="720"/>
      <w:contextualSpacing/>
    </w:pPr>
  </w:style>
  <w:style w:type="paragraph" w:styleId="Bibliography">
    <w:name w:val="Bibliography"/>
    <w:basedOn w:val="Normal"/>
    <w:next w:val="Normal"/>
    <w:uiPriority w:val="37"/>
    <w:semiHidden/>
    <w:unhideWhenUsed/>
    <w:rsid w:val="00C8021F"/>
  </w:style>
  <w:style w:type="character" w:styleId="FollowedHyperlink">
    <w:name w:val="FollowedHyperlink"/>
    <w:basedOn w:val="DefaultParagraphFont"/>
    <w:uiPriority w:val="99"/>
    <w:semiHidden/>
    <w:unhideWhenUsed/>
    <w:rsid w:val="0004391B"/>
    <w:rPr>
      <w:color w:val="96607D" w:themeColor="followedHyperlink"/>
      <w:u w:val="single"/>
    </w:rPr>
  </w:style>
  <w:style w:type="paragraph" w:styleId="Revision">
    <w:name w:val="Revision"/>
    <w:hidden/>
    <w:uiPriority w:val="99"/>
    <w:semiHidden/>
    <w:rsid w:val="00974EE4"/>
    <w:pPr>
      <w:spacing w:after="0" w:line="240" w:lineRule="auto"/>
    </w:pPr>
  </w:style>
  <w:style w:type="character" w:styleId="CommentReference">
    <w:name w:val="annotation reference"/>
    <w:basedOn w:val="DefaultParagraphFont"/>
    <w:uiPriority w:val="99"/>
    <w:semiHidden/>
    <w:unhideWhenUsed/>
    <w:rsid w:val="00D56383"/>
    <w:rPr>
      <w:sz w:val="16"/>
      <w:szCs w:val="16"/>
    </w:rPr>
  </w:style>
  <w:style w:type="paragraph" w:styleId="CommentText">
    <w:name w:val="annotation text"/>
    <w:basedOn w:val="Normal"/>
    <w:link w:val="CommentTextChar"/>
    <w:uiPriority w:val="99"/>
    <w:unhideWhenUsed/>
    <w:rsid w:val="00D56383"/>
    <w:pPr>
      <w:spacing w:line="240" w:lineRule="auto"/>
    </w:pPr>
    <w:rPr>
      <w:sz w:val="20"/>
      <w:szCs w:val="20"/>
    </w:rPr>
  </w:style>
  <w:style w:type="character" w:customStyle="1" w:styleId="CommentTextChar">
    <w:name w:val="Comment Text Char"/>
    <w:basedOn w:val="DefaultParagraphFont"/>
    <w:link w:val="CommentText"/>
    <w:uiPriority w:val="99"/>
    <w:rsid w:val="00D56383"/>
    <w:rPr>
      <w:sz w:val="20"/>
      <w:szCs w:val="20"/>
    </w:rPr>
  </w:style>
  <w:style w:type="paragraph" w:styleId="CommentSubject">
    <w:name w:val="annotation subject"/>
    <w:basedOn w:val="CommentText"/>
    <w:next w:val="CommentText"/>
    <w:link w:val="CommentSubjectChar"/>
    <w:uiPriority w:val="99"/>
    <w:semiHidden/>
    <w:unhideWhenUsed/>
    <w:rsid w:val="00D56383"/>
    <w:rPr>
      <w:b/>
      <w:bCs/>
    </w:rPr>
  </w:style>
  <w:style w:type="character" w:customStyle="1" w:styleId="CommentSubjectChar">
    <w:name w:val="Comment Subject Char"/>
    <w:basedOn w:val="CommentTextChar"/>
    <w:link w:val="CommentSubject"/>
    <w:uiPriority w:val="99"/>
    <w:semiHidden/>
    <w:rsid w:val="00D56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00787">
      <w:bodyDiv w:val="1"/>
      <w:marLeft w:val="0"/>
      <w:marRight w:val="0"/>
      <w:marTop w:val="0"/>
      <w:marBottom w:val="0"/>
      <w:divBdr>
        <w:top w:val="none" w:sz="0" w:space="0" w:color="auto"/>
        <w:left w:val="none" w:sz="0" w:space="0" w:color="auto"/>
        <w:bottom w:val="none" w:sz="0" w:space="0" w:color="auto"/>
        <w:right w:val="none" w:sz="0" w:space="0" w:color="auto"/>
      </w:divBdr>
    </w:div>
    <w:div w:id="550923639">
      <w:bodyDiv w:val="1"/>
      <w:marLeft w:val="0"/>
      <w:marRight w:val="0"/>
      <w:marTop w:val="0"/>
      <w:marBottom w:val="0"/>
      <w:divBdr>
        <w:top w:val="none" w:sz="0" w:space="0" w:color="auto"/>
        <w:left w:val="none" w:sz="0" w:space="0" w:color="auto"/>
        <w:bottom w:val="none" w:sz="0" w:space="0" w:color="auto"/>
        <w:right w:val="none" w:sz="0" w:space="0" w:color="auto"/>
      </w:divBdr>
    </w:div>
    <w:div w:id="844050647">
      <w:bodyDiv w:val="1"/>
      <w:marLeft w:val="0"/>
      <w:marRight w:val="0"/>
      <w:marTop w:val="0"/>
      <w:marBottom w:val="0"/>
      <w:divBdr>
        <w:top w:val="none" w:sz="0" w:space="0" w:color="auto"/>
        <w:left w:val="none" w:sz="0" w:space="0" w:color="auto"/>
        <w:bottom w:val="none" w:sz="0" w:space="0" w:color="auto"/>
        <w:right w:val="none" w:sz="0" w:space="0" w:color="auto"/>
      </w:divBdr>
    </w:div>
    <w:div w:id="964308448">
      <w:bodyDiv w:val="1"/>
      <w:marLeft w:val="0"/>
      <w:marRight w:val="0"/>
      <w:marTop w:val="0"/>
      <w:marBottom w:val="0"/>
      <w:divBdr>
        <w:top w:val="none" w:sz="0" w:space="0" w:color="auto"/>
        <w:left w:val="none" w:sz="0" w:space="0" w:color="auto"/>
        <w:bottom w:val="none" w:sz="0" w:space="0" w:color="auto"/>
        <w:right w:val="none" w:sz="0" w:space="0" w:color="auto"/>
      </w:divBdr>
    </w:div>
    <w:div w:id="966467244">
      <w:bodyDiv w:val="1"/>
      <w:marLeft w:val="0"/>
      <w:marRight w:val="0"/>
      <w:marTop w:val="0"/>
      <w:marBottom w:val="0"/>
      <w:divBdr>
        <w:top w:val="none" w:sz="0" w:space="0" w:color="auto"/>
        <w:left w:val="none" w:sz="0" w:space="0" w:color="auto"/>
        <w:bottom w:val="none" w:sz="0" w:space="0" w:color="auto"/>
        <w:right w:val="none" w:sz="0" w:space="0" w:color="auto"/>
      </w:divBdr>
    </w:div>
    <w:div w:id="1064185022">
      <w:bodyDiv w:val="1"/>
      <w:marLeft w:val="0"/>
      <w:marRight w:val="0"/>
      <w:marTop w:val="0"/>
      <w:marBottom w:val="0"/>
      <w:divBdr>
        <w:top w:val="none" w:sz="0" w:space="0" w:color="auto"/>
        <w:left w:val="none" w:sz="0" w:space="0" w:color="auto"/>
        <w:bottom w:val="none" w:sz="0" w:space="0" w:color="auto"/>
        <w:right w:val="none" w:sz="0" w:space="0" w:color="auto"/>
      </w:divBdr>
    </w:div>
    <w:div w:id="1521890234">
      <w:bodyDiv w:val="1"/>
      <w:marLeft w:val="0"/>
      <w:marRight w:val="0"/>
      <w:marTop w:val="0"/>
      <w:marBottom w:val="0"/>
      <w:divBdr>
        <w:top w:val="none" w:sz="0" w:space="0" w:color="auto"/>
        <w:left w:val="none" w:sz="0" w:space="0" w:color="auto"/>
        <w:bottom w:val="none" w:sz="0" w:space="0" w:color="auto"/>
        <w:right w:val="none" w:sz="0" w:space="0" w:color="auto"/>
      </w:divBdr>
    </w:div>
    <w:div w:id="1692221306">
      <w:bodyDiv w:val="1"/>
      <w:marLeft w:val="0"/>
      <w:marRight w:val="0"/>
      <w:marTop w:val="0"/>
      <w:marBottom w:val="0"/>
      <w:divBdr>
        <w:top w:val="none" w:sz="0" w:space="0" w:color="auto"/>
        <w:left w:val="none" w:sz="0" w:space="0" w:color="auto"/>
        <w:bottom w:val="none" w:sz="0" w:space="0" w:color="auto"/>
        <w:right w:val="none" w:sz="0" w:space="0" w:color="auto"/>
      </w:divBdr>
    </w:div>
    <w:div w:id="21160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nhmrc.gov.au/about-us/publications/nutrient-reference-values-australia-and-new-zealand-including-recommended-dietary-intakes.%20Accessed%2015%20April%202024" TargetMode="External"/><Relationship Id="rId3" Type="http://schemas.openxmlformats.org/officeDocument/2006/relationships/customXml" Target="../customXml/item3.xml"/><Relationship Id="rId21" Type="http://schemas.openxmlformats.org/officeDocument/2006/relationships/hyperlink" Target="https://www.fda.gov/regulatory-information/search-fda-guidance-documents/bioequivalence-studies-pharmacokinetic-endpoints-drugs-submitted-under-abbreviated-new-drug?utm_medium=email&amp;utm_source=govdelivery"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iris.who.int/bitstream/handle/10665/42716/9241546123.pdf?sequence=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bi.nlm.nih.gov/books/NBK557436/" TargetMode="External"/><Relationship Id="rId20" Type="http://schemas.openxmlformats.org/officeDocument/2006/relationships/hyperlink" Target="https://www.tga.gov.au/news/safety-alerts/health-supplements-containing-vitamin-b6-can-cause-peripheral-neuropat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canada.ca/content/dam/hc-sc/documents/services/drugs-health-products/drug-products/applications-submissions/guidance-documents/bioavailability-bioequivalence/conduct-analysis-comparative.pdf" TargetMode="External"/><Relationship Id="rId10" Type="http://schemas.openxmlformats.org/officeDocument/2006/relationships/header" Target="header1.xml"/><Relationship Id="rId19" Type="http://schemas.openxmlformats.org/officeDocument/2006/relationships/hyperlink" Target="http://link.springer.com/10.1007/978-3-642-85410-1_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ema.europa.eu/en/documents/scientific-guideline/guideline-investigation-bioequivalence-rev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403fa-f792-43db-b286-6a0da9d4911a">
      <Terms xmlns="http://schemas.microsoft.com/office/infopath/2007/PartnerControls"/>
    </lcf76f155ced4ddcb4097134ff3c332f>
    <TaxCatchAll xmlns="c30e2850-8d14-487f-9c73-3b22cdf94f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911C19C49E04B8C17DDBE0DB1557E" ma:contentTypeVersion="14" ma:contentTypeDescription="Create a new document." ma:contentTypeScope="" ma:versionID="b77cfaff942714a92f64a93ff83f3a3b">
  <xsd:schema xmlns:xsd="http://www.w3.org/2001/XMLSchema" xmlns:xs="http://www.w3.org/2001/XMLSchema" xmlns:p="http://schemas.microsoft.com/office/2006/metadata/properties" xmlns:ns2="766403fa-f792-43db-b286-6a0da9d4911a" xmlns:ns3="c30e2850-8d14-487f-9c73-3b22cdf94f92" targetNamespace="http://schemas.microsoft.com/office/2006/metadata/properties" ma:root="true" ma:fieldsID="481d82f286ae34d6e7d08acfb1effd65" ns2:_="" ns3:_="">
    <xsd:import namespace="766403fa-f792-43db-b286-6a0da9d4911a"/>
    <xsd:import namespace="c30e2850-8d14-487f-9c73-3b22cdf94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403fa-f792-43db-b286-6a0da9d49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e2850-8d14-487f-9c73-3b22cdf94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73f73f9-de85-4048-bce0-42762e578404}" ma:internalName="TaxCatchAll" ma:showField="CatchAllData" ma:web="c30e2850-8d14-487f-9c73-3b22cdf94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0ED99-5761-4BFC-BA22-541ABFACE8AB}">
  <ds:schemaRefs>
    <ds:schemaRef ds:uri="http://schemas.microsoft.com/office/2006/metadata/properties"/>
    <ds:schemaRef ds:uri="http://schemas.microsoft.com/office/infopath/2007/PartnerControls"/>
    <ds:schemaRef ds:uri="766403fa-f792-43db-b286-6a0da9d4911a"/>
    <ds:schemaRef ds:uri="c30e2850-8d14-487f-9c73-3b22cdf94f92"/>
  </ds:schemaRefs>
</ds:datastoreItem>
</file>

<file path=customXml/itemProps2.xml><?xml version="1.0" encoding="utf-8"?>
<ds:datastoreItem xmlns:ds="http://schemas.openxmlformats.org/officeDocument/2006/customXml" ds:itemID="{E360C6D9-3351-42DB-8F7E-D9BA205F2228}">
  <ds:schemaRefs>
    <ds:schemaRef ds:uri="http://schemas.microsoft.com/sharepoint/v3/contenttype/forms"/>
  </ds:schemaRefs>
</ds:datastoreItem>
</file>

<file path=customXml/itemProps3.xml><?xml version="1.0" encoding="utf-8"?>
<ds:datastoreItem xmlns:ds="http://schemas.openxmlformats.org/officeDocument/2006/customXml" ds:itemID="{E8197EFC-2655-43FE-9AD6-42604F12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403fa-f792-43db-b286-6a0da9d4911a"/>
    <ds:schemaRef ds:uri="c30e2850-8d14-487f-9c73-3b22cdf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2210</Words>
  <Characters>12600</Characters>
  <Application>Microsoft Office Word</Application>
  <DocSecurity>0</DocSecurity>
  <Lines>105</Lines>
  <Paragraphs>29</Paragraphs>
  <ScaleCrop>false</ScaleCrop>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Melaney Toh</dc:creator>
  <cp:keywords/>
  <dc:description/>
  <cp:lastModifiedBy>Shaw, Grace</cp:lastModifiedBy>
  <cp:revision>4</cp:revision>
  <dcterms:created xsi:type="dcterms:W3CDTF">2025-02-13T20:45:00Z</dcterms:created>
  <dcterms:modified xsi:type="dcterms:W3CDTF">2025-02-13T20:47:00Z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0x010100352911C19C49E04B8C17DDBE0DB1557E</vt:lpwstr>
  </property>
  <property fmtid="{D5CDD505-2E9C-101B-9397-08002B2CF9AE}" pid="3" name="MediaServiceImageTags">
    <vt:lpwstr/>
  </property>
  <property fmtid="{D5CDD505-2E9C-101B-9397-08002B2CF9AE}" pid="4" name="ClassificationContentMarkingHeaderShapeIds">
    <vt:lpwstr>771f48b8,6e7dc03b,34a47199</vt:lpwstr>
  </property>
  <property fmtid="{D5CDD505-2E9C-101B-9397-08002B2CF9AE}" pid="5" name="ClassificationContentMarkingHeaderFontProps">
    <vt:lpwstr>#000000,10,Calibri</vt:lpwstr>
  </property>
  <property fmtid="{D5CDD505-2E9C-101B-9397-08002B2CF9AE}" pid="6" name="ClassificationContentMarkingHeaderText">
    <vt:lpwstr>Business Use</vt:lpwstr>
  </property>
  <property fmtid="{D5CDD505-2E9C-101B-9397-08002B2CF9AE}" pid="7" name="MSIP_Label_a518e53f-798e-43aa-978d-c3fda1f3a682_Enabled">
    <vt:lpwstr>true</vt:lpwstr>
  </property>
  <property fmtid="{D5CDD505-2E9C-101B-9397-08002B2CF9AE}" pid="8" name="MSIP_Label_a518e53f-798e-43aa-978d-c3fda1f3a682_SetDate">
    <vt:lpwstr>2025-01-26T13:36:57Z</vt:lpwstr>
  </property>
  <property fmtid="{D5CDD505-2E9C-101B-9397-08002B2CF9AE}" pid="9" name="MSIP_Label_a518e53f-798e-43aa-978d-c3fda1f3a682_Method">
    <vt:lpwstr>Privileged</vt:lpwstr>
  </property>
  <property fmtid="{D5CDD505-2E9C-101B-9397-08002B2CF9AE}" pid="10" name="MSIP_Label_a518e53f-798e-43aa-978d-c3fda1f3a682_Name">
    <vt:lpwstr>PG - Internal Use</vt:lpwstr>
  </property>
  <property fmtid="{D5CDD505-2E9C-101B-9397-08002B2CF9AE}" pid="11" name="MSIP_Label_a518e53f-798e-43aa-978d-c3fda1f3a682_SiteId">
    <vt:lpwstr>3596192b-fdf5-4e2c-a6fa-acb706c963d8</vt:lpwstr>
  </property>
  <property fmtid="{D5CDD505-2E9C-101B-9397-08002B2CF9AE}" pid="12" name="MSIP_Label_a518e53f-798e-43aa-978d-c3fda1f3a682_ActionId">
    <vt:lpwstr>65ff3d17-f0ad-4619-83ce-b35fc5bdf97c</vt:lpwstr>
  </property>
  <property fmtid="{D5CDD505-2E9C-101B-9397-08002B2CF9AE}" pid="13" name="MSIP_Label_a518e53f-798e-43aa-978d-c3fda1f3a682_ContentBits">
    <vt:lpwstr>1</vt:lpwstr>
  </property>
  <property fmtid="{D5CDD505-2E9C-101B-9397-08002B2CF9AE}" pid="14" name="ClassificationContentMarkingFooterShapeIds">
    <vt:lpwstr>47f82e38,169fc484,3e1f891f</vt:lpwstr>
  </property>
  <property fmtid="{D5CDD505-2E9C-101B-9397-08002B2CF9AE}" pid="15" name="ClassificationContentMarkingFooterFontProps">
    <vt:lpwstr>#0078d7,9,Rockwell</vt:lpwstr>
  </property>
  <property fmtid="{D5CDD505-2E9C-101B-9397-08002B2CF9AE}" pid="16" name="ClassificationContentMarkingFooterText">
    <vt:lpwstr>Information Classification: General</vt:lpwstr>
  </property>
  <property fmtid="{D5CDD505-2E9C-101B-9397-08002B2CF9AE}" pid="17" name="MSIP_Label_2bbab825-a111-45e4-86a1-18cee0005896_Enabled">
    <vt:lpwstr>true</vt:lpwstr>
  </property>
  <property fmtid="{D5CDD505-2E9C-101B-9397-08002B2CF9AE}" pid="18" name="MSIP_Label_2bbab825-a111-45e4-86a1-18cee0005896_SetDate">
    <vt:lpwstr>2025-02-11T00:18:36Z</vt:lpwstr>
  </property>
  <property fmtid="{D5CDD505-2E9C-101B-9397-08002B2CF9AE}" pid="19" name="MSIP_Label_2bbab825-a111-45e4-86a1-18cee0005896_Method">
    <vt:lpwstr>Standard</vt:lpwstr>
  </property>
  <property fmtid="{D5CDD505-2E9C-101B-9397-08002B2CF9AE}" pid="20" name="MSIP_Label_2bbab825-a111-45e4-86a1-18cee0005896_Name">
    <vt:lpwstr>2bbab825-a111-45e4-86a1-18cee0005896</vt:lpwstr>
  </property>
  <property fmtid="{D5CDD505-2E9C-101B-9397-08002B2CF9AE}" pid="21" name="MSIP_Label_2bbab825-a111-45e4-86a1-18cee0005896_SiteId">
    <vt:lpwstr>2567d566-604c-408a-8a60-55d0dc9d9d6b</vt:lpwstr>
  </property>
  <property fmtid="{D5CDD505-2E9C-101B-9397-08002B2CF9AE}" pid="22" name="MSIP_Label_2bbab825-a111-45e4-86a1-18cee0005896_ActionId">
    <vt:lpwstr>86626ab2-63f8-44b4-b765-88fe116800b2</vt:lpwstr>
  </property>
  <property fmtid="{D5CDD505-2E9C-101B-9397-08002B2CF9AE}" pid="23" name="MSIP_Label_2bbab825-a111-45e4-86a1-18cee0005896_ContentBits">
    <vt:lpwstr>2</vt:lpwstr>
  </property>
  <property fmtid="{D5CDD505-2E9C-101B-9397-08002B2CF9AE}" pid="24" name="MSIP_Label_2bbab825-a111-45e4-86a1-18cee0005896_Tag">
    <vt:lpwstr>10, 3, 0, 1</vt:lpwstr>
  </property>
</Properties>
</file>