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D7A5A" w14:textId="5D3F41DA" w:rsidR="003B5047" w:rsidRPr="00085475" w:rsidRDefault="00F34B23" w:rsidP="003B5047">
      <w:pPr>
        <w:spacing w:line="480" w:lineRule="auto"/>
        <w:rPr>
          <w:rFonts w:ascii="Arial" w:eastAsia="Calibri" w:hAnsi="Arial" w:cs="Arial"/>
          <w:kern w:val="2"/>
          <w:sz w:val="20"/>
          <w:szCs w:val="20"/>
          <w:lang w:val="en-SG" w:eastAsia="en-US"/>
          <w14:ligatures w14:val="standardContextual"/>
        </w:rPr>
      </w:pPr>
      <w:r>
        <w:rPr>
          <w:rFonts w:ascii="Arial" w:eastAsia="Calibri" w:hAnsi="Arial" w:cs="Arial"/>
          <w:b/>
          <w:bCs/>
          <w:kern w:val="2"/>
          <w:sz w:val="20"/>
          <w:szCs w:val="20"/>
          <w:lang w:val="en-SG" w:eastAsia="en-US"/>
          <w14:ligatures w14:val="standardContextual"/>
        </w:rPr>
        <w:t xml:space="preserve">Table </w:t>
      </w:r>
      <w:r w:rsidR="00085475" w:rsidRPr="00085475">
        <w:rPr>
          <w:rFonts w:ascii="Arial" w:eastAsia="Calibri" w:hAnsi="Arial" w:cs="Arial"/>
          <w:b/>
          <w:bCs/>
          <w:kern w:val="2"/>
          <w:sz w:val="20"/>
          <w:szCs w:val="20"/>
          <w:lang w:val="en-SG" w:eastAsia="en-US"/>
          <w14:ligatures w14:val="standardContextual"/>
        </w:rPr>
        <w:t>S1</w:t>
      </w:r>
      <w:r w:rsidR="00085475" w:rsidRPr="00085475">
        <w:rPr>
          <w:rFonts w:ascii="Arial" w:eastAsia="Calibri" w:hAnsi="Arial" w:cs="Arial"/>
          <w:b/>
          <w:kern w:val="2"/>
          <w:sz w:val="20"/>
          <w:szCs w:val="20"/>
          <w:lang w:val="en-SG" w:eastAsia="en-US"/>
          <w14:ligatures w14:val="standardContextual"/>
        </w:rPr>
        <w:t xml:space="preserve"> </w:t>
      </w:r>
      <w:r w:rsidR="003B5047">
        <w:rPr>
          <w:rFonts w:ascii="Arial" w:eastAsia="Calibri" w:hAnsi="Arial" w:cs="Arial"/>
          <w:kern w:val="2"/>
          <w:sz w:val="20"/>
          <w:szCs w:val="20"/>
          <w:lang w:val="en-SG" w:eastAsia="en-US"/>
          <w14:ligatures w14:val="standardContextual"/>
        </w:rPr>
        <w:t>Expert panel profiles</w:t>
      </w:r>
    </w:p>
    <w:tbl>
      <w:tblPr>
        <w:tblStyle w:val="TableGrid"/>
        <w:tblW w:w="0" w:type="auto"/>
        <w:tblLook w:val="04A0" w:firstRow="1" w:lastRow="0" w:firstColumn="1" w:lastColumn="0" w:noHBand="0" w:noVBand="1"/>
      </w:tblPr>
      <w:tblGrid>
        <w:gridCol w:w="1678"/>
        <w:gridCol w:w="2141"/>
        <w:gridCol w:w="2264"/>
        <w:gridCol w:w="1777"/>
        <w:gridCol w:w="1490"/>
      </w:tblGrid>
      <w:tr w:rsidR="003B5047" w:rsidRPr="007146F4" w14:paraId="307428F1" w14:textId="77777777" w:rsidTr="001D5BD1">
        <w:trPr>
          <w:trHeight w:val="779"/>
        </w:trPr>
        <w:tc>
          <w:tcPr>
            <w:tcW w:w="0" w:type="auto"/>
            <w:hideMark/>
          </w:tcPr>
          <w:p w14:paraId="264BAEC1" w14:textId="77777777" w:rsidR="003B5047" w:rsidRPr="007146F4" w:rsidRDefault="003B5047" w:rsidP="001D5BD1">
            <w:pPr>
              <w:spacing w:after="160" w:line="480" w:lineRule="auto"/>
              <w:rPr>
                <w:rFonts w:ascii="Arial" w:eastAsia="Calibri" w:hAnsi="Arial" w:cs="Arial"/>
                <w:b/>
                <w:bCs/>
                <w:sz w:val="20"/>
                <w:szCs w:val="20"/>
              </w:rPr>
            </w:pPr>
            <w:r w:rsidRPr="007146F4">
              <w:rPr>
                <w:rFonts w:ascii="Arial" w:eastAsia="Calibri" w:hAnsi="Arial" w:cs="Arial"/>
                <w:b/>
                <w:bCs/>
                <w:sz w:val="20"/>
                <w:szCs w:val="20"/>
              </w:rPr>
              <w:t>Name</w:t>
            </w:r>
          </w:p>
        </w:tc>
        <w:tc>
          <w:tcPr>
            <w:tcW w:w="0" w:type="auto"/>
            <w:hideMark/>
          </w:tcPr>
          <w:p w14:paraId="407BF6B5" w14:textId="77777777" w:rsidR="003B5047" w:rsidRPr="007146F4" w:rsidRDefault="003B5047" w:rsidP="001D5BD1">
            <w:pPr>
              <w:spacing w:after="160" w:line="480" w:lineRule="auto"/>
              <w:rPr>
                <w:rFonts w:ascii="Arial" w:eastAsia="Calibri" w:hAnsi="Arial" w:cs="Arial"/>
                <w:b/>
                <w:bCs/>
                <w:sz w:val="20"/>
                <w:szCs w:val="20"/>
              </w:rPr>
            </w:pPr>
            <w:r w:rsidRPr="007146F4">
              <w:rPr>
                <w:rFonts w:ascii="Arial" w:eastAsia="Calibri" w:hAnsi="Arial" w:cs="Arial"/>
                <w:b/>
                <w:bCs/>
                <w:sz w:val="20"/>
                <w:szCs w:val="20"/>
              </w:rPr>
              <w:t>Specialty</w:t>
            </w:r>
          </w:p>
        </w:tc>
        <w:tc>
          <w:tcPr>
            <w:tcW w:w="0" w:type="auto"/>
            <w:hideMark/>
          </w:tcPr>
          <w:p w14:paraId="6EB45A5D" w14:textId="77777777" w:rsidR="003B5047" w:rsidRPr="007146F4" w:rsidRDefault="003B5047" w:rsidP="001D5BD1">
            <w:pPr>
              <w:spacing w:after="160" w:line="480" w:lineRule="auto"/>
              <w:rPr>
                <w:rFonts w:ascii="Arial" w:eastAsia="Calibri" w:hAnsi="Arial" w:cs="Arial"/>
                <w:b/>
                <w:bCs/>
                <w:sz w:val="20"/>
                <w:szCs w:val="20"/>
              </w:rPr>
            </w:pPr>
            <w:r w:rsidRPr="007146F4">
              <w:rPr>
                <w:rFonts w:ascii="Arial" w:eastAsia="Calibri" w:hAnsi="Arial" w:cs="Arial"/>
                <w:b/>
                <w:bCs/>
                <w:sz w:val="20"/>
                <w:szCs w:val="20"/>
              </w:rPr>
              <w:t>Qualification</w:t>
            </w:r>
          </w:p>
        </w:tc>
        <w:tc>
          <w:tcPr>
            <w:tcW w:w="0" w:type="auto"/>
            <w:hideMark/>
          </w:tcPr>
          <w:p w14:paraId="17FB8F1C" w14:textId="77777777" w:rsidR="003B5047" w:rsidRPr="007146F4" w:rsidRDefault="003B5047" w:rsidP="001D5BD1">
            <w:pPr>
              <w:spacing w:after="160" w:line="480" w:lineRule="auto"/>
              <w:rPr>
                <w:rFonts w:ascii="Arial" w:eastAsia="Calibri" w:hAnsi="Arial" w:cs="Arial"/>
                <w:b/>
                <w:bCs/>
                <w:sz w:val="20"/>
                <w:szCs w:val="20"/>
              </w:rPr>
            </w:pPr>
            <w:r w:rsidRPr="007146F4">
              <w:rPr>
                <w:rFonts w:ascii="Arial" w:eastAsia="Calibri" w:hAnsi="Arial" w:cs="Arial"/>
                <w:b/>
                <w:bCs/>
                <w:sz w:val="20"/>
                <w:szCs w:val="20"/>
              </w:rPr>
              <w:t>Affiliation</w:t>
            </w:r>
          </w:p>
        </w:tc>
        <w:tc>
          <w:tcPr>
            <w:tcW w:w="0" w:type="auto"/>
            <w:hideMark/>
          </w:tcPr>
          <w:p w14:paraId="28ADD940" w14:textId="77777777" w:rsidR="003B5047" w:rsidRPr="007146F4" w:rsidRDefault="003B5047" w:rsidP="001D5BD1">
            <w:pPr>
              <w:spacing w:after="160" w:line="480" w:lineRule="auto"/>
              <w:rPr>
                <w:rFonts w:ascii="Arial" w:eastAsia="Calibri" w:hAnsi="Arial" w:cs="Arial"/>
                <w:b/>
                <w:bCs/>
                <w:sz w:val="20"/>
                <w:szCs w:val="20"/>
              </w:rPr>
            </w:pPr>
            <w:r w:rsidRPr="007146F4">
              <w:rPr>
                <w:rFonts w:ascii="Arial" w:eastAsia="Calibri" w:hAnsi="Arial" w:cs="Arial"/>
                <w:b/>
                <w:bCs/>
                <w:sz w:val="20"/>
                <w:szCs w:val="20"/>
              </w:rPr>
              <w:t>Years of experience</w:t>
            </w:r>
          </w:p>
        </w:tc>
      </w:tr>
      <w:tr w:rsidR="003B5047" w:rsidRPr="007146F4" w14:paraId="17915427" w14:textId="77777777" w:rsidTr="001D5BD1">
        <w:trPr>
          <w:trHeight w:val="332"/>
        </w:trPr>
        <w:tc>
          <w:tcPr>
            <w:tcW w:w="0" w:type="auto"/>
            <w:hideMark/>
          </w:tcPr>
          <w:p w14:paraId="73538455" w14:textId="77777777" w:rsidR="003B5047" w:rsidRPr="007146F4" w:rsidRDefault="003B5047" w:rsidP="001D5BD1">
            <w:pPr>
              <w:spacing w:after="160" w:line="480" w:lineRule="auto"/>
              <w:rPr>
                <w:rFonts w:ascii="Arial" w:eastAsia="Calibri" w:hAnsi="Arial" w:cs="Arial"/>
                <w:sz w:val="20"/>
                <w:szCs w:val="20"/>
              </w:rPr>
            </w:pPr>
            <w:r w:rsidRPr="007146F4">
              <w:rPr>
                <w:rFonts w:ascii="Arial" w:eastAsia="Calibri" w:hAnsi="Arial" w:cs="Arial"/>
                <w:sz w:val="20"/>
                <w:szCs w:val="20"/>
              </w:rPr>
              <w:t>Natalie Schellack</w:t>
            </w:r>
          </w:p>
        </w:tc>
        <w:tc>
          <w:tcPr>
            <w:tcW w:w="0" w:type="auto"/>
            <w:hideMark/>
          </w:tcPr>
          <w:p w14:paraId="6608A876" w14:textId="77777777" w:rsidR="003B5047" w:rsidRPr="007146F4" w:rsidRDefault="003B5047" w:rsidP="001D5BD1">
            <w:pPr>
              <w:spacing w:after="160" w:line="480" w:lineRule="auto"/>
              <w:rPr>
                <w:rFonts w:ascii="Arial" w:eastAsia="Calibri" w:hAnsi="Arial" w:cs="Arial"/>
                <w:sz w:val="20"/>
                <w:szCs w:val="20"/>
              </w:rPr>
            </w:pPr>
            <w:r w:rsidRPr="007146F4">
              <w:rPr>
                <w:rFonts w:ascii="Arial" w:eastAsia="Calibri" w:hAnsi="Arial" w:cs="Arial"/>
                <w:sz w:val="20"/>
                <w:szCs w:val="20"/>
              </w:rPr>
              <w:t>Pharmacology</w:t>
            </w:r>
          </w:p>
        </w:tc>
        <w:tc>
          <w:tcPr>
            <w:tcW w:w="0" w:type="auto"/>
            <w:hideMark/>
          </w:tcPr>
          <w:p w14:paraId="7533B32C" w14:textId="374DB862" w:rsidR="003B5047" w:rsidRPr="007146F4" w:rsidRDefault="003B5047" w:rsidP="001D5BD1">
            <w:pPr>
              <w:spacing w:after="160" w:line="480" w:lineRule="auto"/>
              <w:rPr>
                <w:rFonts w:ascii="Arial" w:eastAsia="Calibri" w:hAnsi="Arial" w:cs="Arial"/>
                <w:sz w:val="20"/>
                <w:szCs w:val="20"/>
              </w:rPr>
            </w:pPr>
            <w:r w:rsidRPr="007146F4">
              <w:rPr>
                <w:rFonts w:ascii="Arial" w:eastAsia="Calibri" w:hAnsi="Arial" w:cs="Arial"/>
                <w:sz w:val="20"/>
                <w:szCs w:val="20"/>
              </w:rPr>
              <w:t> Ph</w:t>
            </w:r>
            <w:r w:rsidR="003A4654">
              <w:rPr>
                <w:rFonts w:ascii="Arial" w:eastAsia="Calibri" w:hAnsi="Arial" w:cs="Arial"/>
                <w:sz w:val="20"/>
                <w:szCs w:val="20"/>
              </w:rPr>
              <w:t>.</w:t>
            </w:r>
            <w:r w:rsidRPr="007146F4">
              <w:rPr>
                <w:rFonts w:ascii="Arial" w:eastAsia="Calibri" w:hAnsi="Arial" w:cs="Arial"/>
                <w:sz w:val="20"/>
                <w:szCs w:val="20"/>
              </w:rPr>
              <w:t>D</w:t>
            </w:r>
            <w:r w:rsidR="003A4654">
              <w:rPr>
                <w:rFonts w:ascii="Arial" w:eastAsia="Calibri" w:hAnsi="Arial" w:cs="Arial"/>
                <w:sz w:val="20"/>
                <w:szCs w:val="20"/>
              </w:rPr>
              <w:t xml:space="preserve">. </w:t>
            </w:r>
            <w:r w:rsidRPr="007146F4">
              <w:rPr>
                <w:rFonts w:ascii="Arial" w:eastAsia="Calibri" w:hAnsi="Arial" w:cs="Arial"/>
                <w:sz w:val="20"/>
                <w:szCs w:val="20"/>
              </w:rPr>
              <w:t>(Pharmacy)</w:t>
            </w:r>
          </w:p>
        </w:tc>
        <w:tc>
          <w:tcPr>
            <w:tcW w:w="0" w:type="auto"/>
            <w:hideMark/>
          </w:tcPr>
          <w:p w14:paraId="5B6D85EF" w14:textId="77777777" w:rsidR="003B5047" w:rsidRPr="007146F4" w:rsidRDefault="003B5047" w:rsidP="001D5BD1">
            <w:pPr>
              <w:spacing w:after="160" w:line="480" w:lineRule="auto"/>
              <w:rPr>
                <w:rFonts w:ascii="Arial" w:eastAsia="Calibri" w:hAnsi="Arial" w:cs="Arial"/>
                <w:sz w:val="20"/>
                <w:szCs w:val="20"/>
              </w:rPr>
            </w:pPr>
            <w:r w:rsidRPr="007146F4">
              <w:rPr>
                <w:rFonts w:ascii="Arial" w:eastAsia="Calibri" w:hAnsi="Arial" w:cs="Arial"/>
                <w:sz w:val="20"/>
                <w:szCs w:val="20"/>
              </w:rPr>
              <w:t>University of Pretoria</w:t>
            </w:r>
          </w:p>
        </w:tc>
        <w:tc>
          <w:tcPr>
            <w:tcW w:w="0" w:type="auto"/>
            <w:hideMark/>
          </w:tcPr>
          <w:p w14:paraId="13B811D8" w14:textId="12E1F008" w:rsidR="003B5047" w:rsidRPr="007146F4" w:rsidRDefault="003B5047" w:rsidP="0052341D">
            <w:pPr>
              <w:spacing w:after="160" w:line="480" w:lineRule="auto"/>
              <w:jc w:val="center"/>
              <w:rPr>
                <w:rFonts w:ascii="Arial" w:eastAsia="Calibri" w:hAnsi="Arial" w:cs="Arial"/>
                <w:sz w:val="20"/>
                <w:szCs w:val="20"/>
              </w:rPr>
            </w:pPr>
            <w:r w:rsidRPr="007146F4">
              <w:rPr>
                <w:rFonts w:ascii="Arial" w:eastAsia="Calibri" w:hAnsi="Arial" w:cs="Arial"/>
                <w:sz w:val="20"/>
                <w:szCs w:val="20"/>
              </w:rPr>
              <w:t>24 years</w:t>
            </w:r>
          </w:p>
        </w:tc>
      </w:tr>
      <w:tr w:rsidR="003B5047" w:rsidRPr="007146F4" w14:paraId="17D13998" w14:textId="77777777" w:rsidTr="001D5BD1">
        <w:trPr>
          <w:trHeight w:val="313"/>
        </w:trPr>
        <w:tc>
          <w:tcPr>
            <w:tcW w:w="0" w:type="auto"/>
            <w:hideMark/>
          </w:tcPr>
          <w:p w14:paraId="3D5616FD" w14:textId="77777777" w:rsidR="003B5047" w:rsidRPr="007146F4" w:rsidRDefault="003B5047" w:rsidP="001D5BD1">
            <w:pPr>
              <w:spacing w:after="160" w:line="480" w:lineRule="auto"/>
              <w:rPr>
                <w:rFonts w:ascii="Arial" w:eastAsia="Calibri" w:hAnsi="Arial" w:cs="Arial"/>
                <w:sz w:val="20"/>
                <w:szCs w:val="20"/>
              </w:rPr>
            </w:pPr>
            <w:proofErr w:type="spellStart"/>
            <w:r w:rsidRPr="007146F4">
              <w:rPr>
                <w:rFonts w:ascii="Arial" w:eastAsia="Calibri" w:hAnsi="Arial" w:cs="Arial"/>
                <w:sz w:val="20"/>
                <w:szCs w:val="20"/>
              </w:rPr>
              <w:t>Kitiyot</w:t>
            </w:r>
            <w:proofErr w:type="spellEnd"/>
            <w:r w:rsidRPr="007146F4">
              <w:rPr>
                <w:rFonts w:ascii="Arial" w:eastAsia="Calibri" w:hAnsi="Arial" w:cs="Arial"/>
                <w:sz w:val="20"/>
                <w:szCs w:val="20"/>
              </w:rPr>
              <w:t xml:space="preserve"> </w:t>
            </w:r>
            <w:proofErr w:type="spellStart"/>
            <w:r w:rsidRPr="007146F4">
              <w:rPr>
                <w:rFonts w:ascii="Arial" w:eastAsia="Calibri" w:hAnsi="Arial" w:cs="Arial"/>
                <w:sz w:val="20"/>
                <w:szCs w:val="20"/>
              </w:rPr>
              <w:t>Yotsombut</w:t>
            </w:r>
            <w:proofErr w:type="spellEnd"/>
          </w:p>
        </w:tc>
        <w:tc>
          <w:tcPr>
            <w:tcW w:w="0" w:type="auto"/>
            <w:hideMark/>
          </w:tcPr>
          <w:p w14:paraId="2ABCB1F1" w14:textId="77777777" w:rsidR="003B5047" w:rsidRPr="007146F4" w:rsidRDefault="003B5047" w:rsidP="001D5BD1">
            <w:pPr>
              <w:spacing w:after="160" w:line="480" w:lineRule="auto"/>
              <w:rPr>
                <w:rFonts w:ascii="Arial" w:eastAsia="Calibri" w:hAnsi="Arial" w:cs="Arial"/>
                <w:sz w:val="20"/>
                <w:szCs w:val="20"/>
              </w:rPr>
            </w:pPr>
            <w:r w:rsidRPr="007146F4">
              <w:rPr>
                <w:rFonts w:ascii="Arial" w:eastAsia="Calibri" w:hAnsi="Arial" w:cs="Arial"/>
                <w:sz w:val="20"/>
                <w:szCs w:val="20"/>
              </w:rPr>
              <w:t>Pharmacy Practice</w:t>
            </w:r>
          </w:p>
        </w:tc>
        <w:tc>
          <w:tcPr>
            <w:tcW w:w="0" w:type="auto"/>
            <w:hideMark/>
          </w:tcPr>
          <w:p w14:paraId="24032FB6" w14:textId="1B975FB8" w:rsidR="003B5047" w:rsidRPr="007146F4" w:rsidRDefault="003B5047" w:rsidP="001D5BD1">
            <w:pPr>
              <w:spacing w:after="160" w:line="480" w:lineRule="auto"/>
              <w:rPr>
                <w:rFonts w:ascii="Arial" w:eastAsia="Calibri" w:hAnsi="Arial" w:cs="Arial"/>
                <w:sz w:val="20"/>
                <w:szCs w:val="20"/>
              </w:rPr>
            </w:pPr>
            <w:r w:rsidRPr="007146F4">
              <w:rPr>
                <w:rFonts w:ascii="Arial" w:eastAsia="Calibri" w:hAnsi="Arial" w:cs="Arial"/>
                <w:sz w:val="20"/>
                <w:szCs w:val="20"/>
              </w:rPr>
              <w:t>Ph</w:t>
            </w:r>
            <w:r w:rsidR="003A4654">
              <w:rPr>
                <w:rFonts w:ascii="Arial" w:eastAsia="Calibri" w:hAnsi="Arial" w:cs="Arial"/>
                <w:sz w:val="20"/>
                <w:szCs w:val="20"/>
              </w:rPr>
              <w:t>.</w:t>
            </w:r>
            <w:r w:rsidRPr="007146F4">
              <w:rPr>
                <w:rFonts w:ascii="Arial" w:eastAsia="Calibri" w:hAnsi="Arial" w:cs="Arial"/>
                <w:sz w:val="20"/>
                <w:szCs w:val="20"/>
              </w:rPr>
              <w:t>D</w:t>
            </w:r>
            <w:r w:rsidR="003A4654">
              <w:rPr>
                <w:rFonts w:ascii="Arial" w:eastAsia="Calibri" w:hAnsi="Arial" w:cs="Arial"/>
                <w:sz w:val="20"/>
                <w:szCs w:val="20"/>
              </w:rPr>
              <w:t>.</w:t>
            </w:r>
            <w:r w:rsidRPr="007146F4">
              <w:rPr>
                <w:rFonts w:ascii="Arial" w:eastAsia="Calibri" w:hAnsi="Arial" w:cs="Arial"/>
                <w:sz w:val="20"/>
                <w:szCs w:val="20"/>
              </w:rPr>
              <w:t xml:space="preserve"> (</w:t>
            </w:r>
            <w:r w:rsidR="00460C98" w:rsidRPr="00D11E26">
              <w:rPr>
                <w:rFonts w:ascii="Arial" w:eastAsia="Calibri" w:hAnsi="Arial" w:cs="Arial"/>
                <w:sz w:val="20"/>
                <w:szCs w:val="20"/>
              </w:rPr>
              <w:t>Social and Administrative Pharmacy</w:t>
            </w:r>
            <w:r w:rsidRPr="007146F4">
              <w:rPr>
                <w:rFonts w:ascii="Arial" w:eastAsia="Calibri" w:hAnsi="Arial" w:cs="Arial"/>
                <w:sz w:val="20"/>
                <w:szCs w:val="20"/>
              </w:rPr>
              <w:t>)</w:t>
            </w:r>
            <w:r w:rsidRPr="007146F4">
              <w:rPr>
                <w:rFonts w:ascii="Arial" w:eastAsia="Calibri" w:hAnsi="Arial" w:cs="Arial"/>
                <w:sz w:val="20"/>
                <w:szCs w:val="20"/>
              </w:rPr>
              <w:br/>
              <w:t>M.</w:t>
            </w:r>
            <w:r w:rsidR="003A4654">
              <w:rPr>
                <w:rFonts w:ascii="Arial" w:eastAsia="Calibri" w:hAnsi="Arial" w:cs="Arial"/>
                <w:sz w:val="20"/>
                <w:szCs w:val="20"/>
              </w:rPr>
              <w:t xml:space="preserve"> </w:t>
            </w:r>
            <w:r w:rsidRPr="007146F4">
              <w:rPr>
                <w:rFonts w:ascii="Arial" w:eastAsia="Calibri" w:hAnsi="Arial" w:cs="Arial"/>
                <w:sz w:val="20"/>
                <w:szCs w:val="20"/>
              </w:rPr>
              <w:t>Pharm (Clinical Pharmacy)</w:t>
            </w:r>
          </w:p>
        </w:tc>
        <w:tc>
          <w:tcPr>
            <w:tcW w:w="0" w:type="auto"/>
            <w:hideMark/>
          </w:tcPr>
          <w:p w14:paraId="294A25B2" w14:textId="77777777" w:rsidR="003B5047" w:rsidRPr="007146F4" w:rsidRDefault="003B5047" w:rsidP="001D5BD1">
            <w:pPr>
              <w:spacing w:after="160" w:line="480" w:lineRule="auto"/>
              <w:rPr>
                <w:rFonts w:ascii="Arial" w:eastAsia="Calibri" w:hAnsi="Arial" w:cs="Arial"/>
                <w:sz w:val="20"/>
                <w:szCs w:val="20"/>
              </w:rPr>
            </w:pPr>
            <w:r w:rsidRPr="007146F4">
              <w:rPr>
                <w:rFonts w:ascii="Arial" w:eastAsia="Calibri" w:hAnsi="Arial" w:cs="Arial"/>
                <w:sz w:val="20"/>
                <w:szCs w:val="20"/>
              </w:rPr>
              <w:t>Chulalongkorn University </w:t>
            </w:r>
          </w:p>
        </w:tc>
        <w:tc>
          <w:tcPr>
            <w:tcW w:w="0" w:type="auto"/>
            <w:hideMark/>
          </w:tcPr>
          <w:p w14:paraId="1C94E992" w14:textId="00C21DE1" w:rsidR="003B5047" w:rsidRPr="007146F4" w:rsidRDefault="003B5047" w:rsidP="0052341D">
            <w:pPr>
              <w:spacing w:after="160" w:line="480" w:lineRule="auto"/>
              <w:jc w:val="center"/>
              <w:rPr>
                <w:rFonts w:ascii="Arial" w:eastAsia="Calibri" w:hAnsi="Arial" w:cs="Arial"/>
                <w:sz w:val="20"/>
                <w:szCs w:val="20"/>
              </w:rPr>
            </w:pPr>
            <w:r w:rsidRPr="007146F4">
              <w:rPr>
                <w:rFonts w:ascii="Arial" w:eastAsia="Calibri" w:hAnsi="Arial" w:cs="Arial"/>
                <w:sz w:val="20"/>
                <w:szCs w:val="20"/>
              </w:rPr>
              <w:t>18 years</w:t>
            </w:r>
          </w:p>
        </w:tc>
      </w:tr>
      <w:tr w:rsidR="003B5047" w:rsidRPr="007146F4" w14:paraId="78EC102E" w14:textId="77777777" w:rsidTr="001D5BD1">
        <w:trPr>
          <w:trHeight w:val="332"/>
        </w:trPr>
        <w:tc>
          <w:tcPr>
            <w:tcW w:w="0" w:type="auto"/>
            <w:hideMark/>
          </w:tcPr>
          <w:p w14:paraId="509B2E7F" w14:textId="77777777" w:rsidR="003B5047" w:rsidRPr="007146F4" w:rsidRDefault="003B5047" w:rsidP="001D5BD1">
            <w:pPr>
              <w:spacing w:after="160" w:line="480" w:lineRule="auto"/>
              <w:rPr>
                <w:rFonts w:ascii="Arial" w:eastAsia="Calibri" w:hAnsi="Arial" w:cs="Arial"/>
                <w:sz w:val="20"/>
                <w:szCs w:val="20"/>
              </w:rPr>
            </w:pPr>
            <w:r w:rsidRPr="007146F4">
              <w:rPr>
                <w:rFonts w:ascii="Arial" w:eastAsia="Calibri" w:hAnsi="Arial" w:cs="Arial"/>
                <w:sz w:val="20"/>
                <w:szCs w:val="20"/>
              </w:rPr>
              <w:t>Arman Sabet</w:t>
            </w:r>
          </w:p>
        </w:tc>
        <w:tc>
          <w:tcPr>
            <w:tcW w:w="0" w:type="auto"/>
            <w:hideMark/>
          </w:tcPr>
          <w:p w14:paraId="6C539367" w14:textId="77777777" w:rsidR="003B5047" w:rsidRPr="007146F4" w:rsidRDefault="003B5047" w:rsidP="001D5BD1">
            <w:pPr>
              <w:spacing w:after="160" w:line="480" w:lineRule="auto"/>
              <w:rPr>
                <w:rFonts w:ascii="Arial" w:eastAsia="Calibri" w:hAnsi="Arial" w:cs="Arial"/>
                <w:sz w:val="20"/>
                <w:szCs w:val="20"/>
              </w:rPr>
            </w:pPr>
            <w:r w:rsidRPr="007146F4">
              <w:rPr>
                <w:rFonts w:ascii="Arial" w:eastAsia="Calibri" w:hAnsi="Arial" w:cs="Arial"/>
                <w:sz w:val="20"/>
                <w:szCs w:val="20"/>
              </w:rPr>
              <w:t>Neurology</w:t>
            </w:r>
          </w:p>
        </w:tc>
        <w:tc>
          <w:tcPr>
            <w:tcW w:w="0" w:type="auto"/>
            <w:hideMark/>
          </w:tcPr>
          <w:p w14:paraId="5D4ACB61" w14:textId="77777777" w:rsidR="003B5047" w:rsidRPr="007146F4" w:rsidRDefault="003B5047" w:rsidP="001D5BD1">
            <w:pPr>
              <w:spacing w:after="160" w:line="480" w:lineRule="auto"/>
              <w:rPr>
                <w:rFonts w:ascii="Arial" w:eastAsia="Calibri" w:hAnsi="Arial" w:cs="Arial"/>
                <w:sz w:val="20"/>
                <w:szCs w:val="20"/>
              </w:rPr>
            </w:pPr>
            <w:r w:rsidRPr="007146F4">
              <w:rPr>
                <w:rFonts w:ascii="Arial" w:eastAsia="Calibri" w:hAnsi="Arial" w:cs="Arial"/>
                <w:sz w:val="20"/>
                <w:szCs w:val="20"/>
              </w:rPr>
              <w:t>M.D. (Medicine)</w:t>
            </w:r>
          </w:p>
        </w:tc>
        <w:tc>
          <w:tcPr>
            <w:tcW w:w="0" w:type="auto"/>
            <w:hideMark/>
          </w:tcPr>
          <w:p w14:paraId="196936E9" w14:textId="77777777" w:rsidR="003B5047" w:rsidRPr="007146F4" w:rsidRDefault="003B5047" w:rsidP="001D5BD1">
            <w:pPr>
              <w:spacing w:after="160" w:line="480" w:lineRule="auto"/>
              <w:rPr>
                <w:rFonts w:ascii="Arial" w:eastAsia="Calibri" w:hAnsi="Arial" w:cs="Arial"/>
                <w:sz w:val="20"/>
                <w:szCs w:val="20"/>
              </w:rPr>
            </w:pPr>
            <w:r w:rsidRPr="007146F4">
              <w:rPr>
                <w:rFonts w:ascii="Arial" w:eastAsia="Calibri" w:hAnsi="Arial" w:cs="Arial"/>
                <w:sz w:val="20"/>
                <w:szCs w:val="20"/>
              </w:rPr>
              <w:t>Griffith University</w:t>
            </w:r>
          </w:p>
        </w:tc>
        <w:tc>
          <w:tcPr>
            <w:tcW w:w="0" w:type="auto"/>
            <w:hideMark/>
          </w:tcPr>
          <w:p w14:paraId="746C46FB" w14:textId="77777777" w:rsidR="003B5047" w:rsidRPr="007146F4" w:rsidRDefault="003B5047" w:rsidP="0052341D">
            <w:pPr>
              <w:spacing w:after="160" w:line="480" w:lineRule="auto"/>
              <w:jc w:val="center"/>
              <w:rPr>
                <w:rFonts w:ascii="Arial" w:eastAsia="Calibri" w:hAnsi="Arial" w:cs="Arial"/>
                <w:sz w:val="20"/>
                <w:szCs w:val="20"/>
              </w:rPr>
            </w:pPr>
            <w:r w:rsidRPr="007146F4">
              <w:rPr>
                <w:rFonts w:ascii="Arial" w:eastAsia="Calibri" w:hAnsi="Arial" w:cs="Arial"/>
                <w:sz w:val="20"/>
                <w:szCs w:val="20"/>
              </w:rPr>
              <w:t>28 years</w:t>
            </w:r>
          </w:p>
        </w:tc>
      </w:tr>
      <w:tr w:rsidR="003B5047" w:rsidRPr="007146F4" w14:paraId="26C6B913" w14:textId="77777777" w:rsidTr="001D5BD1">
        <w:trPr>
          <w:trHeight w:val="274"/>
        </w:trPr>
        <w:tc>
          <w:tcPr>
            <w:tcW w:w="0" w:type="auto"/>
            <w:hideMark/>
          </w:tcPr>
          <w:p w14:paraId="13359E70" w14:textId="77777777" w:rsidR="003B5047" w:rsidRPr="007146F4" w:rsidRDefault="003B5047" w:rsidP="001D5BD1">
            <w:pPr>
              <w:spacing w:after="160" w:line="480" w:lineRule="auto"/>
              <w:rPr>
                <w:rFonts w:ascii="Arial" w:eastAsia="Calibri" w:hAnsi="Arial" w:cs="Arial"/>
                <w:sz w:val="20"/>
                <w:szCs w:val="20"/>
              </w:rPr>
            </w:pPr>
            <w:r w:rsidRPr="007146F4">
              <w:rPr>
                <w:rFonts w:ascii="Arial" w:eastAsia="Calibri" w:hAnsi="Arial" w:cs="Arial"/>
                <w:sz w:val="20"/>
                <w:szCs w:val="20"/>
              </w:rPr>
              <w:t xml:space="preserve">Jalal </w:t>
            </w:r>
            <w:proofErr w:type="spellStart"/>
            <w:r w:rsidRPr="007146F4">
              <w:rPr>
                <w:rFonts w:ascii="Arial" w:eastAsia="Calibri" w:hAnsi="Arial" w:cs="Arial"/>
                <w:sz w:val="20"/>
                <w:szCs w:val="20"/>
              </w:rPr>
              <w:t>Nafach</w:t>
            </w:r>
            <w:proofErr w:type="spellEnd"/>
          </w:p>
        </w:tc>
        <w:tc>
          <w:tcPr>
            <w:tcW w:w="0" w:type="auto"/>
            <w:hideMark/>
          </w:tcPr>
          <w:p w14:paraId="0B0BED8E" w14:textId="5702EBE2" w:rsidR="003B5047" w:rsidRPr="007146F4" w:rsidRDefault="003B5047" w:rsidP="001D5BD1">
            <w:pPr>
              <w:spacing w:after="160" w:line="480" w:lineRule="auto"/>
              <w:rPr>
                <w:rFonts w:ascii="Arial" w:eastAsia="Calibri" w:hAnsi="Arial" w:cs="Arial"/>
                <w:sz w:val="20"/>
                <w:szCs w:val="20"/>
              </w:rPr>
            </w:pPr>
            <w:r w:rsidRPr="007146F4">
              <w:rPr>
                <w:rFonts w:ascii="Arial" w:eastAsia="Calibri" w:hAnsi="Arial" w:cs="Arial"/>
                <w:sz w:val="20"/>
                <w:szCs w:val="20"/>
              </w:rPr>
              <w:t>Diabetes, Endocrinology and Metabolis</w:t>
            </w:r>
            <w:r w:rsidR="008C14E3">
              <w:rPr>
                <w:rFonts w:ascii="Arial" w:eastAsia="Calibri" w:hAnsi="Arial" w:cs="Arial"/>
                <w:sz w:val="20"/>
                <w:szCs w:val="20"/>
              </w:rPr>
              <w:t>m</w:t>
            </w:r>
          </w:p>
        </w:tc>
        <w:tc>
          <w:tcPr>
            <w:tcW w:w="0" w:type="auto"/>
            <w:hideMark/>
          </w:tcPr>
          <w:p w14:paraId="63A52345" w14:textId="77777777" w:rsidR="003B5047" w:rsidRPr="007146F4" w:rsidRDefault="003B5047" w:rsidP="001D5BD1">
            <w:pPr>
              <w:spacing w:after="160" w:line="480" w:lineRule="auto"/>
              <w:rPr>
                <w:rFonts w:ascii="Arial" w:eastAsia="Calibri" w:hAnsi="Arial" w:cs="Arial"/>
                <w:sz w:val="20"/>
                <w:szCs w:val="20"/>
              </w:rPr>
            </w:pPr>
            <w:r w:rsidRPr="007146F4">
              <w:rPr>
                <w:rFonts w:ascii="Arial" w:eastAsia="Calibri" w:hAnsi="Arial" w:cs="Arial"/>
                <w:sz w:val="20"/>
                <w:szCs w:val="20"/>
              </w:rPr>
              <w:t>M.D.(Medicine)</w:t>
            </w:r>
          </w:p>
        </w:tc>
        <w:tc>
          <w:tcPr>
            <w:tcW w:w="0" w:type="auto"/>
            <w:hideMark/>
          </w:tcPr>
          <w:p w14:paraId="5147013B" w14:textId="77777777" w:rsidR="003B5047" w:rsidRPr="007146F4" w:rsidRDefault="003B5047" w:rsidP="001D5BD1">
            <w:pPr>
              <w:spacing w:after="160" w:line="480" w:lineRule="auto"/>
              <w:rPr>
                <w:rFonts w:ascii="Arial" w:eastAsia="Calibri" w:hAnsi="Arial" w:cs="Arial"/>
                <w:sz w:val="20"/>
                <w:szCs w:val="20"/>
              </w:rPr>
            </w:pPr>
            <w:r w:rsidRPr="007146F4">
              <w:rPr>
                <w:rFonts w:ascii="Arial" w:eastAsia="Calibri" w:hAnsi="Arial" w:cs="Arial"/>
                <w:sz w:val="20"/>
                <w:szCs w:val="20"/>
              </w:rPr>
              <w:t>Dubai Diabetes Centre</w:t>
            </w:r>
          </w:p>
        </w:tc>
        <w:tc>
          <w:tcPr>
            <w:tcW w:w="0" w:type="auto"/>
            <w:hideMark/>
          </w:tcPr>
          <w:p w14:paraId="2C07153E" w14:textId="3200F258" w:rsidR="003B5047" w:rsidRPr="007146F4" w:rsidRDefault="003B5047" w:rsidP="0052341D">
            <w:pPr>
              <w:spacing w:after="160" w:line="480" w:lineRule="auto"/>
              <w:jc w:val="center"/>
              <w:rPr>
                <w:rFonts w:ascii="Arial" w:eastAsia="Calibri" w:hAnsi="Arial" w:cs="Arial"/>
                <w:sz w:val="20"/>
                <w:szCs w:val="20"/>
              </w:rPr>
            </w:pPr>
            <w:r w:rsidRPr="007146F4">
              <w:rPr>
                <w:rFonts w:ascii="Arial" w:eastAsia="Calibri" w:hAnsi="Arial" w:cs="Arial"/>
                <w:sz w:val="20"/>
                <w:szCs w:val="20"/>
              </w:rPr>
              <w:t>2</w:t>
            </w:r>
            <w:r w:rsidR="009B08FF">
              <w:rPr>
                <w:rFonts w:ascii="Arial" w:eastAsia="Calibri" w:hAnsi="Arial" w:cs="Arial"/>
                <w:sz w:val="20"/>
                <w:szCs w:val="20"/>
              </w:rPr>
              <w:t>3</w:t>
            </w:r>
            <w:r w:rsidRPr="007146F4">
              <w:rPr>
                <w:rFonts w:ascii="Arial" w:eastAsia="Calibri" w:hAnsi="Arial" w:cs="Arial"/>
                <w:sz w:val="20"/>
                <w:szCs w:val="20"/>
              </w:rPr>
              <w:t xml:space="preserve"> years</w:t>
            </w:r>
          </w:p>
        </w:tc>
      </w:tr>
      <w:tr w:rsidR="003B5047" w:rsidRPr="007146F4" w14:paraId="419DC4FF" w14:textId="77777777" w:rsidTr="001D5BD1">
        <w:trPr>
          <w:trHeight w:val="313"/>
        </w:trPr>
        <w:tc>
          <w:tcPr>
            <w:tcW w:w="0" w:type="auto"/>
            <w:hideMark/>
          </w:tcPr>
          <w:p w14:paraId="30B6E7AB" w14:textId="77777777" w:rsidR="003B5047" w:rsidRPr="0059707C" w:rsidRDefault="003B5047" w:rsidP="001D5BD1">
            <w:pPr>
              <w:spacing w:after="160" w:line="480" w:lineRule="auto"/>
              <w:rPr>
                <w:rFonts w:ascii="Arial" w:eastAsia="Calibri" w:hAnsi="Arial" w:cs="Arial"/>
                <w:sz w:val="20"/>
                <w:szCs w:val="20"/>
              </w:rPr>
            </w:pPr>
            <w:r w:rsidRPr="0059707C">
              <w:rPr>
                <w:rFonts w:ascii="Arial" w:eastAsia="Calibri" w:hAnsi="Arial" w:cs="Arial"/>
                <w:sz w:val="20"/>
                <w:szCs w:val="20"/>
              </w:rPr>
              <w:t>Fu Liong Hiew</w:t>
            </w:r>
          </w:p>
        </w:tc>
        <w:tc>
          <w:tcPr>
            <w:tcW w:w="0" w:type="auto"/>
            <w:hideMark/>
          </w:tcPr>
          <w:p w14:paraId="73E255D2" w14:textId="77777777" w:rsidR="003B5047" w:rsidRPr="0059707C" w:rsidRDefault="003B5047" w:rsidP="001D5BD1">
            <w:pPr>
              <w:spacing w:after="160" w:line="480" w:lineRule="auto"/>
              <w:rPr>
                <w:rFonts w:ascii="Arial" w:eastAsia="Calibri" w:hAnsi="Arial" w:cs="Arial"/>
                <w:sz w:val="20"/>
                <w:szCs w:val="20"/>
              </w:rPr>
            </w:pPr>
            <w:r w:rsidRPr="0059707C">
              <w:rPr>
                <w:rFonts w:ascii="Arial" w:eastAsia="Calibri" w:hAnsi="Arial" w:cs="Arial"/>
                <w:sz w:val="20"/>
                <w:szCs w:val="20"/>
              </w:rPr>
              <w:t>Neurology</w:t>
            </w:r>
          </w:p>
        </w:tc>
        <w:tc>
          <w:tcPr>
            <w:tcW w:w="0" w:type="auto"/>
            <w:hideMark/>
          </w:tcPr>
          <w:p w14:paraId="4D035D2A" w14:textId="3BAEC8CC" w:rsidR="003B5047" w:rsidRPr="0059707C" w:rsidRDefault="003B5047" w:rsidP="001D5BD1">
            <w:pPr>
              <w:spacing w:after="160" w:line="480" w:lineRule="auto"/>
              <w:rPr>
                <w:rFonts w:ascii="Arial" w:eastAsia="Calibri" w:hAnsi="Arial" w:cs="Arial"/>
                <w:sz w:val="20"/>
                <w:szCs w:val="20"/>
              </w:rPr>
            </w:pPr>
            <w:r w:rsidRPr="0059707C">
              <w:rPr>
                <w:rFonts w:ascii="Arial" w:eastAsia="Calibri" w:hAnsi="Arial" w:cs="Arial"/>
                <w:sz w:val="20"/>
                <w:szCs w:val="20"/>
              </w:rPr>
              <w:t>MBBS</w:t>
            </w:r>
            <w:r w:rsidR="0059707C" w:rsidRPr="0059707C">
              <w:rPr>
                <w:rFonts w:ascii="Arial" w:eastAsia="Calibri" w:hAnsi="Arial" w:cs="Arial"/>
                <w:sz w:val="20"/>
                <w:szCs w:val="20"/>
              </w:rPr>
              <w:t xml:space="preserve"> </w:t>
            </w:r>
            <w:r w:rsidRPr="0059707C">
              <w:rPr>
                <w:rFonts w:ascii="Arial" w:eastAsia="Calibri" w:hAnsi="Arial" w:cs="Arial"/>
                <w:sz w:val="20"/>
                <w:szCs w:val="20"/>
              </w:rPr>
              <w:t xml:space="preserve">(IMU) </w:t>
            </w:r>
            <w:r w:rsidRPr="0059707C">
              <w:rPr>
                <w:rFonts w:ascii="Arial" w:eastAsia="Calibri" w:hAnsi="Arial" w:cs="Arial"/>
                <w:sz w:val="20"/>
                <w:szCs w:val="20"/>
              </w:rPr>
              <w:br/>
            </w:r>
            <w:proofErr w:type="spellStart"/>
            <w:r w:rsidRPr="0059707C">
              <w:rPr>
                <w:rFonts w:ascii="Arial" w:eastAsia="Calibri" w:hAnsi="Arial" w:cs="Arial"/>
                <w:sz w:val="20"/>
                <w:szCs w:val="20"/>
              </w:rPr>
              <w:t>MMed</w:t>
            </w:r>
            <w:proofErr w:type="spellEnd"/>
            <w:r w:rsidR="0059707C" w:rsidRPr="0059707C">
              <w:rPr>
                <w:rFonts w:ascii="Arial" w:eastAsia="Calibri" w:hAnsi="Arial" w:cs="Arial"/>
                <w:sz w:val="20"/>
                <w:szCs w:val="20"/>
              </w:rPr>
              <w:t xml:space="preserve"> </w:t>
            </w:r>
            <w:r w:rsidRPr="0059707C">
              <w:rPr>
                <w:rFonts w:ascii="Arial" w:eastAsia="Calibri" w:hAnsi="Arial" w:cs="Arial"/>
                <w:sz w:val="20"/>
                <w:szCs w:val="20"/>
              </w:rPr>
              <w:t>(</w:t>
            </w:r>
            <w:proofErr w:type="spellStart"/>
            <w:r w:rsidRPr="0059707C">
              <w:rPr>
                <w:rFonts w:ascii="Arial" w:eastAsia="Calibri" w:hAnsi="Arial" w:cs="Arial"/>
                <w:sz w:val="20"/>
                <w:szCs w:val="20"/>
              </w:rPr>
              <w:t>S’Pore</w:t>
            </w:r>
            <w:proofErr w:type="spellEnd"/>
            <w:r w:rsidRPr="0059707C">
              <w:rPr>
                <w:rFonts w:ascii="Arial" w:eastAsia="Calibri" w:hAnsi="Arial" w:cs="Arial"/>
                <w:sz w:val="20"/>
                <w:szCs w:val="20"/>
              </w:rPr>
              <w:t xml:space="preserve">) </w:t>
            </w:r>
            <w:r w:rsidRPr="0059707C">
              <w:rPr>
                <w:rFonts w:ascii="Arial" w:eastAsia="Calibri" w:hAnsi="Arial" w:cs="Arial"/>
                <w:sz w:val="20"/>
                <w:szCs w:val="20"/>
              </w:rPr>
              <w:br/>
              <w:t>MRCP</w:t>
            </w:r>
            <w:r w:rsidR="0059707C" w:rsidRPr="0059707C">
              <w:rPr>
                <w:rFonts w:ascii="Arial" w:eastAsia="Calibri" w:hAnsi="Arial" w:cs="Arial"/>
                <w:sz w:val="20"/>
                <w:szCs w:val="20"/>
              </w:rPr>
              <w:t xml:space="preserve"> </w:t>
            </w:r>
            <w:r w:rsidRPr="0059707C">
              <w:rPr>
                <w:rFonts w:ascii="Arial" w:eastAsia="Calibri" w:hAnsi="Arial" w:cs="Arial"/>
                <w:sz w:val="20"/>
                <w:szCs w:val="20"/>
              </w:rPr>
              <w:t>(UK)</w:t>
            </w:r>
          </w:p>
        </w:tc>
        <w:tc>
          <w:tcPr>
            <w:tcW w:w="0" w:type="auto"/>
            <w:hideMark/>
          </w:tcPr>
          <w:p w14:paraId="1519E21C" w14:textId="77777777" w:rsidR="003B5047" w:rsidRPr="0059707C" w:rsidRDefault="003B5047" w:rsidP="001D5BD1">
            <w:pPr>
              <w:spacing w:after="160" w:line="480" w:lineRule="auto"/>
              <w:rPr>
                <w:rFonts w:ascii="Arial" w:eastAsia="Calibri" w:hAnsi="Arial" w:cs="Arial"/>
                <w:sz w:val="20"/>
                <w:szCs w:val="20"/>
              </w:rPr>
            </w:pPr>
            <w:r w:rsidRPr="0059707C">
              <w:rPr>
                <w:rFonts w:ascii="Arial" w:eastAsia="Calibri" w:hAnsi="Arial" w:cs="Arial"/>
                <w:sz w:val="20"/>
                <w:szCs w:val="20"/>
              </w:rPr>
              <w:t>Sunway Medical Centre</w:t>
            </w:r>
          </w:p>
        </w:tc>
        <w:tc>
          <w:tcPr>
            <w:tcW w:w="0" w:type="auto"/>
            <w:hideMark/>
          </w:tcPr>
          <w:p w14:paraId="1D041B73" w14:textId="695DD6E2" w:rsidR="003B5047" w:rsidRPr="0059707C" w:rsidRDefault="003B5047" w:rsidP="0052341D">
            <w:pPr>
              <w:spacing w:after="160" w:line="480" w:lineRule="auto"/>
              <w:jc w:val="center"/>
              <w:rPr>
                <w:rFonts w:ascii="Arial" w:eastAsia="Calibri" w:hAnsi="Arial" w:cs="Arial"/>
                <w:sz w:val="20"/>
                <w:szCs w:val="20"/>
              </w:rPr>
            </w:pPr>
            <w:r w:rsidRPr="0059707C">
              <w:rPr>
                <w:rFonts w:ascii="Arial" w:eastAsia="Calibri" w:hAnsi="Arial" w:cs="Arial"/>
                <w:sz w:val="20"/>
                <w:szCs w:val="20"/>
              </w:rPr>
              <w:t>18 years</w:t>
            </w:r>
          </w:p>
        </w:tc>
      </w:tr>
      <w:tr w:rsidR="00974EE4" w:rsidRPr="007146F4" w14:paraId="27DFFA7F" w14:textId="77777777" w:rsidTr="00974EE4">
        <w:trPr>
          <w:trHeight w:val="313"/>
        </w:trPr>
        <w:tc>
          <w:tcPr>
            <w:tcW w:w="0" w:type="auto"/>
            <w:vAlign w:val="center"/>
            <w:hideMark/>
          </w:tcPr>
          <w:p w14:paraId="5C9B49A5" w14:textId="55DEA244" w:rsidR="00974EE4" w:rsidRPr="007146F4" w:rsidRDefault="00974EE4" w:rsidP="00974EE4">
            <w:pPr>
              <w:spacing w:after="160" w:line="480" w:lineRule="auto"/>
              <w:rPr>
                <w:rFonts w:ascii="Arial" w:eastAsia="Calibri" w:hAnsi="Arial" w:cs="Arial"/>
                <w:sz w:val="20"/>
                <w:szCs w:val="20"/>
              </w:rPr>
            </w:pPr>
            <w:proofErr w:type="spellStart"/>
            <w:r w:rsidRPr="007146F4">
              <w:rPr>
                <w:rFonts w:ascii="Arial" w:eastAsia="Calibri" w:hAnsi="Arial" w:cs="Arial"/>
                <w:sz w:val="20"/>
                <w:szCs w:val="20"/>
              </w:rPr>
              <w:t>Kongkiat</w:t>
            </w:r>
            <w:proofErr w:type="spellEnd"/>
            <w:r w:rsidRPr="007146F4">
              <w:rPr>
                <w:rFonts w:ascii="Arial" w:eastAsia="Calibri" w:hAnsi="Arial" w:cs="Arial"/>
                <w:sz w:val="20"/>
                <w:szCs w:val="20"/>
              </w:rPr>
              <w:t xml:space="preserve"> </w:t>
            </w:r>
            <w:proofErr w:type="spellStart"/>
            <w:r w:rsidRPr="007146F4">
              <w:rPr>
                <w:rFonts w:ascii="Arial" w:eastAsia="Calibri" w:hAnsi="Arial" w:cs="Arial"/>
                <w:sz w:val="20"/>
                <w:szCs w:val="20"/>
              </w:rPr>
              <w:t>Kulkantrakorn</w:t>
            </w:r>
            <w:proofErr w:type="spellEnd"/>
          </w:p>
        </w:tc>
        <w:tc>
          <w:tcPr>
            <w:tcW w:w="0" w:type="auto"/>
            <w:vAlign w:val="center"/>
            <w:hideMark/>
          </w:tcPr>
          <w:p w14:paraId="4C652511" w14:textId="442112BF" w:rsidR="00974EE4" w:rsidRPr="007146F4" w:rsidRDefault="00974EE4" w:rsidP="00974EE4">
            <w:pPr>
              <w:spacing w:after="160" w:line="480" w:lineRule="auto"/>
              <w:rPr>
                <w:rFonts w:ascii="Arial" w:eastAsia="Calibri" w:hAnsi="Arial" w:cs="Arial"/>
                <w:sz w:val="20"/>
                <w:szCs w:val="20"/>
              </w:rPr>
            </w:pPr>
            <w:r w:rsidRPr="00FB1C1A">
              <w:rPr>
                <w:rFonts w:ascii="Arial" w:eastAsia="Calibri" w:hAnsi="Arial" w:cs="Arial"/>
                <w:sz w:val="20"/>
                <w:szCs w:val="20"/>
              </w:rPr>
              <w:t>Neurology </w:t>
            </w:r>
          </w:p>
        </w:tc>
        <w:tc>
          <w:tcPr>
            <w:tcW w:w="0" w:type="auto"/>
            <w:vAlign w:val="center"/>
            <w:hideMark/>
          </w:tcPr>
          <w:p w14:paraId="5F4BED1E" w14:textId="1863A4D5" w:rsidR="00974EE4" w:rsidRPr="007146F4" w:rsidRDefault="00974EE4" w:rsidP="00974EE4">
            <w:pPr>
              <w:spacing w:after="160" w:line="480" w:lineRule="auto"/>
              <w:rPr>
                <w:rFonts w:ascii="Arial" w:eastAsia="Calibri" w:hAnsi="Arial" w:cs="Arial"/>
                <w:sz w:val="20"/>
                <w:szCs w:val="20"/>
              </w:rPr>
            </w:pPr>
            <w:r w:rsidRPr="007146F4">
              <w:rPr>
                <w:rFonts w:ascii="Arial" w:eastAsia="Calibri" w:hAnsi="Arial" w:cs="Arial"/>
                <w:sz w:val="20"/>
                <w:szCs w:val="20"/>
              </w:rPr>
              <w:t>M</w:t>
            </w:r>
            <w:r w:rsidR="00FB1C1A">
              <w:rPr>
                <w:rFonts w:ascii="Arial" w:eastAsia="Calibri" w:hAnsi="Arial" w:cs="Arial"/>
                <w:sz w:val="20"/>
                <w:szCs w:val="20"/>
              </w:rPr>
              <w:t>.</w:t>
            </w:r>
            <w:r w:rsidRPr="007146F4">
              <w:rPr>
                <w:rFonts w:ascii="Arial" w:eastAsia="Calibri" w:hAnsi="Arial" w:cs="Arial"/>
                <w:sz w:val="20"/>
                <w:szCs w:val="20"/>
              </w:rPr>
              <w:t>D</w:t>
            </w:r>
            <w:r w:rsidR="00FB1C1A">
              <w:rPr>
                <w:rFonts w:ascii="Arial" w:eastAsia="Calibri" w:hAnsi="Arial" w:cs="Arial"/>
                <w:sz w:val="20"/>
                <w:szCs w:val="20"/>
              </w:rPr>
              <w:t>.</w:t>
            </w:r>
            <w:r>
              <w:rPr>
                <w:rFonts w:ascii="Arial" w:eastAsia="Calibri" w:hAnsi="Arial" w:cs="Arial"/>
                <w:sz w:val="20"/>
                <w:szCs w:val="20"/>
              </w:rPr>
              <w:t xml:space="preserve"> </w:t>
            </w:r>
            <w:r w:rsidRPr="007146F4">
              <w:rPr>
                <w:rFonts w:ascii="Arial" w:eastAsia="Calibri" w:hAnsi="Arial" w:cs="Arial"/>
                <w:sz w:val="20"/>
                <w:szCs w:val="20"/>
              </w:rPr>
              <w:t>(Medicine)</w:t>
            </w:r>
          </w:p>
        </w:tc>
        <w:tc>
          <w:tcPr>
            <w:tcW w:w="0" w:type="auto"/>
            <w:vAlign w:val="center"/>
            <w:hideMark/>
          </w:tcPr>
          <w:p w14:paraId="7ED47FF8" w14:textId="7B0152B6" w:rsidR="00974EE4" w:rsidRPr="007146F4" w:rsidRDefault="00974EE4" w:rsidP="00974EE4">
            <w:pPr>
              <w:spacing w:after="160" w:line="480" w:lineRule="auto"/>
              <w:rPr>
                <w:rFonts w:ascii="Arial" w:eastAsia="Calibri" w:hAnsi="Arial" w:cs="Arial"/>
                <w:sz w:val="20"/>
                <w:szCs w:val="20"/>
              </w:rPr>
            </w:pPr>
            <w:r w:rsidRPr="007146F4">
              <w:rPr>
                <w:rFonts w:ascii="Arial" w:eastAsia="Calibri" w:hAnsi="Arial" w:cs="Arial"/>
                <w:sz w:val="20"/>
                <w:szCs w:val="20"/>
              </w:rPr>
              <w:t>Thammasat University</w:t>
            </w:r>
          </w:p>
        </w:tc>
        <w:tc>
          <w:tcPr>
            <w:tcW w:w="0" w:type="auto"/>
            <w:vAlign w:val="center"/>
            <w:hideMark/>
          </w:tcPr>
          <w:p w14:paraId="393E58C3" w14:textId="50099B4B" w:rsidR="00974EE4" w:rsidRPr="00FB1C1A" w:rsidRDefault="00974EE4" w:rsidP="0052341D">
            <w:pPr>
              <w:spacing w:after="160" w:line="480" w:lineRule="auto"/>
              <w:jc w:val="center"/>
              <w:rPr>
                <w:rFonts w:ascii="Arial" w:eastAsia="Calibri" w:hAnsi="Arial" w:cs="Arial"/>
                <w:sz w:val="20"/>
                <w:szCs w:val="20"/>
              </w:rPr>
            </w:pPr>
            <w:r w:rsidRPr="00FB1C1A">
              <w:rPr>
                <w:rFonts w:ascii="Arial" w:eastAsia="Calibri" w:hAnsi="Arial" w:cs="Arial"/>
                <w:sz w:val="20"/>
                <w:szCs w:val="20"/>
              </w:rPr>
              <w:t>32 years</w:t>
            </w:r>
          </w:p>
        </w:tc>
      </w:tr>
    </w:tbl>
    <w:p w14:paraId="4C72679B" w14:textId="77777777" w:rsidR="003B5047" w:rsidRDefault="003B5047" w:rsidP="00085475">
      <w:pPr>
        <w:spacing w:line="480" w:lineRule="auto"/>
        <w:rPr>
          <w:rFonts w:ascii="Arial" w:eastAsia="Calibri" w:hAnsi="Arial" w:cs="Arial"/>
          <w:b/>
          <w:bCs/>
          <w:kern w:val="2"/>
          <w:sz w:val="20"/>
          <w:szCs w:val="20"/>
          <w:lang w:val="en-SG" w:eastAsia="en-US"/>
          <w14:ligatures w14:val="standardContextual"/>
        </w:rPr>
      </w:pPr>
    </w:p>
    <w:p w14:paraId="2333752D" w14:textId="278C37CB" w:rsidR="00085475" w:rsidRPr="00085475" w:rsidRDefault="00F34B23" w:rsidP="00085475">
      <w:pPr>
        <w:spacing w:line="480" w:lineRule="auto"/>
        <w:rPr>
          <w:rFonts w:ascii="Arial" w:eastAsia="Calibri" w:hAnsi="Arial" w:cs="Arial"/>
          <w:kern w:val="2"/>
          <w:sz w:val="20"/>
          <w:szCs w:val="20"/>
          <w:lang w:val="en-SG" w:eastAsia="en-US"/>
          <w14:ligatures w14:val="standardContextual"/>
        </w:rPr>
      </w:pPr>
      <w:r>
        <w:rPr>
          <w:rFonts w:ascii="Arial" w:eastAsia="Calibri" w:hAnsi="Arial" w:cs="Arial"/>
          <w:b/>
          <w:bCs/>
          <w:kern w:val="2"/>
          <w:sz w:val="20"/>
          <w:szCs w:val="20"/>
          <w:lang w:val="en-SG" w:eastAsia="en-US"/>
          <w14:ligatures w14:val="standardContextual"/>
        </w:rPr>
        <w:t xml:space="preserve">Table </w:t>
      </w:r>
      <w:r w:rsidR="00085475" w:rsidRPr="00085475">
        <w:rPr>
          <w:rFonts w:ascii="Arial" w:eastAsia="Calibri" w:hAnsi="Arial" w:cs="Arial"/>
          <w:b/>
          <w:bCs/>
          <w:kern w:val="2"/>
          <w:sz w:val="20"/>
          <w:szCs w:val="20"/>
          <w:lang w:val="en-SG" w:eastAsia="en-US"/>
          <w14:ligatures w14:val="standardContextual"/>
        </w:rPr>
        <w:t>S</w:t>
      </w:r>
      <w:r w:rsidR="003B5047">
        <w:rPr>
          <w:rFonts w:ascii="Arial" w:eastAsia="Calibri" w:hAnsi="Arial" w:cs="Arial"/>
          <w:b/>
          <w:bCs/>
          <w:kern w:val="2"/>
          <w:sz w:val="20"/>
          <w:szCs w:val="20"/>
          <w:lang w:val="en-SG" w:eastAsia="en-US"/>
          <w14:ligatures w14:val="standardContextual"/>
        </w:rPr>
        <w:t>2</w:t>
      </w:r>
      <w:r w:rsidR="00085475" w:rsidRPr="00085475">
        <w:rPr>
          <w:rFonts w:ascii="Arial" w:eastAsia="Calibri" w:hAnsi="Arial" w:cs="Arial"/>
          <w:b/>
          <w:kern w:val="2"/>
          <w:sz w:val="20"/>
          <w:szCs w:val="20"/>
          <w:lang w:val="en-SG" w:eastAsia="en-US"/>
          <w14:ligatures w14:val="standardContextual"/>
        </w:rPr>
        <w:t xml:space="preserve"> </w:t>
      </w:r>
      <w:r w:rsidR="00085475" w:rsidRPr="00085475">
        <w:rPr>
          <w:rFonts w:ascii="Arial" w:eastAsia="Calibri" w:hAnsi="Arial" w:cs="Arial"/>
          <w:kern w:val="2"/>
          <w:sz w:val="20"/>
          <w:szCs w:val="20"/>
          <w:lang w:val="en-SG" w:eastAsia="en-US"/>
          <w14:ligatures w14:val="standardContextual"/>
        </w:rPr>
        <w:t>Search strategy</w:t>
      </w:r>
    </w:p>
    <w:tbl>
      <w:tblPr>
        <w:tblW w:w="0" w:type="auto"/>
        <w:tblLook w:val="04A0" w:firstRow="1" w:lastRow="0" w:firstColumn="1" w:lastColumn="0" w:noHBand="0" w:noVBand="1"/>
      </w:tblPr>
      <w:tblGrid>
        <w:gridCol w:w="1854"/>
        <w:gridCol w:w="1981"/>
        <w:gridCol w:w="1597"/>
        <w:gridCol w:w="3696"/>
        <w:gridCol w:w="222"/>
      </w:tblGrid>
      <w:tr w:rsidR="00085475" w:rsidRPr="00085475" w14:paraId="40C19457" w14:textId="77777777" w:rsidTr="001D5BD1">
        <w:trPr>
          <w:gridAfter w:val="1"/>
          <w:trHeight w:val="501"/>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316A5" w14:textId="77777777" w:rsidR="00085475" w:rsidRPr="00085475" w:rsidRDefault="00085475" w:rsidP="00085475">
            <w:pPr>
              <w:spacing w:after="0" w:line="360" w:lineRule="auto"/>
              <w:jc w:val="center"/>
              <w:rPr>
                <w:rFonts w:ascii="Arial" w:eastAsia="Times New Roman" w:hAnsi="Arial" w:cs="Arial"/>
                <w:b/>
                <w:color w:val="000000"/>
                <w:sz w:val="20"/>
                <w:szCs w:val="20"/>
                <w:lang w:val="en-SG" w:eastAsia="en-SG"/>
              </w:rPr>
            </w:pPr>
            <w:r w:rsidRPr="00085475">
              <w:rPr>
                <w:rFonts w:ascii="Arial" w:eastAsia="Times New Roman" w:hAnsi="Arial" w:cs="Arial"/>
                <w:b/>
                <w:color w:val="000000"/>
                <w:sz w:val="20"/>
                <w:szCs w:val="20"/>
                <w:lang w:val="en-SG" w:eastAsia="en-SG"/>
              </w:rPr>
              <w:t>Topic</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85C82" w14:textId="77777777" w:rsidR="00085475" w:rsidRPr="00085475" w:rsidRDefault="00085475" w:rsidP="00085475">
            <w:pPr>
              <w:spacing w:after="0" w:line="360" w:lineRule="auto"/>
              <w:jc w:val="center"/>
              <w:rPr>
                <w:rFonts w:ascii="Arial" w:eastAsia="Times New Roman" w:hAnsi="Arial" w:cs="Arial"/>
                <w:b/>
                <w:color w:val="000000"/>
                <w:sz w:val="20"/>
                <w:szCs w:val="20"/>
                <w:lang w:val="en-SG" w:eastAsia="en-SG"/>
              </w:rPr>
            </w:pPr>
            <w:r w:rsidRPr="00085475">
              <w:rPr>
                <w:rFonts w:ascii="Arial" w:eastAsia="Times New Roman" w:hAnsi="Arial" w:cs="Arial"/>
                <w:b/>
                <w:color w:val="000000"/>
                <w:sz w:val="20"/>
                <w:szCs w:val="20"/>
                <w:lang w:val="en-SG" w:eastAsia="en-SG"/>
              </w:rPr>
              <w:t>Subtopic</w:t>
            </w:r>
          </w:p>
        </w:tc>
        <w:tc>
          <w:tcPr>
            <w:tcW w:w="15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1B348" w14:textId="77777777" w:rsidR="00085475" w:rsidRPr="00085475" w:rsidRDefault="00085475" w:rsidP="00085475">
            <w:pPr>
              <w:spacing w:after="0" w:line="360" w:lineRule="auto"/>
              <w:jc w:val="center"/>
              <w:rPr>
                <w:rFonts w:ascii="Arial" w:eastAsia="Times New Roman" w:hAnsi="Arial" w:cs="Arial"/>
                <w:b/>
                <w:color w:val="000000"/>
                <w:sz w:val="20"/>
                <w:szCs w:val="20"/>
                <w:lang w:val="en-SG" w:eastAsia="en-SG"/>
              </w:rPr>
            </w:pPr>
            <w:r w:rsidRPr="00085475">
              <w:rPr>
                <w:rFonts w:ascii="Arial" w:eastAsia="Times New Roman" w:hAnsi="Arial" w:cs="Arial"/>
                <w:b/>
                <w:color w:val="000000"/>
                <w:sz w:val="20"/>
                <w:szCs w:val="20"/>
                <w:lang w:val="en-SG" w:eastAsia="en-SG"/>
              </w:rPr>
              <w:t>Keyword cluster 1</w:t>
            </w:r>
          </w:p>
        </w:tc>
        <w:tc>
          <w:tcPr>
            <w:tcW w:w="36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792A4" w14:textId="77777777" w:rsidR="00085475" w:rsidRPr="00085475" w:rsidRDefault="00085475" w:rsidP="00085475">
            <w:pPr>
              <w:spacing w:after="0" w:line="360" w:lineRule="auto"/>
              <w:jc w:val="center"/>
              <w:rPr>
                <w:rFonts w:ascii="Arial" w:eastAsia="Times New Roman" w:hAnsi="Arial" w:cs="Arial"/>
                <w:b/>
                <w:color w:val="000000"/>
                <w:sz w:val="20"/>
                <w:szCs w:val="20"/>
                <w:lang w:val="en-SG" w:eastAsia="en-SG"/>
              </w:rPr>
            </w:pPr>
            <w:r w:rsidRPr="00085475">
              <w:rPr>
                <w:rFonts w:ascii="Arial" w:eastAsia="Times New Roman" w:hAnsi="Arial" w:cs="Arial"/>
                <w:b/>
                <w:color w:val="000000"/>
                <w:sz w:val="20"/>
                <w:szCs w:val="20"/>
                <w:lang w:val="en-SG" w:eastAsia="en-SG"/>
              </w:rPr>
              <w:t>Keyword cluster 2</w:t>
            </w:r>
          </w:p>
        </w:tc>
      </w:tr>
      <w:tr w:rsidR="00085475" w:rsidRPr="00085475" w14:paraId="4A4C0A1D" w14:textId="77777777" w:rsidTr="00C922AD">
        <w:trPr>
          <w:trHeight w:val="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64A3B2" w14:textId="77777777" w:rsidR="00085475" w:rsidRPr="00085475" w:rsidRDefault="00085475" w:rsidP="00085475">
            <w:pPr>
              <w:spacing w:after="0" w:line="360" w:lineRule="auto"/>
              <w:rPr>
                <w:rFonts w:ascii="Arial" w:eastAsia="Times New Roman" w:hAnsi="Arial" w:cs="Arial"/>
                <w:b/>
                <w:color w:val="000000"/>
                <w:sz w:val="20"/>
                <w:szCs w:val="20"/>
                <w:lang w:val="en-SG" w:eastAsia="en-S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E8D88D" w14:textId="77777777" w:rsidR="00085475" w:rsidRPr="00085475" w:rsidRDefault="00085475" w:rsidP="00085475">
            <w:pPr>
              <w:spacing w:after="0" w:line="360" w:lineRule="auto"/>
              <w:rPr>
                <w:rFonts w:ascii="Arial" w:eastAsia="Times New Roman" w:hAnsi="Arial" w:cs="Arial"/>
                <w:b/>
                <w:color w:val="000000"/>
                <w:sz w:val="20"/>
                <w:szCs w:val="20"/>
                <w:lang w:val="en-SG" w:eastAsia="en-SG"/>
              </w:rPr>
            </w:pPr>
          </w:p>
        </w:tc>
        <w:tc>
          <w:tcPr>
            <w:tcW w:w="1597" w:type="dxa"/>
            <w:vMerge/>
            <w:tcBorders>
              <w:top w:val="single" w:sz="4" w:space="0" w:color="auto"/>
              <w:left w:val="single" w:sz="4" w:space="0" w:color="auto"/>
              <w:bottom w:val="single" w:sz="4" w:space="0" w:color="auto"/>
              <w:right w:val="single" w:sz="4" w:space="0" w:color="auto"/>
            </w:tcBorders>
            <w:vAlign w:val="center"/>
            <w:hideMark/>
          </w:tcPr>
          <w:p w14:paraId="17C880DA" w14:textId="77777777" w:rsidR="00085475" w:rsidRPr="00085475" w:rsidRDefault="00085475" w:rsidP="00085475">
            <w:pPr>
              <w:spacing w:after="0" w:line="360" w:lineRule="auto"/>
              <w:rPr>
                <w:rFonts w:ascii="Arial" w:eastAsia="Times New Roman" w:hAnsi="Arial" w:cs="Arial"/>
                <w:b/>
                <w:color w:val="000000"/>
                <w:sz w:val="20"/>
                <w:szCs w:val="20"/>
                <w:lang w:val="en-SG" w:eastAsia="en-SG"/>
              </w:rPr>
            </w:pPr>
          </w:p>
        </w:tc>
        <w:tc>
          <w:tcPr>
            <w:tcW w:w="3696" w:type="dxa"/>
            <w:vMerge/>
            <w:tcBorders>
              <w:top w:val="single" w:sz="4" w:space="0" w:color="auto"/>
              <w:left w:val="single" w:sz="4" w:space="0" w:color="auto"/>
              <w:bottom w:val="single" w:sz="4" w:space="0" w:color="auto"/>
              <w:right w:val="single" w:sz="4" w:space="0" w:color="auto"/>
            </w:tcBorders>
            <w:vAlign w:val="center"/>
            <w:hideMark/>
          </w:tcPr>
          <w:p w14:paraId="0203E6C4" w14:textId="77777777" w:rsidR="00085475" w:rsidRPr="00085475" w:rsidRDefault="00085475" w:rsidP="00085475">
            <w:pPr>
              <w:spacing w:after="0" w:line="360" w:lineRule="auto"/>
              <w:rPr>
                <w:rFonts w:ascii="Arial" w:eastAsia="Times New Roman" w:hAnsi="Arial" w:cs="Arial"/>
                <w:b/>
                <w:color w:val="000000"/>
                <w:sz w:val="20"/>
                <w:szCs w:val="20"/>
                <w:lang w:val="en-SG" w:eastAsia="en-SG"/>
              </w:rPr>
            </w:pPr>
          </w:p>
        </w:tc>
        <w:tc>
          <w:tcPr>
            <w:tcW w:w="0" w:type="auto"/>
            <w:tcBorders>
              <w:top w:val="nil"/>
              <w:left w:val="nil"/>
              <w:bottom w:val="nil"/>
              <w:right w:val="nil"/>
            </w:tcBorders>
            <w:shd w:val="clear" w:color="auto" w:fill="auto"/>
            <w:noWrap/>
            <w:vAlign w:val="bottom"/>
            <w:hideMark/>
          </w:tcPr>
          <w:p w14:paraId="6AB8B030" w14:textId="77777777" w:rsidR="00085475" w:rsidRPr="00085475" w:rsidRDefault="00085475" w:rsidP="00085475">
            <w:pPr>
              <w:spacing w:after="0" w:line="480" w:lineRule="auto"/>
              <w:jc w:val="center"/>
              <w:rPr>
                <w:rFonts w:ascii="Arial" w:eastAsia="Times New Roman" w:hAnsi="Arial" w:cs="Arial"/>
                <w:b/>
                <w:color w:val="000000"/>
                <w:sz w:val="20"/>
                <w:szCs w:val="20"/>
                <w:lang w:val="en-SG" w:eastAsia="en-SG"/>
              </w:rPr>
            </w:pPr>
          </w:p>
        </w:tc>
      </w:tr>
      <w:tr w:rsidR="00085475" w:rsidRPr="00085475" w14:paraId="3C4086EE" w14:textId="77777777" w:rsidTr="001D5BD1">
        <w:trPr>
          <w:trHeight w:val="7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2CE1DC"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lastRenderedPageBreak/>
              <w:t>Epidemiology</w:t>
            </w:r>
          </w:p>
        </w:tc>
        <w:tc>
          <w:tcPr>
            <w:tcW w:w="0" w:type="auto"/>
            <w:tcBorders>
              <w:top w:val="nil"/>
              <w:left w:val="nil"/>
              <w:bottom w:val="single" w:sz="4" w:space="0" w:color="auto"/>
              <w:right w:val="single" w:sz="4" w:space="0" w:color="auto"/>
            </w:tcBorders>
            <w:shd w:val="clear" w:color="auto" w:fill="auto"/>
            <w:vAlign w:val="center"/>
            <w:hideMark/>
          </w:tcPr>
          <w:p w14:paraId="6EE1A144"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Burden of disease (prevalence, incidence, morbidity)</w:t>
            </w:r>
          </w:p>
        </w:tc>
        <w:tc>
          <w:tcPr>
            <w:tcW w:w="1597" w:type="dxa"/>
            <w:tcBorders>
              <w:top w:val="nil"/>
              <w:left w:val="nil"/>
              <w:bottom w:val="single" w:sz="4" w:space="0" w:color="auto"/>
              <w:right w:val="single" w:sz="4" w:space="0" w:color="auto"/>
            </w:tcBorders>
            <w:shd w:val="clear" w:color="auto" w:fill="auto"/>
            <w:vAlign w:val="center"/>
            <w:hideMark/>
          </w:tcPr>
          <w:p w14:paraId="60F4A091"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"Vitamin B6 OR Pyridoxine" AND "Deficiency"</w:t>
            </w:r>
          </w:p>
        </w:tc>
        <w:tc>
          <w:tcPr>
            <w:tcW w:w="3696" w:type="dxa"/>
            <w:tcBorders>
              <w:top w:val="nil"/>
              <w:left w:val="nil"/>
              <w:bottom w:val="single" w:sz="4" w:space="0" w:color="auto"/>
              <w:right w:val="single" w:sz="4" w:space="0" w:color="auto"/>
            </w:tcBorders>
            <w:shd w:val="clear" w:color="auto" w:fill="auto"/>
            <w:vAlign w:val="center"/>
            <w:hideMark/>
          </w:tcPr>
          <w:p w14:paraId="23C0C60D"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"Prevalence OR incidence OR morbidity OR burden OR mortality OR cost OR economic cost"</w:t>
            </w:r>
          </w:p>
        </w:tc>
        <w:tc>
          <w:tcPr>
            <w:tcW w:w="0" w:type="auto"/>
            <w:vAlign w:val="center"/>
            <w:hideMark/>
          </w:tcPr>
          <w:p w14:paraId="357A9F5D" w14:textId="77777777" w:rsidR="00085475" w:rsidRPr="00085475" w:rsidRDefault="00085475" w:rsidP="00085475">
            <w:pPr>
              <w:spacing w:after="0" w:line="480" w:lineRule="auto"/>
              <w:rPr>
                <w:rFonts w:ascii="Arial" w:eastAsia="Times New Roman" w:hAnsi="Arial" w:cs="Arial"/>
                <w:sz w:val="20"/>
                <w:szCs w:val="20"/>
                <w:lang w:val="en-SG" w:eastAsia="en-SG"/>
              </w:rPr>
            </w:pPr>
          </w:p>
        </w:tc>
      </w:tr>
      <w:tr w:rsidR="00085475" w:rsidRPr="00085475" w14:paraId="0559B823" w14:textId="77777777" w:rsidTr="001D5BD1">
        <w:trPr>
          <w:trHeight w:val="7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28531A1"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Vitamin B6 clinical data</w:t>
            </w:r>
          </w:p>
        </w:tc>
        <w:tc>
          <w:tcPr>
            <w:tcW w:w="0" w:type="auto"/>
            <w:tcBorders>
              <w:top w:val="nil"/>
              <w:left w:val="nil"/>
              <w:bottom w:val="single" w:sz="4" w:space="0" w:color="auto"/>
              <w:right w:val="single" w:sz="4" w:space="0" w:color="auto"/>
            </w:tcBorders>
            <w:shd w:val="clear" w:color="auto" w:fill="auto"/>
            <w:vAlign w:val="center"/>
            <w:hideMark/>
          </w:tcPr>
          <w:p w14:paraId="1ACDA6D0"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Evidence and efficacy</w:t>
            </w:r>
          </w:p>
        </w:tc>
        <w:tc>
          <w:tcPr>
            <w:tcW w:w="1597" w:type="dxa"/>
            <w:vMerge w:val="restart"/>
            <w:tcBorders>
              <w:top w:val="nil"/>
              <w:left w:val="single" w:sz="4" w:space="0" w:color="auto"/>
              <w:bottom w:val="single" w:sz="4" w:space="0" w:color="auto"/>
              <w:right w:val="single" w:sz="4" w:space="0" w:color="auto"/>
            </w:tcBorders>
            <w:shd w:val="clear" w:color="auto" w:fill="auto"/>
            <w:vAlign w:val="center"/>
            <w:hideMark/>
          </w:tcPr>
          <w:p w14:paraId="5E852B50"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"Vitamin B6" OR "Pyridoxine"</w:t>
            </w:r>
          </w:p>
        </w:tc>
        <w:tc>
          <w:tcPr>
            <w:tcW w:w="3696" w:type="dxa"/>
            <w:tcBorders>
              <w:top w:val="nil"/>
              <w:left w:val="nil"/>
              <w:bottom w:val="single" w:sz="4" w:space="0" w:color="auto"/>
              <w:right w:val="single" w:sz="4" w:space="0" w:color="auto"/>
            </w:tcBorders>
            <w:shd w:val="clear" w:color="auto" w:fill="auto"/>
            <w:vAlign w:val="center"/>
            <w:hideMark/>
          </w:tcPr>
          <w:p w14:paraId="35DB8D48"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 xml:space="preserve">"Efficacy" OR "Effectiveness" Or "Clinical evidence" </w:t>
            </w:r>
          </w:p>
        </w:tc>
        <w:tc>
          <w:tcPr>
            <w:tcW w:w="0" w:type="auto"/>
            <w:vAlign w:val="center"/>
            <w:hideMark/>
          </w:tcPr>
          <w:p w14:paraId="42C7C83E" w14:textId="77777777" w:rsidR="00085475" w:rsidRPr="00085475" w:rsidRDefault="00085475" w:rsidP="00085475">
            <w:pPr>
              <w:spacing w:after="0" w:line="480" w:lineRule="auto"/>
              <w:rPr>
                <w:rFonts w:ascii="Arial" w:eastAsia="Times New Roman" w:hAnsi="Arial" w:cs="Arial"/>
                <w:sz w:val="20"/>
                <w:szCs w:val="20"/>
                <w:lang w:val="en-SG" w:eastAsia="en-SG"/>
              </w:rPr>
            </w:pPr>
          </w:p>
        </w:tc>
      </w:tr>
      <w:tr w:rsidR="00085475" w:rsidRPr="00085475" w14:paraId="2011E3A0" w14:textId="77777777" w:rsidTr="001D5BD1">
        <w:trPr>
          <w:trHeight w:val="1050"/>
        </w:trPr>
        <w:tc>
          <w:tcPr>
            <w:tcW w:w="0" w:type="auto"/>
            <w:vMerge/>
            <w:tcBorders>
              <w:top w:val="nil"/>
              <w:left w:val="single" w:sz="4" w:space="0" w:color="auto"/>
              <w:bottom w:val="single" w:sz="4" w:space="0" w:color="auto"/>
              <w:right w:val="single" w:sz="4" w:space="0" w:color="auto"/>
            </w:tcBorders>
            <w:vAlign w:val="center"/>
            <w:hideMark/>
          </w:tcPr>
          <w:p w14:paraId="5DF9C060"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p>
        </w:tc>
        <w:tc>
          <w:tcPr>
            <w:tcW w:w="0" w:type="auto"/>
            <w:tcBorders>
              <w:top w:val="nil"/>
              <w:left w:val="nil"/>
              <w:bottom w:val="single" w:sz="4" w:space="0" w:color="auto"/>
              <w:right w:val="single" w:sz="4" w:space="0" w:color="auto"/>
            </w:tcBorders>
            <w:shd w:val="clear" w:color="auto" w:fill="auto"/>
            <w:vAlign w:val="center"/>
            <w:hideMark/>
          </w:tcPr>
          <w:p w14:paraId="5155FC6A"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 xml:space="preserve">Safety and adverse effects </w:t>
            </w:r>
          </w:p>
        </w:tc>
        <w:tc>
          <w:tcPr>
            <w:tcW w:w="1597" w:type="dxa"/>
            <w:vMerge/>
            <w:tcBorders>
              <w:top w:val="nil"/>
              <w:left w:val="single" w:sz="4" w:space="0" w:color="auto"/>
              <w:bottom w:val="single" w:sz="4" w:space="0" w:color="auto"/>
              <w:right w:val="single" w:sz="4" w:space="0" w:color="auto"/>
            </w:tcBorders>
            <w:vAlign w:val="center"/>
            <w:hideMark/>
          </w:tcPr>
          <w:p w14:paraId="6AC14AAB"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p>
        </w:tc>
        <w:tc>
          <w:tcPr>
            <w:tcW w:w="3696" w:type="dxa"/>
            <w:tcBorders>
              <w:top w:val="nil"/>
              <w:left w:val="nil"/>
              <w:bottom w:val="single" w:sz="4" w:space="0" w:color="auto"/>
              <w:right w:val="single" w:sz="4" w:space="0" w:color="auto"/>
            </w:tcBorders>
            <w:shd w:val="clear" w:color="auto" w:fill="auto"/>
            <w:vAlign w:val="center"/>
            <w:hideMark/>
          </w:tcPr>
          <w:p w14:paraId="145A6BFF"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"Adverse events" OR "Adverse effects" OR "Safety" OR "Pharmacovigilance" OR "post-marketing report" OR "Surveillance"</w:t>
            </w:r>
          </w:p>
        </w:tc>
        <w:tc>
          <w:tcPr>
            <w:tcW w:w="0" w:type="auto"/>
            <w:vAlign w:val="center"/>
            <w:hideMark/>
          </w:tcPr>
          <w:p w14:paraId="6BEDE25C" w14:textId="77777777" w:rsidR="00085475" w:rsidRPr="00085475" w:rsidRDefault="00085475" w:rsidP="00085475">
            <w:pPr>
              <w:spacing w:after="0" w:line="480" w:lineRule="auto"/>
              <w:rPr>
                <w:rFonts w:ascii="Arial" w:eastAsia="Times New Roman" w:hAnsi="Arial" w:cs="Arial"/>
                <w:sz w:val="20"/>
                <w:szCs w:val="20"/>
                <w:lang w:val="en-SG" w:eastAsia="en-SG"/>
              </w:rPr>
            </w:pPr>
          </w:p>
        </w:tc>
      </w:tr>
      <w:tr w:rsidR="00085475" w:rsidRPr="00085475" w14:paraId="610A85C6" w14:textId="77777777" w:rsidTr="001D5BD1">
        <w:trPr>
          <w:trHeight w:val="700"/>
        </w:trPr>
        <w:tc>
          <w:tcPr>
            <w:tcW w:w="0" w:type="auto"/>
            <w:vMerge/>
            <w:tcBorders>
              <w:top w:val="nil"/>
              <w:left w:val="single" w:sz="4" w:space="0" w:color="auto"/>
              <w:bottom w:val="single" w:sz="4" w:space="0" w:color="auto"/>
              <w:right w:val="single" w:sz="4" w:space="0" w:color="auto"/>
            </w:tcBorders>
            <w:vAlign w:val="center"/>
            <w:hideMark/>
          </w:tcPr>
          <w:p w14:paraId="695642DF"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p>
        </w:tc>
        <w:tc>
          <w:tcPr>
            <w:tcW w:w="0" w:type="auto"/>
            <w:tcBorders>
              <w:top w:val="nil"/>
              <w:left w:val="nil"/>
              <w:bottom w:val="single" w:sz="4" w:space="0" w:color="auto"/>
              <w:right w:val="single" w:sz="4" w:space="0" w:color="auto"/>
            </w:tcBorders>
            <w:shd w:val="clear" w:color="auto" w:fill="auto"/>
            <w:vAlign w:val="center"/>
            <w:hideMark/>
          </w:tcPr>
          <w:p w14:paraId="2D50455F"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Adverse effects mechanism</w:t>
            </w:r>
          </w:p>
        </w:tc>
        <w:tc>
          <w:tcPr>
            <w:tcW w:w="1597" w:type="dxa"/>
            <w:vMerge/>
            <w:tcBorders>
              <w:top w:val="nil"/>
              <w:left w:val="single" w:sz="4" w:space="0" w:color="auto"/>
              <w:bottom w:val="single" w:sz="4" w:space="0" w:color="auto"/>
              <w:right w:val="single" w:sz="4" w:space="0" w:color="auto"/>
            </w:tcBorders>
            <w:vAlign w:val="center"/>
            <w:hideMark/>
          </w:tcPr>
          <w:p w14:paraId="7B82179D"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p>
        </w:tc>
        <w:tc>
          <w:tcPr>
            <w:tcW w:w="3696" w:type="dxa"/>
            <w:tcBorders>
              <w:top w:val="nil"/>
              <w:left w:val="nil"/>
              <w:bottom w:val="single" w:sz="4" w:space="0" w:color="auto"/>
              <w:right w:val="single" w:sz="4" w:space="0" w:color="auto"/>
            </w:tcBorders>
            <w:shd w:val="clear" w:color="auto" w:fill="auto"/>
            <w:vAlign w:val="center"/>
            <w:hideMark/>
          </w:tcPr>
          <w:p w14:paraId="48D0D486"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("Adverse events" OR "Adverse effects") AND ("Mechanism of action" OR "MOA")</w:t>
            </w:r>
          </w:p>
        </w:tc>
        <w:tc>
          <w:tcPr>
            <w:tcW w:w="0" w:type="auto"/>
            <w:vAlign w:val="center"/>
            <w:hideMark/>
          </w:tcPr>
          <w:p w14:paraId="0E760781" w14:textId="77777777" w:rsidR="00085475" w:rsidRPr="00085475" w:rsidRDefault="00085475" w:rsidP="00085475">
            <w:pPr>
              <w:spacing w:after="0" w:line="480" w:lineRule="auto"/>
              <w:rPr>
                <w:rFonts w:ascii="Arial" w:eastAsia="Times New Roman" w:hAnsi="Arial" w:cs="Arial"/>
                <w:sz w:val="20"/>
                <w:szCs w:val="20"/>
                <w:lang w:val="en-SG" w:eastAsia="en-SG"/>
              </w:rPr>
            </w:pPr>
          </w:p>
        </w:tc>
      </w:tr>
      <w:tr w:rsidR="00085475" w:rsidRPr="00085475" w14:paraId="065FA9AE" w14:textId="77777777" w:rsidTr="001D5BD1">
        <w:trPr>
          <w:trHeight w:val="700"/>
        </w:trPr>
        <w:tc>
          <w:tcPr>
            <w:tcW w:w="0" w:type="auto"/>
            <w:vMerge/>
            <w:tcBorders>
              <w:top w:val="nil"/>
              <w:left w:val="single" w:sz="4" w:space="0" w:color="auto"/>
              <w:bottom w:val="single" w:sz="4" w:space="0" w:color="auto"/>
              <w:right w:val="single" w:sz="4" w:space="0" w:color="auto"/>
            </w:tcBorders>
            <w:vAlign w:val="center"/>
            <w:hideMark/>
          </w:tcPr>
          <w:p w14:paraId="6BBAF9AF"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p>
        </w:tc>
        <w:tc>
          <w:tcPr>
            <w:tcW w:w="0" w:type="auto"/>
            <w:tcBorders>
              <w:top w:val="nil"/>
              <w:left w:val="nil"/>
              <w:bottom w:val="single" w:sz="4" w:space="0" w:color="auto"/>
              <w:right w:val="single" w:sz="4" w:space="0" w:color="auto"/>
            </w:tcBorders>
            <w:shd w:val="clear" w:color="auto" w:fill="auto"/>
            <w:vAlign w:val="center"/>
            <w:hideMark/>
          </w:tcPr>
          <w:p w14:paraId="7F0998F8"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PK / PD data</w:t>
            </w:r>
          </w:p>
        </w:tc>
        <w:tc>
          <w:tcPr>
            <w:tcW w:w="1597" w:type="dxa"/>
            <w:vMerge/>
            <w:tcBorders>
              <w:top w:val="nil"/>
              <w:left w:val="single" w:sz="4" w:space="0" w:color="auto"/>
              <w:bottom w:val="single" w:sz="4" w:space="0" w:color="auto"/>
              <w:right w:val="single" w:sz="4" w:space="0" w:color="auto"/>
            </w:tcBorders>
            <w:vAlign w:val="center"/>
            <w:hideMark/>
          </w:tcPr>
          <w:p w14:paraId="2E3E5F9A"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p>
        </w:tc>
        <w:tc>
          <w:tcPr>
            <w:tcW w:w="3696" w:type="dxa"/>
            <w:tcBorders>
              <w:top w:val="nil"/>
              <w:left w:val="nil"/>
              <w:bottom w:val="single" w:sz="4" w:space="0" w:color="auto"/>
              <w:right w:val="single" w:sz="4" w:space="0" w:color="auto"/>
            </w:tcBorders>
            <w:shd w:val="clear" w:color="auto" w:fill="auto"/>
            <w:vAlign w:val="center"/>
            <w:hideMark/>
          </w:tcPr>
          <w:p w14:paraId="29E65403"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"Pharmacokinetic" OR "Pharmacodynamic" OR "PKPD"</w:t>
            </w:r>
          </w:p>
        </w:tc>
        <w:tc>
          <w:tcPr>
            <w:tcW w:w="0" w:type="auto"/>
            <w:vAlign w:val="center"/>
            <w:hideMark/>
          </w:tcPr>
          <w:p w14:paraId="0431D25B" w14:textId="77777777" w:rsidR="00085475" w:rsidRPr="00085475" w:rsidRDefault="00085475" w:rsidP="00085475">
            <w:pPr>
              <w:spacing w:after="0" w:line="480" w:lineRule="auto"/>
              <w:rPr>
                <w:rFonts w:ascii="Arial" w:eastAsia="Times New Roman" w:hAnsi="Arial" w:cs="Arial"/>
                <w:sz w:val="20"/>
                <w:szCs w:val="20"/>
                <w:lang w:val="en-SG" w:eastAsia="en-SG"/>
              </w:rPr>
            </w:pPr>
          </w:p>
        </w:tc>
      </w:tr>
      <w:tr w:rsidR="00085475" w:rsidRPr="00085475" w14:paraId="15394C20" w14:textId="77777777" w:rsidTr="001D5BD1">
        <w:trPr>
          <w:trHeight w:val="698"/>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EFD29AA"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Clinical practice and treatment guideline</w:t>
            </w:r>
          </w:p>
        </w:tc>
        <w:tc>
          <w:tcPr>
            <w:tcW w:w="0" w:type="auto"/>
            <w:tcBorders>
              <w:top w:val="nil"/>
              <w:left w:val="nil"/>
              <w:bottom w:val="single" w:sz="4" w:space="0" w:color="auto"/>
              <w:right w:val="single" w:sz="4" w:space="0" w:color="auto"/>
            </w:tcBorders>
            <w:shd w:val="clear" w:color="auto" w:fill="auto"/>
            <w:vAlign w:val="center"/>
            <w:hideMark/>
          </w:tcPr>
          <w:p w14:paraId="71343419"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 xml:space="preserve">Clinical practice </w:t>
            </w:r>
          </w:p>
        </w:tc>
        <w:tc>
          <w:tcPr>
            <w:tcW w:w="1597" w:type="dxa"/>
            <w:vMerge/>
            <w:tcBorders>
              <w:top w:val="nil"/>
              <w:left w:val="single" w:sz="4" w:space="0" w:color="auto"/>
              <w:bottom w:val="single" w:sz="4" w:space="0" w:color="auto"/>
              <w:right w:val="single" w:sz="4" w:space="0" w:color="auto"/>
            </w:tcBorders>
            <w:vAlign w:val="center"/>
            <w:hideMark/>
          </w:tcPr>
          <w:p w14:paraId="7ABF9F03"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p>
        </w:tc>
        <w:tc>
          <w:tcPr>
            <w:tcW w:w="3696" w:type="dxa"/>
            <w:tcBorders>
              <w:top w:val="nil"/>
              <w:left w:val="nil"/>
              <w:bottom w:val="single" w:sz="4" w:space="0" w:color="auto"/>
              <w:right w:val="single" w:sz="4" w:space="0" w:color="auto"/>
            </w:tcBorders>
            <w:shd w:val="clear" w:color="auto" w:fill="auto"/>
            <w:vAlign w:val="center"/>
            <w:hideMark/>
          </w:tcPr>
          <w:p w14:paraId="244420B7"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 xml:space="preserve">"Clinical practice" OR "clinical management" OR "Treatment selection" </w:t>
            </w:r>
          </w:p>
        </w:tc>
        <w:tc>
          <w:tcPr>
            <w:tcW w:w="0" w:type="auto"/>
            <w:vAlign w:val="center"/>
            <w:hideMark/>
          </w:tcPr>
          <w:p w14:paraId="64A7D23D" w14:textId="77777777" w:rsidR="00085475" w:rsidRPr="00085475" w:rsidRDefault="00085475" w:rsidP="00085475">
            <w:pPr>
              <w:spacing w:after="0" w:line="480" w:lineRule="auto"/>
              <w:rPr>
                <w:rFonts w:ascii="Arial" w:eastAsia="Times New Roman" w:hAnsi="Arial" w:cs="Arial"/>
                <w:sz w:val="20"/>
                <w:szCs w:val="20"/>
                <w:lang w:val="en-SG" w:eastAsia="en-SG"/>
              </w:rPr>
            </w:pPr>
          </w:p>
        </w:tc>
      </w:tr>
      <w:tr w:rsidR="00085475" w:rsidRPr="00085475" w14:paraId="226058D1" w14:textId="77777777" w:rsidTr="001D5BD1">
        <w:trPr>
          <w:trHeight w:val="1050"/>
        </w:trPr>
        <w:tc>
          <w:tcPr>
            <w:tcW w:w="0" w:type="auto"/>
            <w:vMerge/>
            <w:tcBorders>
              <w:top w:val="nil"/>
              <w:left w:val="single" w:sz="4" w:space="0" w:color="auto"/>
              <w:bottom w:val="single" w:sz="4" w:space="0" w:color="auto"/>
              <w:right w:val="single" w:sz="4" w:space="0" w:color="auto"/>
            </w:tcBorders>
            <w:vAlign w:val="center"/>
            <w:hideMark/>
          </w:tcPr>
          <w:p w14:paraId="522A128F"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p>
        </w:tc>
        <w:tc>
          <w:tcPr>
            <w:tcW w:w="0" w:type="auto"/>
            <w:tcBorders>
              <w:top w:val="nil"/>
              <w:left w:val="nil"/>
              <w:bottom w:val="single" w:sz="4" w:space="0" w:color="auto"/>
              <w:right w:val="single" w:sz="4" w:space="0" w:color="auto"/>
            </w:tcBorders>
            <w:shd w:val="clear" w:color="auto" w:fill="auto"/>
            <w:vAlign w:val="center"/>
            <w:hideMark/>
          </w:tcPr>
          <w:p w14:paraId="3316D4DD"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 xml:space="preserve">Treatment guidelines </w:t>
            </w:r>
          </w:p>
        </w:tc>
        <w:tc>
          <w:tcPr>
            <w:tcW w:w="1597" w:type="dxa"/>
            <w:vMerge/>
            <w:tcBorders>
              <w:top w:val="nil"/>
              <w:left w:val="single" w:sz="4" w:space="0" w:color="auto"/>
              <w:bottom w:val="single" w:sz="4" w:space="0" w:color="auto"/>
              <w:right w:val="single" w:sz="4" w:space="0" w:color="auto"/>
            </w:tcBorders>
            <w:vAlign w:val="center"/>
            <w:hideMark/>
          </w:tcPr>
          <w:p w14:paraId="0DF0DEC1"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p>
        </w:tc>
        <w:tc>
          <w:tcPr>
            <w:tcW w:w="3696" w:type="dxa"/>
            <w:tcBorders>
              <w:top w:val="nil"/>
              <w:left w:val="nil"/>
              <w:bottom w:val="single" w:sz="4" w:space="0" w:color="auto"/>
              <w:right w:val="single" w:sz="4" w:space="0" w:color="auto"/>
            </w:tcBorders>
            <w:shd w:val="clear" w:color="auto" w:fill="auto"/>
            <w:vAlign w:val="center"/>
            <w:hideMark/>
          </w:tcPr>
          <w:p w14:paraId="6C9E5BFD"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"Treatment guidelines" OR "therapeutic guidelines" OR "clinical guidelines" OR "Place in therapy" OR "Treatment algorithm"</w:t>
            </w:r>
          </w:p>
        </w:tc>
        <w:tc>
          <w:tcPr>
            <w:tcW w:w="0" w:type="auto"/>
            <w:vAlign w:val="center"/>
            <w:hideMark/>
          </w:tcPr>
          <w:p w14:paraId="123BFCDD" w14:textId="77777777" w:rsidR="00085475" w:rsidRPr="00085475" w:rsidRDefault="00085475" w:rsidP="00085475">
            <w:pPr>
              <w:spacing w:after="0" w:line="480" w:lineRule="auto"/>
              <w:rPr>
                <w:rFonts w:ascii="Arial" w:eastAsia="Times New Roman" w:hAnsi="Arial" w:cs="Arial"/>
                <w:sz w:val="20"/>
                <w:szCs w:val="20"/>
                <w:lang w:val="en-SG" w:eastAsia="en-SG"/>
              </w:rPr>
            </w:pPr>
          </w:p>
        </w:tc>
      </w:tr>
      <w:tr w:rsidR="00085475" w:rsidRPr="00085475" w14:paraId="32601618" w14:textId="77777777" w:rsidTr="00F27630">
        <w:trPr>
          <w:trHeight w:val="700"/>
        </w:trPr>
        <w:tc>
          <w:tcPr>
            <w:tcW w:w="0" w:type="auto"/>
            <w:tcBorders>
              <w:top w:val="nil"/>
              <w:left w:val="single" w:sz="4" w:space="0" w:color="auto"/>
              <w:bottom w:val="single" w:sz="4" w:space="0" w:color="7F7F7F" w:themeColor="text1" w:themeTint="80"/>
              <w:right w:val="single" w:sz="4" w:space="0" w:color="auto"/>
            </w:tcBorders>
            <w:shd w:val="clear" w:color="auto" w:fill="auto"/>
            <w:vAlign w:val="center"/>
            <w:hideMark/>
          </w:tcPr>
          <w:p w14:paraId="653C1C0C"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Regulatory statements</w:t>
            </w:r>
          </w:p>
        </w:tc>
        <w:tc>
          <w:tcPr>
            <w:tcW w:w="0" w:type="auto"/>
            <w:tcBorders>
              <w:top w:val="nil"/>
              <w:left w:val="nil"/>
              <w:bottom w:val="single" w:sz="4" w:space="0" w:color="7F7F7F" w:themeColor="text1" w:themeTint="80"/>
              <w:right w:val="single" w:sz="4" w:space="0" w:color="auto"/>
            </w:tcBorders>
            <w:shd w:val="clear" w:color="auto" w:fill="auto"/>
            <w:vAlign w:val="center"/>
            <w:hideMark/>
          </w:tcPr>
          <w:p w14:paraId="4E0CD532"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 xml:space="preserve">Regulatory statements </w:t>
            </w:r>
          </w:p>
        </w:tc>
        <w:tc>
          <w:tcPr>
            <w:tcW w:w="1597" w:type="dxa"/>
            <w:vMerge/>
            <w:tcBorders>
              <w:top w:val="nil"/>
              <w:left w:val="single" w:sz="4" w:space="0" w:color="auto"/>
              <w:bottom w:val="single" w:sz="4" w:space="0" w:color="7F7F7F" w:themeColor="text1" w:themeTint="80"/>
              <w:right w:val="single" w:sz="4" w:space="0" w:color="auto"/>
            </w:tcBorders>
            <w:vAlign w:val="center"/>
            <w:hideMark/>
          </w:tcPr>
          <w:p w14:paraId="5D5BBB06"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p>
        </w:tc>
        <w:tc>
          <w:tcPr>
            <w:tcW w:w="3696" w:type="dxa"/>
            <w:tcBorders>
              <w:top w:val="nil"/>
              <w:left w:val="nil"/>
              <w:bottom w:val="single" w:sz="4" w:space="0" w:color="7F7F7F" w:themeColor="text1" w:themeTint="80"/>
              <w:right w:val="single" w:sz="4" w:space="0" w:color="auto"/>
            </w:tcBorders>
            <w:shd w:val="clear" w:color="auto" w:fill="auto"/>
            <w:vAlign w:val="center"/>
            <w:hideMark/>
          </w:tcPr>
          <w:p w14:paraId="2322C98C"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"Regulatory warning" OR "Regulatory labels" OR "Regulatory statements" OR "Safety updates"</w:t>
            </w:r>
          </w:p>
        </w:tc>
        <w:tc>
          <w:tcPr>
            <w:tcW w:w="0" w:type="auto"/>
            <w:vAlign w:val="center"/>
            <w:hideMark/>
          </w:tcPr>
          <w:p w14:paraId="089AB6B6" w14:textId="77777777" w:rsidR="00085475" w:rsidRPr="00085475" w:rsidRDefault="00085475" w:rsidP="00085475">
            <w:pPr>
              <w:spacing w:after="0" w:line="480" w:lineRule="auto"/>
              <w:rPr>
                <w:rFonts w:ascii="Arial" w:eastAsia="Times New Roman" w:hAnsi="Arial" w:cs="Arial"/>
                <w:sz w:val="20"/>
                <w:szCs w:val="20"/>
                <w:lang w:val="en-SG" w:eastAsia="en-SG"/>
              </w:rPr>
            </w:pPr>
          </w:p>
        </w:tc>
      </w:tr>
      <w:tr w:rsidR="00085475" w:rsidRPr="00085475" w14:paraId="6EB9D2FF" w14:textId="77777777" w:rsidTr="00F27630">
        <w:trPr>
          <w:trHeight w:val="700"/>
        </w:trPr>
        <w:tc>
          <w:tcPr>
            <w:tcW w:w="0" w:type="auto"/>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B3C767B"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Perception and awareness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99A0567"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 xml:space="preserve">HCP awareness </w:t>
            </w:r>
          </w:p>
        </w:tc>
        <w:tc>
          <w:tcPr>
            <w:tcW w:w="1597"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4CE2D84"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p>
        </w:tc>
        <w:tc>
          <w:tcPr>
            <w:tcW w:w="36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64B4E669"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("Healthcare professionals" OR "HCP" OR "clinicians") AND ("awareness")</w:t>
            </w:r>
          </w:p>
        </w:tc>
        <w:tc>
          <w:tcPr>
            <w:tcW w:w="0" w:type="auto"/>
            <w:tcBorders>
              <w:left w:val="single" w:sz="4" w:space="0" w:color="7F7F7F" w:themeColor="text1" w:themeTint="80"/>
            </w:tcBorders>
            <w:vAlign w:val="center"/>
            <w:hideMark/>
          </w:tcPr>
          <w:p w14:paraId="0AF83299" w14:textId="77777777" w:rsidR="00085475" w:rsidRPr="00085475" w:rsidRDefault="00085475" w:rsidP="00085475">
            <w:pPr>
              <w:spacing w:after="0" w:line="480" w:lineRule="auto"/>
              <w:rPr>
                <w:rFonts w:ascii="Arial" w:eastAsia="Times New Roman" w:hAnsi="Arial" w:cs="Arial"/>
                <w:sz w:val="20"/>
                <w:szCs w:val="20"/>
                <w:lang w:val="en-SG" w:eastAsia="en-SG"/>
              </w:rPr>
            </w:pPr>
          </w:p>
        </w:tc>
      </w:tr>
      <w:tr w:rsidR="00085475" w:rsidRPr="00085475" w14:paraId="5A569D15" w14:textId="77777777" w:rsidTr="00F27630">
        <w:trPr>
          <w:trHeight w:val="1050"/>
        </w:trPr>
        <w:tc>
          <w:tcPr>
            <w:tcW w:w="0" w:type="auto"/>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69E08269"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64F7E70F"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HCP perception</w:t>
            </w:r>
          </w:p>
        </w:tc>
        <w:tc>
          <w:tcPr>
            <w:tcW w:w="1597"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5682064"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p>
        </w:tc>
        <w:tc>
          <w:tcPr>
            <w:tcW w:w="36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6AF4C0E" w14:textId="77777777" w:rsidR="00085475" w:rsidRPr="00085475" w:rsidRDefault="00085475" w:rsidP="00085475">
            <w:pPr>
              <w:spacing w:after="0" w:line="360" w:lineRule="auto"/>
              <w:rPr>
                <w:rFonts w:ascii="Arial" w:eastAsia="Times New Roman" w:hAnsi="Arial" w:cs="Arial"/>
                <w:color w:val="000000"/>
                <w:sz w:val="20"/>
                <w:szCs w:val="20"/>
                <w:lang w:val="en-SG" w:eastAsia="en-SG"/>
              </w:rPr>
            </w:pPr>
            <w:r w:rsidRPr="00085475">
              <w:rPr>
                <w:rFonts w:ascii="Arial" w:eastAsia="Times New Roman" w:hAnsi="Arial" w:cs="Arial"/>
                <w:color w:val="000000"/>
                <w:sz w:val="20"/>
                <w:szCs w:val="20"/>
                <w:lang w:val="en-SG" w:eastAsia="en-SG"/>
              </w:rPr>
              <w:t>("Healthcare professionals" OR "HCP" OR "clinicians") AND ("perception" OR "attitudes" OR "beliefs" OR "perspective")</w:t>
            </w:r>
          </w:p>
        </w:tc>
        <w:tc>
          <w:tcPr>
            <w:tcW w:w="0" w:type="auto"/>
            <w:tcBorders>
              <w:left w:val="single" w:sz="4" w:space="0" w:color="7F7F7F" w:themeColor="text1" w:themeTint="80"/>
            </w:tcBorders>
            <w:vAlign w:val="center"/>
            <w:hideMark/>
          </w:tcPr>
          <w:p w14:paraId="1E05A9FA" w14:textId="77777777" w:rsidR="00085475" w:rsidRPr="00085475" w:rsidRDefault="00085475" w:rsidP="00085475">
            <w:pPr>
              <w:spacing w:after="0" w:line="480" w:lineRule="auto"/>
              <w:rPr>
                <w:rFonts w:ascii="Arial" w:eastAsia="Times New Roman" w:hAnsi="Arial" w:cs="Arial"/>
                <w:sz w:val="20"/>
                <w:szCs w:val="20"/>
                <w:lang w:val="en-SG" w:eastAsia="en-SG"/>
              </w:rPr>
            </w:pPr>
          </w:p>
        </w:tc>
      </w:tr>
      <w:tr w:rsidR="00C922AD" w:rsidRPr="00085475" w14:paraId="2DEBD252" w14:textId="77777777" w:rsidTr="00F27630">
        <w:trPr>
          <w:trHeight w:val="1050"/>
        </w:trPr>
        <w:tc>
          <w:tcPr>
            <w:tcW w:w="9128"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9E997E4" w14:textId="687ECA0D" w:rsidR="00C922AD" w:rsidRPr="00C922AD" w:rsidRDefault="00C922AD" w:rsidP="00C922AD">
            <w:pPr>
              <w:spacing w:line="480" w:lineRule="auto"/>
              <w:rPr>
                <w:rFonts w:ascii="Arial" w:eastAsia="Calibri" w:hAnsi="Arial" w:cs="Arial"/>
                <w:i/>
                <w:kern w:val="2"/>
                <w:sz w:val="20"/>
                <w:szCs w:val="20"/>
                <w:lang w:val="en-SG" w:eastAsia="en-US"/>
                <w14:ligatures w14:val="standardContextual"/>
              </w:rPr>
            </w:pPr>
            <w:r w:rsidRPr="00085475">
              <w:rPr>
                <w:rFonts w:ascii="Arial" w:eastAsia="Calibri" w:hAnsi="Arial" w:cs="Arial"/>
                <w:b/>
                <w:bCs/>
                <w:kern w:val="2"/>
                <w:sz w:val="20"/>
                <w:szCs w:val="20"/>
                <w:lang w:val="en-SG" w:eastAsia="en-US"/>
                <w14:ligatures w14:val="standardContextual"/>
              </w:rPr>
              <w:t>Abbreviations</w:t>
            </w:r>
            <w:r w:rsidRPr="00085475">
              <w:rPr>
                <w:rFonts w:ascii="Arial" w:eastAsia="Calibri" w:hAnsi="Arial" w:cs="Arial"/>
                <w:i/>
                <w:iCs/>
                <w:kern w:val="2"/>
                <w:sz w:val="20"/>
                <w:szCs w:val="20"/>
                <w:lang w:val="en-SG" w:eastAsia="en-US"/>
                <w14:ligatures w14:val="standardContextual"/>
              </w:rPr>
              <w:t xml:space="preserve">: </w:t>
            </w:r>
            <w:r w:rsidRPr="00085475">
              <w:rPr>
                <w:rFonts w:ascii="Arial" w:eastAsia="Calibri" w:hAnsi="Arial" w:cs="Arial"/>
                <w:kern w:val="2"/>
                <w:sz w:val="20"/>
                <w:szCs w:val="20"/>
                <w:lang w:val="en-SG" w:eastAsia="en-US"/>
                <w14:ligatures w14:val="standardContextual"/>
              </w:rPr>
              <w:t>HCP, Health care professional; MOA, Mechanism of action; PD, Pharmacodynamics; PK, Pharmacokinetics.</w:t>
            </w:r>
          </w:p>
        </w:tc>
        <w:tc>
          <w:tcPr>
            <w:tcW w:w="0" w:type="auto"/>
            <w:tcBorders>
              <w:left w:val="single" w:sz="4" w:space="0" w:color="7F7F7F" w:themeColor="text1" w:themeTint="80"/>
            </w:tcBorders>
            <w:vAlign w:val="center"/>
          </w:tcPr>
          <w:p w14:paraId="7174EE6D" w14:textId="77777777" w:rsidR="00C922AD" w:rsidRPr="00085475" w:rsidRDefault="00C922AD" w:rsidP="00085475">
            <w:pPr>
              <w:spacing w:after="0" w:line="480" w:lineRule="auto"/>
              <w:rPr>
                <w:rFonts w:ascii="Arial" w:eastAsia="Times New Roman" w:hAnsi="Arial" w:cs="Arial"/>
                <w:sz w:val="20"/>
                <w:szCs w:val="20"/>
                <w:lang w:val="en-SG" w:eastAsia="en-SG"/>
              </w:rPr>
            </w:pPr>
          </w:p>
        </w:tc>
      </w:tr>
    </w:tbl>
    <w:p w14:paraId="232B077C" w14:textId="77777777" w:rsidR="000F4EDC" w:rsidRDefault="000F4EDC" w:rsidP="00085475">
      <w:pPr>
        <w:spacing w:line="480" w:lineRule="auto"/>
        <w:rPr>
          <w:rFonts w:ascii="Arial" w:eastAsia="Calibri" w:hAnsi="Arial" w:cs="Arial"/>
          <w:b/>
          <w:bCs/>
          <w:kern w:val="2"/>
          <w:sz w:val="20"/>
          <w:szCs w:val="20"/>
          <w:lang w:val="en-SG" w:eastAsia="en-US"/>
          <w14:ligatures w14:val="standardContextual"/>
        </w:rPr>
      </w:pPr>
    </w:p>
    <w:tbl>
      <w:tblPr>
        <w:tblStyle w:val="TableGrid"/>
        <w:tblW w:w="0" w:type="auto"/>
        <w:tblLook w:val="04A0" w:firstRow="1" w:lastRow="0" w:firstColumn="1" w:lastColumn="0" w:noHBand="0" w:noVBand="1"/>
      </w:tblPr>
      <w:tblGrid>
        <w:gridCol w:w="539"/>
        <w:gridCol w:w="5542"/>
        <w:gridCol w:w="3269"/>
      </w:tblGrid>
      <w:tr w:rsidR="00A6338B" w:rsidRPr="005476A4" w14:paraId="79162776" w14:textId="77777777" w:rsidTr="00A6338B">
        <w:trPr>
          <w:trHeight w:val="492"/>
        </w:trPr>
        <w:tc>
          <w:tcPr>
            <w:tcW w:w="0" w:type="auto"/>
            <w:gridSpan w:val="3"/>
            <w:tcBorders>
              <w:top w:val="single" w:sz="4" w:space="0" w:color="FFFFFF" w:themeColor="background1"/>
              <w:left w:val="single" w:sz="4" w:space="0" w:color="FFFFFF" w:themeColor="background1"/>
              <w:right w:val="single" w:sz="4" w:space="0" w:color="FFFFFF" w:themeColor="background1"/>
            </w:tcBorders>
          </w:tcPr>
          <w:p w14:paraId="3E310193" w14:textId="567EB1AE" w:rsidR="00A6338B" w:rsidRPr="005476A4" w:rsidRDefault="00F34B23" w:rsidP="001D5BD1">
            <w:pPr>
              <w:spacing w:line="480" w:lineRule="auto"/>
              <w:rPr>
                <w:rFonts w:ascii="Arial" w:eastAsia="Calibri" w:hAnsi="Arial" w:cs="Arial"/>
                <w:sz w:val="20"/>
                <w:szCs w:val="20"/>
                <w:lang w:val="en-SG"/>
              </w:rPr>
            </w:pPr>
            <w:r>
              <w:rPr>
                <w:rFonts w:ascii="Arial" w:eastAsia="Calibri" w:hAnsi="Arial" w:cs="Arial"/>
                <w:b/>
                <w:bCs/>
                <w:sz w:val="20"/>
                <w:szCs w:val="20"/>
                <w:lang w:val="en-SG"/>
              </w:rPr>
              <w:lastRenderedPageBreak/>
              <w:t xml:space="preserve">Table </w:t>
            </w:r>
            <w:r w:rsidR="00A6338B" w:rsidRPr="00085475">
              <w:rPr>
                <w:rFonts w:ascii="Arial" w:eastAsia="Calibri" w:hAnsi="Arial" w:cs="Arial"/>
                <w:b/>
                <w:bCs/>
                <w:sz w:val="20"/>
                <w:szCs w:val="20"/>
                <w:lang w:val="en-SG"/>
              </w:rPr>
              <w:t>S</w:t>
            </w:r>
            <w:r w:rsidR="003B5047">
              <w:rPr>
                <w:rFonts w:ascii="Arial" w:eastAsia="Calibri" w:hAnsi="Arial" w:cs="Arial"/>
                <w:b/>
                <w:bCs/>
                <w:sz w:val="20"/>
                <w:szCs w:val="20"/>
                <w:lang w:val="en-SG"/>
              </w:rPr>
              <w:t>3</w:t>
            </w:r>
            <w:r w:rsidR="00A6338B" w:rsidRPr="00085475">
              <w:rPr>
                <w:rFonts w:ascii="Arial" w:eastAsia="Calibri" w:hAnsi="Arial" w:cs="Arial"/>
                <w:b/>
                <w:sz w:val="20"/>
                <w:szCs w:val="20"/>
                <w:lang w:val="en-SG"/>
              </w:rPr>
              <w:t xml:space="preserve"> </w:t>
            </w:r>
            <w:r w:rsidR="00505368" w:rsidRPr="000E2D8C">
              <w:rPr>
                <w:rFonts w:ascii="Arial" w:eastAsia="Calibri" w:hAnsi="Arial" w:cs="Arial"/>
                <w:sz w:val="20"/>
                <w:szCs w:val="20"/>
                <w:lang w:val="en-SG"/>
              </w:rPr>
              <w:t xml:space="preserve">Initial </w:t>
            </w:r>
            <w:r w:rsidR="00A6338B">
              <w:rPr>
                <w:rFonts w:ascii="Arial" w:eastAsia="Calibri" w:hAnsi="Arial" w:cs="Arial"/>
                <w:sz w:val="20"/>
                <w:szCs w:val="20"/>
                <w:lang w:val="en-SG"/>
              </w:rPr>
              <w:t xml:space="preserve">consensus statements </w:t>
            </w:r>
            <w:r w:rsidR="002C131D">
              <w:rPr>
                <w:rFonts w:ascii="Arial" w:eastAsia="Calibri" w:hAnsi="Arial" w:cs="Arial"/>
                <w:sz w:val="20"/>
                <w:szCs w:val="20"/>
                <w:lang w:val="en-SG"/>
              </w:rPr>
              <w:t xml:space="preserve">considered in the literature </w:t>
            </w:r>
            <w:r w:rsidR="00A6338B">
              <w:rPr>
                <w:rFonts w:ascii="Arial" w:eastAsia="Calibri" w:hAnsi="Arial" w:cs="Arial"/>
                <w:sz w:val="20"/>
                <w:szCs w:val="20"/>
                <w:lang w:val="en-SG"/>
              </w:rPr>
              <w:t>and references</w:t>
            </w:r>
          </w:p>
        </w:tc>
      </w:tr>
      <w:tr w:rsidR="00A6338B" w:rsidRPr="00461BC9" w14:paraId="22D524EC" w14:textId="77777777" w:rsidTr="00A6338B">
        <w:trPr>
          <w:trHeight w:val="492"/>
        </w:trPr>
        <w:tc>
          <w:tcPr>
            <w:tcW w:w="0" w:type="auto"/>
          </w:tcPr>
          <w:p w14:paraId="61F4C982" w14:textId="77777777" w:rsidR="00A6338B" w:rsidRPr="00461BC9" w:rsidRDefault="00A6338B" w:rsidP="001D5BD1">
            <w:pPr>
              <w:spacing w:line="480" w:lineRule="auto"/>
              <w:rPr>
                <w:rFonts w:ascii="Arial" w:hAnsi="Arial" w:cs="Arial"/>
                <w:b/>
                <w:sz w:val="20"/>
                <w:szCs w:val="20"/>
              </w:rPr>
            </w:pPr>
            <w:r w:rsidRPr="00461BC9">
              <w:rPr>
                <w:rFonts w:ascii="Arial" w:hAnsi="Arial" w:cs="Arial"/>
                <w:b/>
                <w:sz w:val="20"/>
                <w:szCs w:val="20"/>
              </w:rPr>
              <w:t>No.</w:t>
            </w:r>
          </w:p>
        </w:tc>
        <w:tc>
          <w:tcPr>
            <w:tcW w:w="0" w:type="auto"/>
          </w:tcPr>
          <w:p w14:paraId="06E372F2" w14:textId="77777777" w:rsidR="00A6338B" w:rsidRPr="00461BC9" w:rsidRDefault="00A6338B" w:rsidP="001D5BD1">
            <w:pPr>
              <w:spacing w:line="480" w:lineRule="auto"/>
              <w:rPr>
                <w:rFonts w:ascii="Arial" w:hAnsi="Arial" w:cs="Arial"/>
                <w:b/>
                <w:sz w:val="20"/>
                <w:szCs w:val="20"/>
              </w:rPr>
            </w:pPr>
            <w:r w:rsidRPr="00461BC9">
              <w:rPr>
                <w:rFonts w:ascii="Arial" w:hAnsi="Arial" w:cs="Arial"/>
                <w:b/>
                <w:sz w:val="20"/>
                <w:szCs w:val="20"/>
              </w:rPr>
              <w:t>Consensus statement</w:t>
            </w:r>
          </w:p>
        </w:tc>
        <w:tc>
          <w:tcPr>
            <w:tcW w:w="0" w:type="auto"/>
          </w:tcPr>
          <w:p w14:paraId="5EBD64E9" w14:textId="77777777" w:rsidR="00A6338B" w:rsidRPr="00461BC9" w:rsidRDefault="00A6338B" w:rsidP="001D5BD1">
            <w:pPr>
              <w:spacing w:line="480" w:lineRule="auto"/>
              <w:rPr>
                <w:rFonts w:ascii="Arial" w:hAnsi="Arial" w:cs="Arial"/>
                <w:b/>
                <w:sz w:val="20"/>
                <w:szCs w:val="20"/>
              </w:rPr>
            </w:pPr>
            <w:r w:rsidRPr="00461BC9">
              <w:rPr>
                <w:rFonts w:ascii="Arial" w:hAnsi="Arial" w:cs="Arial"/>
                <w:b/>
                <w:sz w:val="20"/>
                <w:szCs w:val="20"/>
              </w:rPr>
              <w:t>References</w:t>
            </w:r>
          </w:p>
        </w:tc>
      </w:tr>
      <w:tr w:rsidR="00051392" w:rsidRPr="00461BC9" w14:paraId="7610CCD8" w14:textId="77777777" w:rsidTr="00A6338B">
        <w:trPr>
          <w:trHeight w:val="1231"/>
        </w:trPr>
        <w:tc>
          <w:tcPr>
            <w:tcW w:w="0" w:type="auto"/>
          </w:tcPr>
          <w:p w14:paraId="65F64940" w14:textId="77777777" w:rsidR="00051392" w:rsidRPr="00461BC9" w:rsidRDefault="00051392" w:rsidP="00051392">
            <w:pPr>
              <w:spacing w:line="480" w:lineRule="auto"/>
              <w:rPr>
                <w:rFonts w:ascii="Arial" w:hAnsi="Arial" w:cs="Arial"/>
                <w:sz w:val="20"/>
                <w:szCs w:val="20"/>
              </w:rPr>
            </w:pPr>
            <w:r w:rsidRPr="00461BC9">
              <w:rPr>
                <w:rFonts w:ascii="Arial" w:hAnsi="Arial" w:cs="Arial"/>
                <w:sz w:val="20"/>
                <w:szCs w:val="20"/>
              </w:rPr>
              <w:t>1</w:t>
            </w:r>
          </w:p>
        </w:tc>
        <w:tc>
          <w:tcPr>
            <w:tcW w:w="0" w:type="auto"/>
          </w:tcPr>
          <w:p w14:paraId="3464FC16" w14:textId="77777777" w:rsidR="00051392" w:rsidRPr="00461BC9" w:rsidRDefault="00051392" w:rsidP="00051392">
            <w:pPr>
              <w:spacing w:line="480" w:lineRule="auto"/>
              <w:rPr>
                <w:rFonts w:ascii="Arial" w:hAnsi="Arial" w:cs="Arial"/>
                <w:sz w:val="20"/>
                <w:szCs w:val="20"/>
              </w:rPr>
            </w:pPr>
            <w:r w:rsidRPr="00461BC9">
              <w:rPr>
                <w:rFonts w:ascii="Arial" w:hAnsi="Arial" w:cs="Arial"/>
                <w:sz w:val="20"/>
                <w:szCs w:val="20"/>
              </w:rPr>
              <w:t>Vitamin B6 and its metabolites are essential for the functioning of the nervous system, as a coenzyme for metabolic reactions that is crucial for synthesis of neurotransmitters such as γ-aminobutyric-acid (GABA), dopamine, epinephrine and serotonin. ​</w:t>
            </w:r>
          </w:p>
        </w:tc>
        <w:tc>
          <w:tcPr>
            <w:tcW w:w="0" w:type="auto"/>
            <w:vAlign w:val="center"/>
          </w:tcPr>
          <w:p w14:paraId="092A34C5" w14:textId="77777777" w:rsidR="00051392" w:rsidRPr="001D5BD1" w:rsidRDefault="00051392" w:rsidP="00051392">
            <w:pPr>
              <w:spacing w:line="480" w:lineRule="auto"/>
              <w:jc w:val="center"/>
              <w:rPr>
                <w:rFonts w:ascii="Arial" w:hAnsi="Arial" w:cs="Arial"/>
                <w:sz w:val="20"/>
                <w:szCs w:val="20"/>
                <w:lang w:val="fr-FR"/>
              </w:rPr>
            </w:pPr>
            <w:proofErr w:type="spellStart"/>
            <w:r w:rsidRPr="001D5BD1">
              <w:rPr>
                <w:rFonts w:ascii="Arial" w:hAnsi="Arial" w:cs="Arial"/>
                <w:sz w:val="20"/>
                <w:szCs w:val="20"/>
                <w:lang w:val="fr-FR"/>
              </w:rPr>
              <w:t>Birch</w:t>
            </w:r>
            <w:proofErr w:type="spellEnd"/>
            <w:r w:rsidRPr="001D5BD1">
              <w:rPr>
                <w:rFonts w:ascii="Arial" w:hAnsi="Arial" w:cs="Arial"/>
                <w:sz w:val="20"/>
                <w:szCs w:val="20"/>
                <w:lang w:val="fr-FR"/>
              </w:rPr>
              <w:t xml:space="preserve"> et al. (1935)</w:t>
            </w:r>
            <w:r w:rsidRPr="001D5BD1">
              <w:rPr>
                <w:rFonts w:ascii="Arial" w:hAnsi="Arial" w:cs="Arial"/>
                <w:sz w:val="20"/>
                <w:szCs w:val="20"/>
                <w:vertAlign w:val="superscript"/>
                <w:lang w:val="fr-FR"/>
              </w:rPr>
              <w:t>1</w:t>
            </w:r>
          </w:p>
          <w:p w14:paraId="333720CA" w14:textId="77777777" w:rsidR="00051392" w:rsidRPr="001D5BD1" w:rsidRDefault="00051392" w:rsidP="00051392">
            <w:pPr>
              <w:spacing w:line="480" w:lineRule="auto"/>
              <w:jc w:val="center"/>
              <w:rPr>
                <w:rFonts w:ascii="Arial" w:hAnsi="Arial" w:cs="Arial"/>
                <w:sz w:val="20"/>
                <w:szCs w:val="20"/>
                <w:lang w:val="fr-FR"/>
              </w:rPr>
            </w:pPr>
            <w:proofErr w:type="spellStart"/>
            <w:r w:rsidRPr="001D5BD1">
              <w:rPr>
                <w:rFonts w:ascii="Arial" w:hAnsi="Arial" w:cs="Arial"/>
                <w:sz w:val="20"/>
                <w:szCs w:val="20"/>
                <w:lang w:val="fr-FR"/>
              </w:rPr>
              <w:t>Rioult-Pedotti</w:t>
            </w:r>
            <w:proofErr w:type="spellEnd"/>
            <w:r w:rsidRPr="001D5BD1">
              <w:rPr>
                <w:rFonts w:ascii="Arial" w:hAnsi="Arial" w:cs="Arial"/>
                <w:sz w:val="20"/>
                <w:szCs w:val="20"/>
                <w:lang w:val="fr-FR"/>
              </w:rPr>
              <w:t xml:space="preserve"> et al. (2015)</w:t>
            </w:r>
            <w:r w:rsidRPr="001D5BD1">
              <w:rPr>
                <w:rFonts w:ascii="Arial" w:hAnsi="Arial" w:cs="Arial"/>
                <w:sz w:val="20"/>
                <w:szCs w:val="20"/>
                <w:vertAlign w:val="superscript"/>
                <w:lang w:val="fr-FR"/>
              </w:rPr>
              <w:t>2</w:t>
            </w:r>
          </w:p>
          <w:p w14:paraId="64F1BA33" w14:textId="77777777" w:rsidR="00051392" w:rsidRPr="001D5BD1" w:rsidRDefault="00051392" w:rsidP="00051392">
            <w:pPr>
              <w:spacing w:line="480" w:lineRule="auto"/>
              <w:jc w:val="center"/>
              <w:rPr>
                <w:rFonts w:ascii="Arial" w:hAnsi="Arial" w:cs="Arial"/>
                <w:sz w:val="20"/>
                <w:szCs w:val="20"/>
                <w:lang w:val="fr-FR"/>
              </w:rPr>
            </w:pPr>
            <w:proofErr w:type="spellStart"/>
            <w:r w:rsidRPr="001D5BD1">
              <w:rPr>
                <w:rFonts w:ascii="Arial" w:hAnsi="Arial" w:cs="Arial"/>
                <w:sz w:val="20"/>
                <w:szCs w:val="20"/>
                <w:lang w:val="fr-FR"/>
              </w:rPr>
              <w:t>Gwak</w:t>
            </w:r>
            <w:proofErr w:type="spellEnd"/>
            <w:r w:rsidRPr="001D5BD1">
              <w:rPr>
                <w:rFonts w:ascii="Arial" w:hAnsi="Arial" w:cs="Arial"/>
                <w:sz w:val="20"/>
                <w:szCs w:val="20"/>
                <w:lang w:val="fr-FR"/>
              </w:rPr>
              <w:t xml:space="preserve"> et al. (2011)</w:t>
            </w:r>
            <w:r w:rsidRPr="001D5BD1">
              <w:rPr>
                <w:rFonts w:ascii="Arial" w:hAnsi="Arial" w:cs="Arial"/>
                <w:sz w:val="20"/>
                <w:szCs w:val="20"/>
                <w:vertAlign w:val="superscript"/>
                <w:lang w:val="fr-FR"/>
              </w:rPr>
              <w:t>3</w:t>
            </w:r>
          </w:p>
          <w:p w14:paraId="2881280C" w14:textId="77777777" w:rsidR="00051392" w:rsidRPr="001D5BD1" w:rsidRDefault="00051392" w:rsidP="00051392">
            <w:pPr>
              <w:spacing w:line="480" w:lineRule="auto"/>
              <w:jc w:val="center"/>
              <w:rPr>
                <w:rFonts w:ascii="Arial" w:hAnsi="Arial" w:cs="Arial"/>
                <w:sz w:val="20"/>
                <w:szCs w:val="20"/>
                <w:lang w:val="fr-FR"/>
              </w:rPr>
            </w:pPr>
            <w:r w:rsidRPr="001D5BD1">
              <w:rPr>
                <w:rFonts w:ascii="Arial" w:hAnsi="Arial" w:cs="Arial"/>
                <w:sz w:val="20"/>
                <w:szCs w:val="20"/>
                <w:lang w:val="fr-FR"/>
              </w:rPr>
              <w:t>Parra et al. (2018)</w:t>
            </w:r>
            <w:r w:rsidRPr="001D5BD1">
              <w:rPr>
                <w:rFonts w:ascii="Arial" w:hAnsi="Arial" w:cs="Arial"/>
                <w:sz w:val="20"/>
                <w:szCs w:val="20"/>
                <w:vertAlign w:val="superscript"/>
                <w:lang w:val="fr-FR"/>
              </w:rPr>
              <w:t>4</w:t>
            </w:r>
          </w:p>
          <w:p w14:paraId="3E2394D0" w14:textId="7DEA0EF3" w:rsidR="00051392" w:rsidRPr="00461BC9" w:rsidRDefault="00051392" w:rsidP="00051392">
            <w:pPr>
              <w:spacing w:line="480" w:lineRule="auto"/>
              <w:jc w:val="center"/>
              <w:rPr>
                <w:rFonts w:ascii="Arial" w:hAnsi="Arial" w:cs="Arial"/>
                <w:sz w:val="20"/>
                <w:szCs w:val="20"/>
                <w:lang w:val="en-SG"/>
              </w:rPr>
            </w:pPr>
            <w:r w:rsidRPr="001D5BD1">
              <w:rPr>
                <w:rFonts w:ascii="Arial" w:hAnsi="Arial" w:cs="Arial"/>
                <w:sz w:val="20"/>
                <w:szCs w:val="20"/>
                <w:lang w:val="fr-FR"/>
              </w:rPr>
              <w:t xml:space="preserve">Young et al. </w:t>
            </w:r>
            <w:r w:rsidRPr="00461BC9">
              <w:rPr>
                <w:rFonts w:ascii="Arial" w:hAnsi="Arial" w:cs="Arial"/>
                <w:sz w:val="20"/>
                <w:szCs w:val="20"/>
              </w:rPr>
              <w:t>(</w:t>
            </w:r>
            <w:r w:rsidRPr="00D10508">
              <w:rPr>
                <w:rFonts w:ascii="Arial" w:hAnsi="Arial" w:cs="Arial"/>
                <w:sz w:val="20"/>
                <w:szCs w:val="20"/>
              </w:rPr>
              <w:t>2002</w:t>
            </w:r>
            <w:r w:rsidRPr="00461BC9">
              <w:rPr>
                <w:rFonts w:ascii="Arial" w:hAnsi="Arial" w:cs="Arial"/>
                <w:sz w:val="20"/>
                <w:szCs w:val="20"/>
              </w:rPr>
              <w:t>)</w:t>
            </w:r>
            <w:r>
              <w:rPr>
                <w:rFonts w:ascii="Arial" w:hAnsi="Arial" w:cs="Arial"/>
                <w:sz w:val="20"/>
                <w:szCs w:val="20"/>
                <w:vertAlign w:val="superscript"/>
                <w:lang w:val="en-SG"/>
              </w:rPr>
              <w:t>5</w:t>
            </w:r>
          </w:p>
        </w:tc>
      </w:tr>
      <w:tr w:rsidR="00051392" w:rsidRPr="00461BC9" w14:paraId="780B3BCB" w14:textId="77777777" w:rsidTr="00A6338B">
        <w:trPr>
          <w:trHeight w:val="984"/>
        </w:trPr>
        <w:tc>
          <w:tcPr>
            <w:tcW w:w="0" w:type="auto"/>
          </w:tcPr>
          <w:p w14:paraId="7D8F8023" w14:textId="77777777" w:rsidR="00051392" w:rsidRPr="00461BC9" w:rsidRDefault="00051392" w:rsidP="00051392">
            <w:pPr>
              <w:spacing w:line="480" w:lineRule="auto"/>
              <w:rPr>
                <w:rFonts w:ascii="Arial" w:hAnsi="Arial" w:cs="Arial"/>
                <w:sz w:val="20"/>
                <w:szCs w:val="20"/>
              </w:rPr>
            </w:pPr>
            <w:r w:rsidRPr="00461BC9">
              <w:rPr>
                <w:rFonts w:ascii="Arial" w:hAnsi="Arial" w:cs="Arial"/>
                <w:sz w:val="20"/>
                <w:szCs w:val="20"/>
              </w:rPr>
              <w:t>2</w:t>
            </w:r>
          </w:p>
        </w:tc>
        <w:tc>
          <w:tcPr>
            <w:tcW w:w="0" w:type="auto"/>
          </w:tcPr>
          <w:p w14:paraId="0533C0B8" w14:textId="77777777" w:rsidR="00051392" w:rsidRPr="00461BC9" w:rsidRDefault="00051392" w:rsidP="00051392">
            <w:pPr>
              <w:spacing w:line="480" w:lineRule="auto"/>
              <w:rPr>
                <w:rFonts w:ascii="Arial" w:hAnsi="Arial" w:cs="Arial"/>
                <w:sz w:val="20"/>
                <w:szCs w:val="20"/>
              </w:rPr>
            </w:pPr>
            <w:r w:rsidRPr="00461BC9">
              <w:rPr>
                <w:rFonts w:ascii="Arial" w:hAnsi="Arial" w:cs="Arial"/>
                <w:sz w:val="20"/>
                <w:szCs w:val="20"/>
              </w:rPr>
              <w:t>Vitamin B6 deficiency may result in peripheral neuropathy, seborrheic dermatitis, microcytic anemia, dental decay, glossitis, seizures, depression, confusion and weakened immune function.</w:t>
            </w:r>
          </w:p>
        </w:tc>
        <w:tc>
          <w:tcPr>
            <w:tcW w:w="0" w:type="auto"/>
            <w:vAlign w:val="center"/>
          </w:tcPr>
          <w:p w14:paraId="6D28FD95" w14:textId="77777777" w:rsidR="00051392" w:rsidRPr="001D5BD1" w:rsidRDefault="00051392" w:rsidP="00051392">
            <w:pPr>
              <w:spacing w:line="480" w:lineRule="auto"/>
              <w:jc w:val="center"/>
              <w:rPr>
                <w:rFonts w:ascii="Arial" w:hAnsi="Arial" w:cs="Arial"/>
                <w:sz w:val="20"/>
                <w:szCs w:val="20"/>
                <w:lang w:val="fr-FR"/>
              </w:rPr>
            </w:pPr>
            <w:proofErr w:type="spellStart"/>
            <w:r w:rsidRPr="001D5BD1">
              <w:rPr>
                <w:rFonts w:ascii="Arial" w:hAnsi="Arial" w:cs="Arial"/>
                <w:sz w:val="20"/>
                <w:szCs w:val="20"/>
                <w:lang w:val="fr-FR"/>
              </w:rPr>
              <w:t>Abosamak</w:t>
            </w:r>
            <w:proofErr w:type="spellEnd"/>
            <w:r w:rsidRPr="001D5BD1">
              <w:rPr>
                <w:rFonts w:ascii="Arial" w:hAnsi="Arial" w:cs="Arial"/>
                <w:sz w:val="20"/>
                <w:szCs w:val="20"/>
                <w:lang w:val="fr-FR"/>
              </w:rPr>
              <w:t xml:space="preserve"> et al. (2023)</w:t>
            </w:r>
            <w:r w:rsidRPr="001D5BD1">
              <w:rPr>
                <w:rFonts w:ascii="Arial" w:hAnsi="Arial" w:cs="Arial"/>
                <w:sz w:val="20"/>
                <w:szCs w:val="20"/>
                <w:vertAlign w:val="superscript"/>
                <w:lang w:val="fr-FR"/>
              </w:rPr>
              <w:t>6</w:t>
            </w:r>
          </w:p>
          <w:p w14:paraId="589535EA" w14:textId="77777777" w:rsidR="00051392" w:rsidRPr="001D5BD1" w:rsidRDefault="00051392" w:rsidP="00051392">
            <w:pPr>
              <w:spacing w:line="480" w:lineRule="auto"/>
              <w:jc w:val="center"/>
              <w:rPr>
                <w:rFonts w:ascii="Arial" w:hAnsi="Arial" w:cs="Arial"/>
                <w:sz w:val="20"/>
                <w:szCs w:val="20"/>
                <w:lang w:val="fr-FR"/>
              </w:rPr>
            </w:pPr>
            <w:r w:rsidRPr="001D5BD1">
              <w:rPr>
                <w:rFonts w:ascii="Arial" w:hAnsi="Arial" w:cs="Arial"/>
                <w:sz w:val="20"/>
                <w:szCs w:val="20"/>
                <w:lang w:val="fr-FR"/>
              </w:rPr>
              <w:t>Parra et al. (2018)</w:t>
            </w:r>
            <w:r w:rsidRPr="001D5BD1">
              <w:rPr>
                <w:rFonts w:ascii="Arial" w:hAnsi="Arial" w:cs="Arial"/>
                <w:sz w:val="20"/>
                <w:szCs w:val="20"/>
                <w:vertAlign w:val="superscript"/>
                <w:lang w:val="fr-FR"/>
              </w:rPr>
              <w:t>4</w:t>
            </w:r>
          </w:p>
          <w:p w14:paraId="6F42245A" w14:textId="77777777" w:rsidR="00051392" w:rsidRPr="001D5BD1" w:rsidRDefault="00051392" w:rsidP="00051392">
            <w:pPr>
              <w:spacing w:line="480" w:lineRule="auto"/>
              <w:jc w:val="center"/>
              <w:rPr>
                <w:rFonts w:ascii="Arial" w:hAnsi="Arial" w:cs="Arial"/>
                <w:sz w:val="20"/>
                <w:szCs w:val="20"/>
                <w:lang w:val="fr-FR"/>
              </w:rPr>
            </w:pPr>
            <w:proofErr w:type="spellStart"/>
            <w:r w:rsidRPr="001D5BD1">
              <w:rPr>
                <w:rFonts w:ascii="Arial" w:hAnsi="Arial" w:cs="Arial"/>
                <w:sz w:val="20"/>
                <w:szCs w:val="20"/>
                <w:lang w:val="fr-FR"/>
              </w:rPr>
              <w:t>Snider</w:t>
            </w:r>
            <w:proofErr w:type="spellEnd"/>
            <w:r w:rsidRPr="001D5BD1">
              <w:rPr>
                <w:rFonts w:ascii="Arial" w:hAnsi="Arial" w:cs="Arial"/>
                <w:sz w:val="20"/>
                <w:szCs w:val="20"/>
                <w:lang w:val="fr-FR"/>
              </w:rPr>
              <w:t xml:space="preserve"> et al. (1980)</w:t>
            </w:r>
            <w:r w:rsidRPr="001D5BD1">
              <w:rPr>
                <w:rFonts w:ascii="Arial" w:hAnsi="Arial" w:cs="Arial"/>
                <w:sz w:val="20"/>
                <w:szCs w:val="20"/>
                <w:vertAlign w:val="superscript"/>
                <w:lang w:val="fr-FR"/>
              </w:rPr>
              <w:t>7</w:t>
            </w:r>
          </w:p>
          <w:p w14:paraId="5779826F" w14:textId="77777777" w:rsidR="00051392" w:rsidRPr="001D5BD1" w:rsidRDefault="00051392" w:rsidP="00051392">
            <w:pPr>
              <w:spacing w:line="480" w:lineRule="auto"/>
              <w:jc w:val="center"/>
              <w:rPr>
                <w:rFonts w:ascii="Arial" w:hAnsi="Arial" w:cs="Arial"/>
                <w:sz w:val="20"/>
                <w:szCs w:val="20"/>
                <w:lang w:val="fr-FR"/>
              </w:rPr>
            </w:pPr>
            <w:proofErr w:type="spellStart"/>
            <w:r w:rsidRPr="001D5BD1">
              <w:rPr>
                <w:rFonts w:ascii="Arial" w:hAnsi="Arial" w:cs="Arial"/>
                <w:sz w:val="20"/>
                <w:szCs w:val="20"/>
                <w:lang w:val="fr-FR"/>
              </w:rPr>
              <w:t>Muhamad</w:t>
            </w:r>
            <w:proofErr w:type="spellEnd"/>
            <w:r w:rsidRPr="001D5BD1">
              <w:rPr>
                <w:rFonts w:ascii="Arial" w:hAnsi="Arial" w:cs="Arial"/>
                <w:sz w:val="20"/>
                <w:szCs w:val="20"/>
                <w:lang w:val="fr-FR"/>
              </w:rPr>
              <w:t xml:space="preserve"> et al. (2023)</w:t>
            </w:r>
            <w:r w:rsidRPr="001D5BD1">
              <w:rPr>
                <w:rFonts w:ascii="Arial" w:hAnsi="Arial" w:cs="Arial"/>
                <w:sz w:val="20"/>
                <w:szCs w:val="20"/>
                <w:vertAlign w:val="superscript"/>
                <w:lang w:val="fr-FR"/>
              </w:rPr>
              <w:t>8</w:t>
            </w:r>
          </w:p>
          <w:p w14:paraId="6B8DD255" w14:textId="77777777" w:rsidR="00051392" w:rsidRPr="001D5BD1" w:rsidRDefault="00051392" w:rsidP="00051392">
            <w:pPr>
              <w:spacing w:line="480" w:lineRule="auto"/>
              <w:jc w:val="center"/>
              <w:rPr>
                <w:rFonts w:ascii="Arial" w:hAnsi="Arial" w:cs="Arial"/>
                <w:sz w:val="20"/>
                <w:szCs w:val="20"/>
                <w:lang w:val="fr-FR"/>
              </w:rPr>
            </w:pPr>
            <w:proofErr w:type="spellStart"/>
            <w:r w:rsidRPr="001D5BD1">
              <w:rPr>
                <w:rFonts w:ascii="Arial" w:hAnsi="Arial" w:cs="Arial"/>
                <w:sz w:val="20"/>
                <w:szCs w:val="20"/>
                <w:lang w:val="fr-FR"/>
              </w:rPr>
              <w:t>Raskin</w:t>
            </w:r>
            <w:proofErr w:type="spellEnd"/>
            <w:r w:rsidRPr="001D5BD1">
              <w:rPr>
                <w:rFonts w:ascii="Arial" w:hAnsi="Arial" w:cs="Arial"/>
                <w:sz w:val="20"/>
                <w:szCs w:val="20"/>
                <w:lang w:val="fr-FR"/>
              </w:rPr>
              <w:t xml:space="preserve"> et al. (1965)</w:t>
            </w:r>
            <w:r w:rsidRPr="001D5BD1">
              <w:rPr>
                <w:rFonts w:ascii="Arial" w:hAnsi="Arial" w:cs="Arial"/>
                <w:sz w:val="20"/>
                <w:szCs w:val="20"/>
                <w:vertAlign w:val="superscript"/>
                <w:lang w:val="fr-FR"/>
              </w:rPr>
              <w:t>9</w:t>
            </w:r>
          </w:p>
          <w:p w14:paraId="3ACB0A4E" w14:textId="77777777" w:rsidR="00051392" w:rsidRPr="00461BC9" w:rsidRDefault="00051392" w:rsidP="00051392">
            <w:pPr>
              <w:spacing w:line="480" w:lineRule="auto"/>
              <w:jc w:val="center"/>
              <w:rPr>
                <w:rFonts w:ascii="Arial" w:hAnsi="Arial" w:cs="Arial"/>
                <w:sz w:val="20"/>
                <w:szCs w:val="20"/>
              </w:rPr>
            </w:pPr>
            <w:r w:rsidRPr="001D5BD1">
              <w:rPr>
                <w:rFonts w:ascii="Arial" w:hAnsi="Arial" w:cs="Arial"/>
                <w:sz w:val="20"/>
                <w:szCs w:val="20"/>
                <w:lang w:val="fr-FR"/>
              </w:rPr>
              <w:t xml:space="preserve">Nair et al. </w:t>
            </w:r>
            <w:r w:rsidRPr="00461BC9">
              <w:rPr>
                <w:rFonts w:ascii="Arial" w:hAnsi="Arial" w:cs="Arial"/>
                <w:sz w:val="20"/>
                <w:szCs w:val="20"/>
              </w:rPr>
              <w:t>(</w:t>
            </w:r>
            <w:r w:rsidRPr="00310B97">
              <w:rPr>
                <w:rFonts w:ascii="Arial" w:hAnsi="Arial" w:cs="Arial"/>
                <w:sz w:val="20"/>
                <w:szCs w:val="20"/>
              </w:rPr>
              <w:t>1976</w:t>
            </w:r>
            <w:r w:rsidRPr="00461BC9">
              <w:rPr>
                <w:rFonts w:ascii="Arial" w:hAnsi="Arial" w:cs="Arial"/>
                <w:sz w:val="20"/>
                <w:szCs w:val="20"/>
              </w:rPr>
              <w:t>)</w:t>
            </w:r>
            <w:r>
              <w:rPr>
                <w:rFonts w:ascii="Arial" w:hAnsi="Arial" w:cs="Arial"/>
                <w:sz w:val="20"/>
                <w:szCs w:val="20"/>
                <w:vertAlign w:val="superscript"/>
                <w:lang w:val="en-SG"/>
              </w:rPr>
              <w:t>10</w:t>
            </w:r>
          </w:p>
          <w:p w14:paraId="1A571CE4" w14:textId="77777777" w:rsidR="00051392" w:rsidRPr="00461BC9" w:rsidRDefault="00051392" w:rsidP="00051392">
            <w:pPr>
              <w:spacing w:line="480" w:lineRule="auto"/>
              <w:jc w:val="center"/>
              <w:rPr>
                <w:rFonts w:ascii="Arial" w:hAnsi="Arial" w:cs="Arial"/>
                <w:sz w:val="20"/>
                <w:szCs w:val="20"/>
              </w:rPr>
            </w:pPr>
            <w:r w:rsidRPr="00310B97">
              <w:rPr>
                <w:rFonts w:ascii="Arial" w:hAnsi="Arial" w:cs="Arial"/>
                <w:sz w:val="20"/>
                <w:szCs w:val="20"/>
              </w:rPr>
              <w:t>Hoyumpa M</w:t>
            </w:r>
            <w:r>
              <w:rPr>
                <w:rFonts w:ascii="Arial" w:hAnsi="Arial" w:cs="Arial"/>
                <w:sz w:val="20"/>
                <w:szCs w:val="20"/>
              </w:rPr>
              <w:t xml:space="preserve"> </w:t>
            </w:r>
            <w:r>
              <w:rPr>
                <w:rFonts w:ascii="Arial" w:hAnsi="Arial" w:cs="Arial"/>
                <w:sz w:val="20"/>
                <w:szCs w:val="20"/>
                <w:lang w:val="en-SG"/>
              </w:rPr>
              <w:t>et al.</w:t>
            </w:r>
            <w:r w:rsidRPr="00310B97">
              <w:rPr>
                <w:rFonts w:ascii="Arial" w:hAnsi="Arial" w:cs="Arial"/>
                <w:sz w:val="20"/>
                <w:szCs w:val="20"/>
              </w:rPr>
              <w:t xml:space="preserve"> </w:t>
            </w:r>
            <w:r w:rsidRPr="00461BC9">
              <w:rPr>
                <w:rFonts w:ascii="Arial" w:hAnsi="Arial" w:cs="Arial"/>
                <w:sz w:val="20"/>
                <w:szCs w:val="20"/>
              </w:rPr>
              <w:t>(</w:t>
            </w:r>
            <w:r w:rsidRPr="00310B97">
              <w:rPr>
                <w:rFonts w:ascii="Arial" w:hAnsi="Arial" w:cs="Arial"/>
                <w:sz w:val="20"/>
                <w:szCs w:val="20"/>
              </w:rPr>
              <w:t>198</w:t>
            </w:r>
            <w:r w:rsidRPr="00461BC9">
              <w:rPr>
                <w:rFonts w:ascii="Arial" w:hAnsi="Arial" w:cs="Arial"/>
                <w:sz w:val="20"/>
                <w:szCs w:val="20"/>
              </w:rPr>
              <w:t>6)</w:t>
            </w:r>
            <w:r>
              <w:rPr>
                <w:rFonts w:ascii="Arial" w:hAnsi="Arial" w:cs="Arial"/>
                <w:sz w:val="20"/>
                <w:szCs w:val="20"/>
                <w:vertAlign w:val="superscript"/>
                <w:lang w:val="en-SG"/>
              </w:rPr>
              <w:t>11</w:t>
            </w:r>
          </w:p>
          <w:p w14:paraId="1AFC2668" w14:textId="77777777" w:rsidR="00051392" w:rsidRPr="00461BC9" w:rsidRDefault="00051392" w:rsidP="00051392">
            <w:pPr>
              <w:spacing w:line="480" w:lineRule="auto"/>
              <w:jc w:val="center"/>
              <w:rPr>
                <w:rFonts w:ascii="Arial" w:hAnsi="Arial" w:cs="Arial"/>
                <w:sz w:val="20"/>
                <w:szCs w:val="20"/>
              </w:rPr>
            </w:pPr>
            <w:r>
              <w:rPr>
                <w:rFonts w:ascii="Arial" w:hAnsi="Arial" w:cs="Arial"/>
                <w:sz w:val="20"/>
                <w:szCs w:val="20"/>
              </w:rPr>
              <w:t>World Health Organization</w:t>
            </w:r>
            <w:r w:rsidRPr="00461BC9">
              <w:rPr>
                <w:rFonts w:ascii="Arial" w:hAnsi="Arial" w:cs="Arial"/>
                <w:sz w:val="20"/>
                <w:szCs w:val="20"/>
              </w:rPr>
              <w:t xml:space="preserve"> (</w:t>
            </w:r>
            <w:r w:rsidRPr="00310B97">
              <w:rPr>
                <w:rFonts w:ascii="Arial" w:hAnsi="Arial" w:cs="Arial"/>
                <w:sz w:val="20"/>
                <w:szCs w:val="20"/>
              </w:rPr>
              <w:t>200</w:t>
            </w:r>
            <w:r w:rsidRPr="00461BC9">
              <w:rPr>
                <w:rFonts w:ascii="Arial" w:hAnsi="Arial" w:cs="Arial"/>
                <w:sz w:val="20"/>
                <w:szCs w:val="20"/>
              </w:rPr>
              <w:t>4)</w:t>
            </w:r>
            <w:r>
              <w:rPr>
                <w:rFonts w:ascii="Arial" w:hAnsi="Arial" w:cs="Arial"/>
                <w:sz w:val="20"/>
                <w:szCs w:val="20"/>
                <w:vertAlign w:val="superscript"/>
                <w:lang w:val="en-SG"/>
              </w:rPr>
              <w:t>12</w:t>
            </w:r>
          </w:p>
          <w:p w14:paraId="6D1920C6" w14:textId="565A1382" w:rsidR="00051392" w:rsidRPr="00461BC9" w:rsidRDefault="00051392" w:rsidP="00051392">
            <w:pPr>
              <w:spacing w:line="480" w:lineRule="auto"/>
              <w:jc w:val="center"/>
              <w:rPr>
                <w:rFonts w:ascii="Arial" w:hAnsi="Arial" w:cs="Arial"/>
                <w:sz w:val="20"/>
                <w:szCs w:val="20"/>
              </w:rPr>
            </w:pPr>
            <w:proofErr w:type="spellStart"/>
            <w:r w:rsidRPr="00310B97">
              <w:rPr>
                <w:rFonts w:ascii="Arial" w:hAnsi="Arial" w:cs="Arial"/>
                <w:sz w:val="20"/>
                <w:szCs w:val="20"/>
              </w:rPr>
              <w:t>Ghavanini</w:t>
            </w:r>
            <w:proofErr w:type="spellEnd"/>
            <w:r w:rsidRPr="00310B97">
              <w:rPr>
                <w:rFonts w:ascii="Arial" w:hAnsi="Arial" w:cs="Arial"/>
                <w:sz w:val="20"/>
                <w:szCs w:val="20"/>
              </w:rPr>
              <w:t xml:space="preserve"> </w:t>
            </w:r>
            <w:r>
              <w:rPr>
                <w:rFonts w:ascii="Arial" w:hAnsi="Arial" w:cs="Arial"/>
                <w:sz w:val="20"/>
                <w:szCs w:val="20"/>
                <w:lang w:val="en-SG"/>
              </w:rPr>
              <w:t>et al.</w:t>
            </w:r>
            <w:r>
              <w:rPr>
                <w:rFonts w:ascii="Arial" w:hAnsi="Arial" w:cs="Arial"/>
                <w:sz w:val="20"/>
                <w:szCs w:val="20"/>
              </w:rPr>
              <w:t xml:space="preserve"> </w:t>
            </w:r>
            <w:r w:rsidRPr="00461BC9">
              <w:rPr>
                <w:rFonts w:ascii="Arial" w:hAnsi="Arial" w:cs="Arial"/>
                <w:sz w:val="20"/>
                <w:szCs w:val="20"/>
              </w:rPr>
              <w:t>(</w:t>
            </w:r>
            <w:r w:rsidRPr="00310B97">
              <w:rPr>
                <w:rFonts w:ascii="Arial" w:hAnsi="Arial" w:cs="Arial"/>
                <w:sz w:val="20"/>
                <w:szCs w:val="20"/>
              </w:rPr>
              <w:t>2014</w:t>
            </w:r>
            <w:r w:rsidRPr="00461BC9">
              <w:rPr>
                <w:rFonts w:ascii="Arial" w:hAnsi="Arial" w:cs="Arial"/>
                <w:sz w:val="20"/>
                <w:szCs w:val="20"/>
              </w:rPr>
              <w:t>)</w:t>
            </w:r>
            <w:r>
              <w:rPr>
                <w:rFonts w:ascii="Arial" w:hAnsi="Arial" w:cs="Arial"/>
                <w:sz w:val="20"/>
                <w:szCs w:val="20"/>
                <w:vertAlign w:val="superscript"/>
                <w:lang w:val="en-SG"/>
              </w:rPr>
              <w:t>13</w:t>
            </w:r>
          </w:p>
        </w:tc>
      </w:tr>
      <w:tr w:rsidR="00051392" w:rsidRPr="00461BC9" w14:paraId="779EF49F" w14:textId="77777777" w:rsidTr="00A6338B">
        <w:trPr>
          <w:trHeight w:val="1970"/>
        </w:trPr>
        <w:tc>
          <w:tcPr>
            <w:tcW w:w="0" w:type="auto"/>
          </w:tcPr>
          <w:p w14:paraId="6201E24A" w14:textId="77777777" w:rsidR="00051392" w:rsidRPr="00461BC9" w:rsidRDefault="00051392" w:rsidP="00051392">
            <w:pPr>
              <w:spacing w:line="480" w:lineRule="auto"/>
              <w:rPr>
                <w:rFonts w:ascii="Arial" w:hAnsi="Arial" w:cs="Arial"/>
                <w:sz w:val="20"/>
                <w:szCs w:val="20"/>
              </w:rPr>
            </w:pPr>
            <w:r w:rsidRPr="00461BC9">
              <w:rPr>
                <w:rFonts w:ascii="Arial" w:hAnsi="Arial" w:cs="Arial"/>
                <w:sz w:val="20"/>
                <w:szCs w:val="20"/>
              </w:rPr>
              <w:t>3</w:t>
            </w:r>
          </w:p>
        </w:tc>
        <w:tc>
          <w:tcPr>
            <w:tcW w:w="0" w:type="auto"/>
          </w:tcPr>
          <w:p w14:paraId="7D532159" w14:textId="77777777" w:rsidR="00051392" w:rsidRPr="00461BC9" w:rsidRDefault="00051392" w:rsidP="00051392">
            <w:pPr>
              <w:spacing w:line="480" w:lineRule="auto"/>
              <w:rPr>
                <w:rFonts w:ascii="Arial" w:hAnsi="Arial" w:cs="Arial"/>
                <w:sz w:val="20"/>
                <w:szCs w:val="20"/>
              </w:rPr>
            </w:pPr>
            <w:r w:rsidRPr="00461BC9">
              <w:rPr>
                <w:rFonts w:ascii="Arial" w:hAnsi="Arial" w:cs="Arial"/>
                <w:sz w:val="20"/>
                <w:szCs w:val="20"/>
              </w:rPr>
              <w:t xml:space="preserve">Clear dose and duration recommendations associated with neuropathy etiology, patient risk groups, or symptoms severity have not been established. Clinicians should carefully evaluate each patient’s individual condition when deciding dosage and duration. Based on published literature and expert clinical practices, the following tolerable (maximum) daily dosage and associated duration of vitamin B6 intake is recommended for peripheral neuropathy as shown in Table 2. </w:t>
            </w:r>
          </w:p>
        </w:tc>
        <w:tc>
          <w:tcPr>
            <w:tcW w:w="0" w:type="auto"/>
            <w:vAlign w:val="center"/>
          </w:tcPr>
          <w:p w14:paraId="4039DB29" w14:textId="77777777" w:rsidR="00051392" w:rsidRPr="00461BC9" w:rsidRDefault="00051392" w:rsidP="00051392">
            <w:pPr>
              <w:spacing w:line="480" w:lineRule="auto"/>
              <w:jc w:val="center"/>
              <w:rPr>
                <w:rFonts w:ascii="Arial" w:hAnsi="Arial" w:cs="Arial"/>
                <w:sz w:val="20"/>
                <w:szCs w:val="20"/>
                <w:lang w:val="en-SG"/>
              </w:rPr>
            </w:pPr>
            <w:r w:rsidRPr="00461BC9">
              <w:rPr>
                <w:rFonts w:ascii="Arial" w:hAnsi="Arial" w:cs="Arial"/>
                <w:sz w:val="20"/>
                <w:szCs w:val="20"/>
                <w:lang w:val="en-SG"/>
              </w:rPr>
              <w:t>Institute of Medicine (US) Standing Committee on the Scientific Evaluation of Dietary Reference Intakes and its Panel on Folate, Other B Vitamins, and Choline (1998)</w:t>
            </w:r>
            <w:r>
              <w:rPr>
                <w:rFonts w:ascii="Arial" w:hAnsi="Arial" w:cs="Arial"/>
                <w:sz w:val="20"/>
                <w:szCs w:val="20"/>
                <w:vertAlign w:val="superscript"/>
                <w:lang w:val="en-SG"/>
              </w:rPr>
              <w:t>14</w:t>
            </w:r>
          </w:p>
          <w:p w14:paraId="069995C1" w14:textId="77777777" w:rsidR="00051392" w:rsidRPr="00461BC9" w:rsidRDefault="00051392" w:rsidP="00051392">
            <w:pPr>
              <w:spacing w:line="480" w:lineRule="auto"/>
              <w:jc w:val="center"/>
              <w:rPr>
                <w:rFonts w:ascii="Arial" w:hAnsi="Arial" w:cs="Arial"/>
                <w:sz w:val="20"/>
                <w:szCs w:val="20"/>
                <w:lang w:val="en-SG"/>
              </w:rPr>
            </w:pPr>
            <w:r w:rsidRPr="00310B97">
              <w:rPr>
                <w:rFonts w:ascii="Arial" w:hAnsi="Arial" w:cs="Arial"/>
                <w:sz w:val="20"/>
                <w:szCs w:val="20"/>
                <w:lang w:val="en-SG"/>
              </w:rPr>
              <w:t>National Health and Medical Research Council</w:t>
            </w:r>
            <w:r w:rsidRPr="00461BC9">
              <w:rPr>
                <w:rFonts w:ascii="Arial" w:hAnsi="Arial" w:cs="Arial"/>
                <w:sz w:val="20"/>
                <w:szCs w:val="20"/>
                <w:lang w:val="en-SG"/>
              </w:rPr>
              <w:t>,</w:t>
            </w:r>
            <w:r w:rsidRPr="00310B97">
              <w:rPr>
                <w:rFonts w:ascii="Arial" w:hAnsi="Arial" w:cs="Arial"/>
                <w:sz w:val="20"/>
                <w:szCs w:val="20"/>
                <w:lang w:val="en-SG"/>
              </w:rPr>
              <w:t xml:space="preserve"> Ministry of Health</w:t>
            </w:r>
            <w:r w:rsidRPr="00461BC9">
              <w:rPr>
                <w:rFonts w:ascii="Arial" w:hAnsi="Arial" w:cs="Arial"/>
                <w:sz w:val="20"/>
                <w:szCs w:val="20"/>
                <w:lang w:val="en-SG"/>
              </w:rPr>
              <w:t xml:space="preserve"> (</w:t>
            </w:r>
            <w:r w:rsidRPr="00310B97">
              <w:rPr>
                <w:rFonts w:ascii="Arial" w:hAnsi="Arial" w:cs="Arial"/>
                <w:sz w:val="20"/>
                <w:szCs w:val="20"/>
                <w:lang w:val="en-SG"/>
              </w:rPr>
              <w:t>2006</w:t>
            </w:r>
            <w:r w:rsidRPr="00461BC9">
              <w:rPr>
                <w:rFonts w:ascii="Arial" w:hAnsi="Arial" w:cs="Arial"/>
                <w:sz w:val="20"/>
                <w:szCs w:val="20"/>
                <w:lang w:val="en-SG"/>
              </w:rPr>
              <w:t>)</w:t>
            </w:r>
            <w:r>
              <w:rPr>
                <w:rFonts w:ascii="Arial" w:hAnsi="Arial" w:cs="Arial"/>
                <w:sz w:val="20"/>
                <w:szCs w:val="20"/>
                <w:vertAlign w:val="superscript"/>
                <w:lang w:val="en-SG"/>
              </w:rPr>
              <w:t>15</w:t>
            </w:r>
          </w:p>
          <w:p w14:paraId="4D12C921" w14:textId="77777777" w:rsidR="00051392" w:rsidRPr="001D5BD1" w:rsidRDefault="00051392" w:rsidP="00051392">
            <w:pPr>
              <w:spacing w:line="480" w:lineRule="auto"/>
              <w:jc w:val="center"/>
              <w:rPr>
                <w:rFonts w:ascii="Arial" w:hAnsi="Arial" w:cs="Arial"/>
                <w:sz w:val="20"/>
                <w:szCs w:val="20"/>
                <w:lang w:val="fr-FR"/>
              </w:rPr>
            </w:pPr>
            <w:r w:rsidRPr="001D5BD1">
              <w:rPr>
                <w:rFonts w:ascii="Arial" w:hAnsi="Arial" w:cs="Arial"/>
                <w:sz w:val="20"/>
                <w:szCs w:val="20"/>
                <w:lang w:val="fr-FR"/>
              </w:rPr>
              <w:t>Bernstein et al. (1990)</w:t>
            </w:r>
            <w:r w:rsidRPr="001D5BD1">
              <w:rPr>
                <w:rFonts w:ascii="Arial" w:hAnsi="Arial" w:cs="Arial"/>
                <w:sz w:val="20"/>
                <w:szCs w:val="20"/>
                <w:vertAlign w:val="superscript"/>
                <w:lang w:val="fr-FR"/>
              </w:rPr>
              <w:t>16</w:t>
            </w:r>
          </w:p>
          <w:p w14:paraId="64BAE3C8" w14:textId="77777777" w:rsidR="00051392" w:rsidRPr="001D5BD1" w:rsidRDefault="00051392" w:rsidP="00051392">
            <w:pPr>
              <w:spacing w:line="480" w:lineRule="auto"/>
              <w:jc w:val="center"/>
              <w:rPr>
                <w:rFonts w:ascii="Arial" w:hAnsi="Arial" w:cs="Arial"/>
                <w:sz w:val="20"/>
                <w:szCs w:val="20"/>
                <w:lang w:val="fr-FR"/>
              </w:rPr>
            </w:pPr>
            <w:proofErr w:type="spellStart"/>
            <w:r w:rsidRPr="001D5BD1">
              <w:rPr>
                <w:rFonts w:ascii="Arial" w:hAnsi="Arial" w:cs="Arial"/>
                <w:sz w:val="20"/>
                <w:szCs w:val="20"/>
                <w:lang w:val="fr-FR"/>
              </w:rPr>
              <w:lastRenderedPageBreak/>
              <w:t>Pietrzik</w:t>
            </w:r>
            <w:proofErr w:type="spellEnd"/>
            <w:r w:rsidRPr="001D5BD1">
              <w:rPr>
                <w:rFonts w:ascii="Arial" w:hAnsi="Arial" w:cs="Arial"/>
                <w:sz w:val="20"/>
                <w:szCs w:val="20"/>
                <w:lang w:val="fr-FR"/>
              </w:rPr>
              <w:t xml:space="preserve"> et al. (1991)</w:t>
            </w:r>
            <w:r w:rsidRPr="001D5BD1">
              <w:rPr>
                <w:rFonts w:ascii="Arial" w:hAnsi="Arial" w:cs="Arial"/>
                <w:sz w:val="20"/>
                <w:szCs w:val="20"/>
                <w:vertAlign w:val="superscript"/>
                <w:lang w:val="fr-FR"/>
              </w:rPr>
              <w:t>17</w:t>
            </w:r>
          </w:p>
          <w:p w14:paraId="70C165F7" w14:textId="77777777" w:rsidR="00051392" w:rsidRPr="001D5BD1" w:rsidRDefault="00051392" w:rsidP="00051392">
            <w:pPr>
              <w:spacing w:line="480" w:lineRule="auto"/>
              <w:jc w:val="center"/>
              <w:rPr>
                <w:rFonts w:ascii="Arial" w:hAnsi="Arial" w:cs="Arial"/>
                <w:sz w:val="20"/>
                <w:szCs w:val="20"/>
                <w:lang w:val="fr-FR"/>
              </w:rPr>
            </w:pPr>
            <w:proofErr w:type="spellStart"/>
            <w:r w:rsidRPr="001D5BD1">
              <w:rPr>
                <w:rFonts w:ascii="Arial" w:hAnsi="Arial" w:cs="Arial"/>
                <w:sz w:val="20"/>
                <w:szCs w:val="20"/>
                <w:lang w:val="fr-FR"/>
              </w:rPr>
              <w:t>Janka</w:t>
            </w:r>
            <w:proofErr w:type="spellEnd"/>
            <w:r w:rsidRPr="001D5BD1">
              <w:rPr>
                <w:rFonts w:ascii="Arial" w:hAnsi="Arial" w:cs="Arial"/>
                <w:sz w:val="20"/>
                <w:szCs w:val="20"/>
                <w:lang w:val="fr-FR"/>
              </w:rPr>
              <w:t xml:space="preserve"> et al. (1991</w:t>
            </w:r>
            <w:r w:rsidRPr="001D5BD1">
              <w:rPr>
                <w:rFonts w:ascii="Arial" w:hAnsi="Arial" w:cs="Arial"/>
                <w:sz w:val="20"/>
                <w:szCs w:val="20"/>
                <w:vertAlign w:val="superscript"/>
                <w:lang w:val="fr-FR"/>
              </w:rPr>
              <w:t>18</w:t>
            </w:r>
          </w:p>
          <w:p w14:paraId="4671ADAA" w14:textId="77777777" w:rsidR="00051392" w:rsidRPr="001D5BD1" w:rsidRDefault="00051392" w:rsidP="00051392">
            <w:pPr>
              <w:spacing w:line="480" w:lineRule="auto"/>
              <w:jc w:val="center"/>
              <w:rPr>
                <w:rFonts w:ascii="Arial" w:hAnsi="Arial" w:cs="Arial"/>
                <w:sz w:val="20"/>
                <w:szCs w:val="20"/>
                <w:lang w:val="fr-FR"/>
              </w:rPr>
            </w:pPr>
            <w:r w:rsidRPr="001D5BD1">
              <w:rPr>
                <w:rFonts w:ascii="Arial" w:hAnsi="Arial" w:cs="Arial"/>
                <w:sz w:val="20"/>
                <w:szCs w:val="20"/>
                <w:lang w:val="fr-FR"/>
              </w:rPr>
              <w:t>Coughlin et al (2021)</w:t>
            </w:r>
            <w:r w:rsidRPr="001D5BD1">
              <w:rPr>
                <w:rFonts w:ascii="Arial" w:hAnsi="Arial" w:cs="Arial"/>
                <w:sz w:val="20"/>
                <w:szCs w:val="20"/>
                <w:vertAlign w:val="superscript"/>
                <w:lang w:val="fr-FR"/>
              </w:rPr>
              <w:t>19</w:t>
            </w:r>
          </w:p>
          <w:p w14:paraId="12203332" w14:textId="77777777" w:rsidR="00051392" w:rsidRPr="00461BC9" w:rsidRDefault="00051392" w:rsidP="00051392">
            <w:pPr>
              <w:spacing w:line="480" w:lineRule="auto"/>
              <w:jc w:val="center"/>
              <w:rPr>
                <w:rFonts w:ascii="Arial" w:hAnsi="Arial" w:cs="Arial"/>
                <w:sz w:val="20"/>
                <w:szCs w:val="20"/>
                <w:lang w:val="en-SG"/>
              </w:rPr>
            </w:pPr>
            <w:r w:rsidRPr="00461BC9">
              <w:rPr>
                <w:rFonts w:ascii="Arial" w:hAnsi="Arial" w:cs="Arial"/>
                <w:sz w:val="20"/>
                <w:szCs w:val="20"/>
                <w:lang w:val="en-SG"/>
              </w:rPr>
              <w:t>T</w:t>
            </w:r>
            <w:r w:rsidRPr="00310B97">
              <w:rPr>
                <w:rFonts w:ascii="Arial" w:hAnsi="Arial" w:cs="Arial"/>
                <w:sz w:val="20"/>
                <w:szCs w:val="20"/>
                <w:lang w:val="en-SG"/>
              </w:rPr>
              <w:t>herapeutic Goods Administration (TGA)</w:t>
            </w:r>
            <w:r w:rsidRPr="00461BC9">
              <w:rPr>
                <w:rFonts w:ascii="Arial" w:hAnsi="Arial" w:cs="Arial"/>
                <w:sz w:val="20"/>
                <w:szCs w:val="20"/>
                <w:lang w:val="en-SG"/>
              </w:rPr>
              <w:t xml:space="preserve"> (</w:t>
            </w:r>
            <w:r w:rsidRPr="00310B97">
              <w:rPr>
                <w:rFonts w:ascii="Arial" w:hAnsi="Arial" w:cs="Arial"/>
                <w:sz w:val="20"/>
                <w:szCs w:val="20"/>
                <w:lang w:val="en-SG"/>
              </w:rPr>
              <w:t>2022</w:t>
            </w:r>
            <w:r w:rsidRPr="00461BC9">
              <w:rPr>
                <w:rFonts w:ascii="Arial" w:hAnsi="Arial" w:cs="Arial"/>
                <w:sz w:val="20"/>
                <w:szCs w:val="20"/>
                <w:lang w:val="en-SG"/>
              </w:rPr>
              <w:t>)</w:t>
            </w:r>
            <w:r>
              <w:rPr>
                <w:rFonts w:ascii="Arial" w:hAnsi="Arial" w:cs="Arial"/>
                <w:sz w:val="20"/>
                <w:szCs w:val="20"/>
                <w:vertAlign w:val="superscript"/>
                <w:lang w:val="en-SG"/>
              </w:rPr>
              <w:t>20</w:t>
            </w:r>
          </w:p>
          <w:p w14:paraId="52ADFBBA" w14:textId="7858AFDF" w:rsidR="00051392" w:rsidRPr="00461BC9" w:rsidRDefault="00051392" w:rsidP="00051392">
            <w:pPr>
              <w:spacing w:line="480" w:lineRule="auto"/>
              <w:jc w:val="center"/>
              <w:rPr>
                <w:rFonts w:ascii="Arial" w:hAnsi="Arial" w:cs="Arial"/>
                <w:sz w:val="20"/>
                <w:szCs w:val="20"/>
                <w:lang w:val="en-SG"/>
              </w:rPr>
            </w:pPr>
            <w:r w:rsidRPr="00310B97">
              <w:rPr>
                <w:rFonts w:ascii="Arial" w:hAnsi="Arial" w:cs="Arial"/>
                <w:sz w:val="20"/>
                <w:szCs w:val="20"/>
                <w:lang w:val="en-SG"/>
              </w:rPr>
              <w:t>Health Sciences Authority (</w:t>
            </w:r>
            <w:r w:rsidRPr="00461BC9">
              <w:rPr>
                <w:rFonts w:ascii="Arial" w:hAnsi="Arial" w:cs="Arial"/>
                <w:sz w:val="20"/>
                <w:szCs w:val="20"/>
                <w:lang w:val="en-SG"/>
              </w:rPr>
              <w:t>HS</w:t>
            </w:r>
            <w:r>
              <w:rPr>
                <w:rFonts w:ascii="Arial" w:hAnsi="Arial" w:cs="Arial"/>
                <w:sz w:val="20"/>
                <w:szCs w:val="20"/>
                <w:lang w:val="en-SG"/>
              </w:rPr>
              <w:t>A</w:t>
            </w:r>
            <w:r w:rsidRPr="00461BC9">
              <w:rPr>
                <w:rFonts w:ascii="Arial" w:hAnsi="Arial" w:cs="Arial"/>
                <w:sz w:val="20"/>
                <w:szCs w:val="20"/>
                <w:lang w:val="en-SG"/>
              </w:rPr>
              <w:t>) (2023)</w:t>
            </w:r>
            <w:r>
              <w:rPr>
                <w:rFonts w:ascii="Arial" w:hAnsi="Arial" w:cs="Arial"/>
                <w:sz w:val="20"/>
                <w:szCs w:val="20"/>
                <w:vertAlign w:val="superscript"/>
                <w:lang w:val="en-SG"/>
              </w:rPr>
              <w:t>21</w:t>
            </w:r>
          </w:p>
        </w:tc>
      </w:tr>
      <w:tr w:rsidR="00051392" w:rsidRPr="00461BC9" w14:paraId="15AA757E" w14:textId="77777777" w:rsidTr="00A6338B">
        <w:trPr>
          <w:trHeight w:val="841"/>
        </w:trPr>
        <w:tc>
          <w:tcPr>
            <w:tcW w:w="0" w:type="auto"/>
          </w:tcPr>
          <w:p w14:paraId="281B60BD" w14:textId="77777777" w:rsidR="00051392" w:rsidRPr="00461BC9" w:rsidRDefault="00051392" w:rsidP="00051392">
            <w:pPr>
              <w:spacing w:line="480" w:lineRule="auto"/>
              <w:rPr>
                <w:rFonts w:ascii="Arial" w:hAnsi="Arial" w:cs="Arial"/>
                <w:sz w:val="20"/>
                <w:szCs w:val="20"/>
              </w:rPr>
            </w:pPr>
            <w:r w:rsidRPr="00461BC9">
              <w:rPr>
                <w:rFonts w:ascii="Arial" w:hAnsi="Arial" w:cs="Arial"/>
                <w:sz w:val="20"/>
                <w:szCs w:val="20"/>
              </w:rPr>
              <w:lastRenderedPageBreak/>
              <w:t>4</w:t>
            </w:r>
          </w:p>
        </w:tc>
        <w:tc>
          <w:tcPr>
            <w:tcW w:w="0" w:type="auto"/>
          </w:tcPr>
          <w:p w14:paraId="3D5AF892" w14:textId="77777777" w:rsidR="00051392" w:rsidRPr="00461BC9" w:rsidRDefault="00051392" w:rsidP="00051392">
            <w:pPr>
              <w:spacing w:line="480" w:lineRule="auto"/>
              <w:rPr>
                <w:rFonts w:ascii="Arial" w:hAnsi="Arial" w:cs="Arial"/>
                <w:sz w:val="20"/>
                <w:szCs w:val="20"/>
              </w:rPr>
            </w:pPr>
            <w:r w:rsidRPr="00461BC9">
              <w:rPr>
                <w:rFonts w:ascii="Arial" w:hAnsi="Arial" w:cs="Arial"/>
                <w:sz w:val="20"/>
                <w:szCs w:val="20"/>
              </w:rPr>
              <w:t>Vitamin B6-induced neurological adverse events have been reported in high therapeutic dose and long-term usage. However, these are generally rare and may be reversible upon treatment cessation when recognized early. Regular monitoring by healthcare professionals, screening for history of vitamin consumption is key to early detection of adverse events.</w:t>
            </w:r>
          </w:p>
        </w:tc>
        <w:tc>
          <w:tcPr>
            <w:tcW w:w="0" w:type="auto"/>
            <w:vAlign w:val="center"/>
          </w:tcPr>
          <w:p w14:paraId="63FC3481" w14:textId="77777777" w:rsidR="00051392" w:rsidRPr="001D5BD1" w:rsidRDefault="00051392" w:rsidP="00051392">
            <w:pPr>
              <w:spacing w:line="480" w:lineRule="auto"/>
              <w:jc w:val="center"/>
              <w:rPr>
                <w:rFonts w:ascii="Arial" w:hAnsi="Arial" w:cs="Arial"/>
                <w:sz w:val="20"/>
                <w:szCs w:val="20"/>
                <w:lang w:val="fr-FR"/>
              </w:rPr>
            </w:pPr>
            <w:proofErr w:type="spellStart"/>
            <w:r w:rsidRPr="001D5BD1">
              <w:rPr>
                <w:rFonts w:ascii="Arial" w:hAnsi="Arial" w:cs="Arial"/>
                <w:sz w:val="20"/>
                <w:szCs w:val="20"/>
                <w:lang w:val="fr-FR"/>
              </w:rPr>
              <w:t>Vrolijk</w:t>
            </w:r>
            <w:proofErr w:type="spellEnd"/>
            <w:r w:rsidRPr="001D5BD1">
              <w:rPr>
                <w:rFonts w:ascii="Arial" w:hAnsi="Arial" w:cs="Arial"/>
                <w:sz w:val="20"/>
                <w:szCs w:val="20"/>
                <w:lang w:val="fr-FR"/>
              </w:rPr>
              <w:t xml:space="preserve"> et al. (2020)</w:t>
            </w:r>
            <w:r w:rsidRPr="001D5BD1">
              <w:rPr>
                <w:rFonts w:ascii="Arial" w:hAnsi="Arial" w:cs="Arial"/>
                <w:sz w:val="20"/>
                <w:szCs w:val="20"/>
                <w:vertAlign w:val="superscript"/>
                <w:lang w:val="fr-FR"/>
              </w:rPr>
              <w:t>22</w:t>
            </w:r>
          </w:p>
          <w:p w14:paraId="5D772F06" w14:textId="77777777" w:rsidR="00051392" w:rsidRPr="001D5BD1" w:rsidRDefault="00051392" w:rsidP="00051392">
            <w:pPr>
              <w:spacing w:line="480" w:lineRule="auto"/>
              <w:jc w:val="center"/>
              <w:rPr>
                <w:rFonts w:ascii="Arial" w:hAnsi="Arial" w:cs="Arial"/>
                <w:sz w:val="20"/>
                <w:szCs w:val="20"/>
                <w:lang w:val="fr-FR"/>
              </w:rPr>
            </w:pPr>
            <w:proofErr w:type="spellStart"/>
            <w:r w:rsidRPr="001D5BD1">
              <w:rPr>
                <w:rFonts w:ascii="Arial" w:hAnsi="Arial" w:cs="Arial"/>
                <w:sz w:val="20"/>
                <w:szCs w:val="20"/>
                <w:lang w:val="fr-FR"/>
              </w:rPr>
              <w:t>Muhamad</w:t>
            </w:r>
            <w:proofErr w:type="spellEnd"/>
            <w:r w:rsidRPr="001D5BD1">
              <w:rPr>
                <w:rFonts w:ascii="Arial" w:hAnsi="Arial" w:cs="Arial"/>
                <w:sz w:val="20"/>
                <w:szCs w:val="20"/>
                <w:lang w:val="fr-FR"/>
              </w:rPr>
              <w:t xml:space="preserve"> et al. (2023)</w:t>
            </w:r>
            <w:r w:rsidRPr="001D5BD1">
              <w:rPr>
                <w:rFonts w:ascii="Arial" w:hAnsi="Arial" w:cs="Arial"/>
                <w:sz w:val="20"/>
                <w:szCs w:val="20"/>
                <w:vertAlign w:val="superscript"/>
                <w:lang w:val="fr-FR"/>
              </w:rPr>
              <w:t>8</w:t>
            </w:r>
          </w:p>
          <w:p w14:paraId="4053E42D" w14:textId="77777777" w:rsidR="00051392" w:rsidRPr="001D5BD1" w:rsidRDefault="00051392" w:rsidP="00051392">
            <w:pPr>
              <w:spacing w:line="480" w:lineRule="auto"/>
              <w:jc w:val="center"/>
              <w:rPr>
                <w:rFonts w:ascii="Arial" w:hAnsi="Arial" w:cs="Arial"/>
                <w:sz w:val="20"/>
                <w:szCs w:val="20"/>
                <w:lang w:val="fr-FR"/>
              </w:rPr>
            </w:pPr>
            <w:r w:rsidRPr="001D5BD1">
              <w:rPr>
                <w:rFonts w:ascii="Arial" w:hAnsi="Arial" w:cs="Arial"/>
                <w:sz w:val="20"/>
                <w:szCs w:val="20"/>
                <w:lang w:val="fr-FR"/>
              </w:rPr>
              <w:t xml:space="preserve">Van </w:t>
            </w:r>
            <w:proofErr w:type="spellStart"/>
            <w:r w:rsidRPr="001D5BD1">
              <w:rPr>
                <w:rFonts w:ascii="Arial" w:hAnsi="Arial" w:cs="Arial"/>
                <w:sz w:val="20"/>
                <w:szCs w:val="20"/>
                <w:lang w:val="fr-FR"/>
              </w:rPr>
              <w:t>Hunsel</w:t>
            </w:r>
            <w:proofErr w:type="spellEnd"/>
            <w:r w:rsidRPr="001D5BD1">
              <w:rPr>
                <w:rFonts w:ascii="Arial" w:hAnsi="Arial" w:cs="Arial"/>
                <w:sz w:val="20"/>
                <w:szCs w:val="20"/>
                <w:lang w:val="fr-FR"/>
              </w:rPr>
              <w:t xml:space="preserve"> et al. (2018)</w:t>
            </w:r>
            <w:r w:rsidRPr="001D5BD1">
              <w:rPr>
                <w:rFonts w:ascii="Arial" w:hAnsi="Arial" w:cs="Arial"/>
                <w:sz w:val="20"/>
                <w:szCs w:val="20"/>
                <w:vertAlign w:val="superscript"/>
                <w:lang w:val="fr-FR"/>
              </w:rPr>
              <w:t>23</w:t>
            </w:r>
          </w:p>
          <w:p w14:paraId="6D657ADF" w14:textId="77777777" w:rsidR="00051392" w:rsidRPr="001D5BD1" w:rsidRDefault="00051392" w:rsidP="00051392">
            <w:pPr>
              <w:spacing w:line="480" w:lineRule="auto"/>
              <w:jc w:val="center"/>
              <w:rPr>
                <w:rFonts w:ascii="Arial" w:hAnsi="Arial" w:cs="Arial"/>
                <w:sz w:val="20"/>
                <w:szCs w:val="20"/>
                <w:lang w:val="fr-FR"/>
              </w:rPr>
            </w:pPr>
            <w:proofErr w:type="spellStart"/>
            <w:r w:rsidRPr="001D5BD1">
              <w:rPr>
                <w:rFonts w:ascii="Arial" w:hAnsi="Arial" w:cs="Arial"/>
                <w:sz w:val="20"/>
                <w:szCs w:val="20"/>
                <w:lang w:val="fr-FR"/>
              </w:rPr>
              <w:t>Hadtstein</w:t>
            </w:r>
            <w:proofErr w:type="spellEnd"/>
            <w:r w:rsidRPr="001D5BD1">
              <w:rPr>
                <w:rFonts w:ascii="Arial" w:hAnsi="Arial" w:cs="Arial"/>
                <w:sz w:val="20"/>
                <w:szCs w:val="20"/>
                <w:lang w:val="fr-FR"/>
              </w:rPr>
              <w:t xml:space="preserve"> et al. (2021)</w:t>
            </w:r>
            <w:r w:rsidRPr="001D5BD1">
              <w:rPr>
                <w:rFonts w:ascii="Arial" w:hAnsi="Arial" w:cs="Arial"/>
                <w:sz w:val="20"/>
                <w:szCs w:val="20"/>
                <w:vertAlign w:val="superscript"/>
                <w:lang w:val="fr-FR"/>
              </w:rPr>
              <w:t>24</w:t>
            </w:r>
          </w:p>
          <w:p w14:paraId="6927A5C2" w14:textId="77777777" w:rsidR="00051392" w:rsidRPr="001D5BD1" w:rsidRDefault="00051392" w:rsidP="00051392">
            <w:pPr>
              <w:spacing w:line="480" w:lineRule="auto"/>
              <w:jc w:val="center"/>
              <w:rPr>
                <w:rFonts w:ascii="Arial" w:hAnsi="Arial" w:cs="Arial"/>
                <w:sz w:val="20"/>
                <w:szCs w:val="20"/>
                <w:lang w:val="fr-FR"/>
              </w:rPr>
            </w:pPr>
            <w:proofErr w:type="spellStart"/>
            <w:r w:rsidRPr="001D5BD1">
              <w:rPr>
                <w:rFonts w:ascii="Arial" w:hAnsi="Arial" w:cs="Arial"/>
                <w:sz w:val="20"/>
                <w:szCs w:val="20"/>
                <w:lang w:val="fr-FR"/>
              </w:rPr>
              <w:t>Vrolijk</w:t>
            </w:r>
            <w:proofErr w:type="spellEnd"/>
            <w:r w:rsidRPr="001D5BD1">
              <w:rPr>
                <w:rFonts w:ascii="Arial" w:hAnsi="Arial" w:cs="Arial"/>
                <w:sz w:val="20"/>
                <w:szCs w:val="20"/>
                <w:lang w:val="fr-FR"/>
              </w:rPr>
              <w:t xml:space="preserve"> et al. (2017)</w:t>
            </w:r>
            <w:r w:rsidRPr="001D5BD1">
              <w:rPr>
                <w:rFonts w:ascii="Arial" w:hAnsi="Arial" w:cs="Arial"/>
                <w:sz w:val="20"/>
                <w:szCs w:val="20"/>
                <w:vertAlign w:val="superscript"/>
                <w:lang w:val="fr-FR"/>
              </w:rPr>
              <w:t>25</w:t>
            </w:r>
          </w:p>
          <w:p w14:paraId="310F0148" w14:textId="77777777" w:rsidR="00051392" w:rsidRPr="001D5BD1" w:rsidRDefault="00051392" w:rsidP="00051392">
            <w:pPr>
              <w:spacing w:line="480" w:lineRule="auto"/>
              <w:jc w:val="center"/>
              <w:rPr>
                <w:rFonts w:ascii="Arial" w:hAnsi="Arial" w:cs="Arial"/>
                <w:sz w:val="20"/>
                <w:szCs w:val="20"/>
                <w:lang w:val="fr-FR"/>
              </w:rPr>
            </w:pPr>
            <w:proofErr w:type="spellStart"/>
            <w:r w:rsidRPr="001D5BD1">
              <w:rPr>
                <w:rFonts w:ascii="Arial" w:hAnsi="Arial" w:cs="Arial"/>
                <w:sz w:val="20"/>
                <w:szCs w:val="20"/>
                <w:lang w:val="fr-FR"/>
              </w:rPr>
              <w:t>Sathienluckana</w:t>
            </w:r>
            <w:proofErr w:type="spellEnd"/>
            <w:r w:rsidRPr="001D5BD1">
              <w:rPr>
                <w:rFonts w:ascii="Arial" w:hAnsi="Arial" w:cs="Arial"/>
                <w:sz w:val="20"/>
                <w:szCs w:val="20"/>
                <w:lang w:val="fr-FR"/>
              </w:rPr>
              <w:t xml:space="preserve"> et al. (2024)</w:t>
            </w:r>
            <w:r w:rsidRPr="001D5BD1">
              <w:rPr>
                <w:rFonts w:ascii="Arial" w:hAnsi="Arial" w:cs="Arial"/>
                <w:sz w:val="20"/>
                <w:szCs w:val="20"/>
                <w:vertAlign w:val="superscript"/>
                <w:lang w:val="fr-FR"/>
              </w:rPr>
              <w:t>26</w:t>
            </w:r>
          </w:p>
          <w:p w14:paraId="27B10006" w14:textId="77777777" w:rsidR="00051392" w:rsidRPr="001D5BD1" w:rsidRDefault="00051392" w:rsidP="00051392">
            <w:pPr>
              <w:spacing w:line="480" w:lineRule="auto"/>
              <w:jc w:val="center"/>
              <w:rPr>
                <w:rFonts w:ascii="Arial" w:hAnsi="Arial" w:cs="Arial"/>
                <w:sz w:val="20"/>
                <w:szCs w:val="20"/>
                <w:lang w:val="fr-FR"/>
              </w:rPr>
            </w:pPr>
            <w:proofErr w:type="spellStart"/>
            <w:r w:rsidRPr="001D5BD1">
              <w:rPr>
                <w:rFonts w:ascii="Arial" w:hAnsi="Arial" w:cs="Arial"/>
                <w:sz w:val="20"/>
                <w:szCs w:val="20"/>
                <w:lang w:val="fr-FR"/>
              </w:rPr>
              <w:t>Echaniz</w:t>
            </w:r>
            <w:proofErr w:type="spellEnd"/>
            <w:r w:rsidRPr="001D5BD1">
              <w:rPr>
                <w:rFonts w:ascii="Arial" w:hAnsi="Arial" w:cs="Arial"/>
                <w:sz w:val="20"/>
                <w:szCs w:val="20"/>
                <w:lang w:val="fr-FR"/>
              </w:rPr>
              <w:t>-Laguna et al. (2018)</w:t>
            </w:r>
            <w:r w:rsidRPr="001D5BD1">
              <w:rPr>
                <w:rFonts w:ascii="Arial" w:hAnsi="Arial" w:cs="Arial"/>
                <w:sz w:val="20"/>
                <w:szCs w:val="20"/>
                <w:vertAlign w:val="superscript"/>
                <w:lang w:val="fr-FR"/>
              </w:rPr>
              <w:t>27</w:t>
            </w:r>
          </w:p>
          <w:p w14:paraId="4C5AA9FD" w14:textId="77777777" w:rsidR="00051392" w:rsidRPr="001D5BD1" w:rsidRDefault="00051392" w:rsidP="00051392">
            <w:pPr>
              <w:spacing w:line="480" w:lineRule="auto"/>
              <w:jc w:val="center"/>
              <w:rPr>
                <w:rFonts w:ascii="Arial" w:hAnsi="Arial" w:cs="Arial"/>
                <w:sz w:val="20"/>
                <w:szCs w:val="20"/>
                <w:lang w:val="fr-FR"/>
              </w:rPr>
            </w:pPr>
            <w:proofErr w:type="spellStart"/>
            <w:r w:rsidRPr="001D5BD1">
              <w:rPr>
                <w:rFonts w:ascii="Arial" w:hAnsi="Arial" w:cs="Arial"/>
                <w:sz w:val="20"/>
                <w:szCs w:val="20"/>
                <w:lang w:val="fr-FR"/>
              </w:rPr>
              <w:t>Kulkantrakorn</w:t>
            </w:r>
            <w:proofErr w:type="spellEnd"/>
            <w:r w:rsidRPr="001D5BD1">
              <w:rPr>
                <w:rFonts w:ascii="Arial" w:hAnsi="Arial" w:cs="Arial"/>
                <w:sz w:val="20"/>
                <w:szCs w:val="20"/>
                <w:lang w:val="fr-FR"/>
              </w:rPr>
              <w:t xml:space="preserve"> et al. (2014)</w:t>
            </w:r>
            <w:r w:rsidRPr="001D5BD1">
              <w:rPr>
                <w:rFonts w:ascii="Arial" w:hAnsi="Arial" w:cs="Arial"/>
                <w:sz w:val="20"/>
                <w:szCs w:val="20"/>
                <w:vertAlign w:val="superscript"/>
                <w:lang w:val="fr-FR"/>
              </w:rPr>
              <w:t>28</w:t>
            </w:r>
          </w:p>
          <w:p w14:paraId="4D383782" w14:textId="77777777" w:rsidR="00051392" w:rsidRPr="001D5BD1" w:rsidRDefault="00051392" w:rsidP="00051392">
            <w:pPr>
              <w:spacing w:line="480" w:lineRule="auto"/>
              <w:jc w:val="center"/>
              <w:rPr>
                <w:rFonts w:ascii="Arial" w:hAnsi="Arial" w:cs="Arial"/>
                <w:sz w:val="20"/>
                <w:szCs w:val="20"/>
                <w:lang w:val="fr-FR"/>
              </w:rPr>
            </w:pPr>
            <w:r w:rsidRPr="001D5BD1">
              <w:rPr>
                <w:rFonts w:ascii="Arial" w:hAnsi="Arial" w:cs="Arial"/>
                <w:sz w:val="20"/>
                <w:szCs w:val="20"/>
                <w:lang w:val="fr-FR"/>
              </w:rPr>
              <w:t>Visser et al. (2014)</w:t>
            </w:r>
            <w:r w:rsidRPr="001D5BD1">
              <w:rPr>
                <w:rFonts w:ascii="Arial" w:hAnsi="Arial" w:cs="Arial"/>
                <w:sz w:val="20"/>
                <w:szCs w:val="20"/>
                <w:vertAlign w:val="superscript"/>
                <w:lang w:val="fr-FR"/>
              </w:rPr>
              <w:t>29</w:t>
            </w:r>
          </w:p>
          <w:p w14:paraId="00B665F3" w14:textId="77777777" w:rsidR="00051392" w:rsidRPr="001D5BD1" w:rsidRDefault="00051392" w:rsidP="00051392">
            <w:pPr>
              <w:spacing w:line="480" w:lineRule="auto"/>
              <w:jc w:val="center"/>
              <w:rPr>
                <w:rFonts w:ascii="Arial" w:hAnsi="Arial" w:cs="Arial"/>
                <w:sz w:val="20"/>
                <w:szCs w:val="20"/>
                <w:lang w:val="fr-FR"/>
              </w:rPr>
            </w:pPr>
            <w:r w:rsidRPr="001D5BD1">
              <w:rPr>
                <w:rFonts w:ascii="Arial" w:hAnsi="Arial" w:cs="Arial"/>
                <w:sz w:val="20"/>
                <w:szCs w:val="20"/>
                <w:lang w:val="fr-FR"/>
              </w:rPr>
              <w:t>Dalton et al. (1987)</w:t>
            </w:r>
            <w:r w:rsidRPr="001D5BD1">
              <w:rPr>
                <w:rFonts w:ascii="Arial" w:hAnsi="Arial" w:cs="Arial"/>
                <w:sz w:val="20"/>
                <w:szCs w:val="20"/>
                <w:vertAlign w:val="superscript"/>
                <w:lang w:val="fr-FR"/>
              </w:rPr>
              <w:t>30</w:t>
            </w:r>
          </w:p>
          <w:p w14:paraId="7071C815" w14:textId="77777777" w:rsidR="00051392" w:rsidRPr="001D5BD1" w:rsidRDefault="00051392" w:rsidP="00051392">
            <w:pPr>
              <w:spacing w:line="480" w:lineRule="auto"/>
              <w:jc w:val="center"/>
              <w:rPr>
                <w:rFonts w:ascii="Arial" w:hAnsi="Arial" w:cs="Arial"/>
                <w:sz w:val="20"/>
                <w:szCs w:val="20"/>
                <w:lang w:val="fr-FR"/>
              </w:rPr>
            </w:pPr>
            <w:r w:rsidRPr="001D5BD1">
              <w:rPr>
                <w:rFonts w:ascii="Arial" w:hAnsi="Arial" w:cs="Arial"/>
                <w:sz w:val="20"/>
                <w:szCs w:val="20"/>
                <w:lang w:val="fr-FR"/>
              </w:rPr>
              <w:t>Parry et al. (1985)</w:t>
            </w:r>
            <w:r w:rsidRPr="001D5BD1">
              <w:rPr>
                <w:rFonts w:ascii="Arial" w:hAnsi="Arial" w:cs="Arial"/>
                <w:sz w:val="20"/>
                <w:szCs w:val="20"/>
                <w:vertAlign w:val="superscript"/>
                <w:lang w:val="fr-FR"/>
              </w:rPr>
              <w:t>31</w:t>
            </w:r>
          </w:p>
          <w:p w14:paraId="3EF69B23" w14:textId="5815BF4C" w:rsidR="00051392" w:rsidRPr="00461BC9" w:rsidRDefault="00051392" w:rsidP="00051392">
            <w:pPr>
              <w:spacing w:line="480" w:lineRule="auto"/>
              <w:jc w:val="center"/>
              <w:rPr>
                <w:rFonts w:ascii="Arial" w:hAnsi="Arial" w:cs="Arial"/>
                <w:sz w:val="20"/>
                <w:szCs w:val="20"/>
                <w:lang w:val="en-SG"/>
              </w:rPr>
            </w:pPr>
            <w:r w:rsidRPr="001D5BD1">
              <w:rPr>
                <w:rFonts w:ascii="Arial" w:hAnsi="Arial" w:cs="Arial"/>
                <w:sz w:val="20"/>
                <w:szCs w:val="20"/>
                <w:lang w:val="fr-FR"/>
              </w:rPr>
              <w:t xml:space="preserve">Krishnan et al. </w:t>
            </w:r>
            <w:r w:rsidRPr="00461BC9">
              <w:rPr>
                <w:rFonts w:ascii="Arial" w:hAnsi="Arial" w:cs="Arial"/>
                <w:sz w:val="20"/>
                <w:szCs w:val="20"/>
                <w:lang w:val="en-SG"/>
              </w:rPr>
              <w:t>(</w:t>
            </w:r>
            <w:r w:rsidRPr="00310B97">
              <w:rPr>
                <w:rFonts w:ascii="Arial" w:hAnsi="Arial" w:cs="Arial"/>
                <w:sz w:val="20"/>
                <w:szCs w:val="20"/>
                <w:lang w:val="en-SG"/>
              </w:rPr>
              <w:t>2023</w:t>
            </w:r>
            <w:r w:rsidRPr="00461BC9">
              <w:rPr>
                <w:rFonts w:ascii="Arial" w:hAnsi="Arial" w:cs="Arial"/>
                <w:sz w:val="20"/>
                <w:szCs w:val="20"/>
                <w:lang w:val="en-SG"/>
              </w:rPr>
              <w:t>)</w:t>
            </w:r>
            <w:r>
              <w:rPr>
                <w:rFonts w:ascii="Arial" w:hAnsi="Arial" w:cs="Arial"/>
                <w:sz w:val="20"/>
                <w:szCs w:val="20"/>
                <w:vertAlign w:val="superscript"/>
                <w:lang w:val="en-SG"/>
              </w:rPr>
              <w:t>32</w:t>
            </w:r>
          </w:p>
        </w:tc>
      </w:tr>
      <w:tr w:rsidR="00051392" w:rsidRPr="00461BC9" w14:paraId="42657AE8" w14:textId="77777777" w:rsidTr="00A6338B">
        <w:trPr>
          <w:trHeight w:val="1477"/>
        </w:trPr>
        <w:tc>
          <w:tcPr>
            <w:tcW w:w="0" w:type="auto"/>
          </w:tcPr>
          <w:p w14:paraId="476A2C34" w14:textId="77777777" w:rsidR="00051392" w:rsidRPr="00461BC9" w:rsidRDefault="00051392" w:rsidP="00051392">
            <w:pPr>
              <w:spacing w:line="480" w:lineRule="auto"/>
              <w:rPr>
                <w:rFonts w:ascii="Arial" w:hAnsi="Arial" w:cs="Arial"/>
                <w:sz w:val="20"/>
                <w:szCs w:val="20"/>
              </w:rPr>
            </w:pPr>
            <w:r w:rsidRPr="00461BC9">
              <w:rPr>
                <w:rFonts w:ascii="Arial" w:hAnsi="Arial" w:cs="Arial"/>
                <w:sz w:val="20"/>
                <w:szCs w:val="20"/>
              </w:rPr>
              <w:t>5</w:t>
            </w:r>
          </w:p>
        </w:tc>
        <w:tc>
          <w:tcPr>
            <w:tcW w:w="0" w:type="auto"/>
          </w:tcPr>
          <w:p w14:paraId="4F2EA107" w14:textId="77777777" w:rsidR="00051392" w:rsidRPr="00461BC9" w:rsidRDefault="00051392" w:rsidP="00051392">
            <w:pPr>
              <w:spacing w:line="480" w:lineRule="auto"/>
              <w:rPr>
                <w:rFonts w:ascii="Arial" w:hAnsi="Arial" w:cs="Arial"/>
                <w:sz w:val="20"/>
                <w:szCs w:val="20"/>
              </w:rPr>
            </w:pPr>
            <w:r w:rsidRPr="00461BC9">
              <w:rPr>
                <w:rFonts w:ascii="Arial" w:hAnsi="Arial" w:cs="Arial"/>
                <w:sz w:val="20"/>
                <w:szCs w:val="20"/>
              </w:rPr>
              <w:t xml:space="preserve">For patient usage duration of longer than 6 months, and over 50 mg/day vitamin B6, regular monitoring by healthcare professionals is recommended. If patients develop neurological side effects, a washout period of 20 ~ 40 days (3 ~ 6 weeks) is recommended before considering resuming vitamin B6 treatment. </w:t>
            </w:r>
          </w:p>
        </w:tc>
        <w:tc>
          <w:tcPr>
            <w:tcW w:w="0" w:type="auto"/>
            <w:vAlign w:val="center"/>
          </w:tcPr>
          <w:p w14:paraId="4335B747" w14:textId="77777777" w:rsidR="00051392" w:rsidRPr="001D5BD1" w:rsidRDefault="00051392" w:rsidP="00051392">
            <w:pPr>
              <w:spacing w:line="480" w:lineRule="auto"/>
              <w:jc w:val="center"/>
              <w:rPr>
                <w:rFonts w:ascii="Arial" w:hAnsi="Arial" w:cs="Arial"/>
                <w:sz w:val="20"/>
                <w:szCs w:val="20"/>
                <w:lang w:val="fr-FR"/>
              </w:rPr>
            </w:pPr>
            <w:r w:rsidRPr="001D5BD1">
              <w:rPr>
                <w:rFonts w:ascii="Arial" w:hAnsi="Arial" w:cs="Arial"/>
                <w:sz w:val="20"/>
                <w:szCs w:val="20"/>
                <w:lang w:val="fr-FR"/>
              </w:rPr>
              <w:t xml:space="preserve">Van </w:t>
            </w:r>
            <w:proofErr w:type="spellStart"/>
            <w:r w:rsidRPr="001D5BD1">
              <w:rPr>
                <w:rFonts w:ascii="Arial" w:hAnsi="Arial" w:cs="Arial"/>
                <w:sz w:val="20"/>
                <w:szCs w:val="20"/>
                <w:lang w:val="fr-FR"/>
              </w:rPr>
              <w:t>Hunsel</w:t>
            </w:r>
            <w:proofErr w:type="spellEnd"/>
            <w:r w:rsidRPr="001D5BD1">
              <w:rPr>
                <w:rFonts w:ascii="Arial" w:hAnsi="Arial" w:cs="Arial"/>
                <w:sz w:val="20"/>
                <w:szCs w:val="20"/>
                <w:lang w:val="fr-FR"/>
              </w:rPr>
              <w:t xml:space="preserve"> et al. (2018)</w:t>
            </w:r>
            <w:r w:rsidRPr="001D5BD1">
              <w:rPr>
                <w:rFonts w:ascii="Arial" w:hAnsi="Arial" w:cs="Arial"/>
                <w:sz w:val="20"/>
                <w:szCs w:val="20"/>
                <w:vertAlign w:val="superscript"/>
                <w:lang w:val="fr-FR"/>
              </w:rPr>
              <w:t>23</w:t>
            </w:r>
          </w:p>
          <w:p w14:paraId="7EC4FE79" w14:textId="77777777" w:rsidR="00051392" w:rsidRPr="001D5BD1" w:rsidRDefault="00051392" w:rsidP="00051392">
            <w:pPr>
              <w:spacing w:line="480" w:lineRule="auto"/>
              <w:jc w:val="center"/>
              <w:rPr>
                <w:rFonts w:ascii="Arial" w:hAnsi="Arial" w:cs="Arial"/>
                <w:sz w:val="20"/>
                <w:szCs w:val="20"/>
                <w:lang w:val="fr-FR"/>
              </w:rPr>
            </w:pPr>
            <w:proofErr w:type="spellStart"/>
            <w:r w:rsidRPr="001D5BD1">
              <w:rPr>
                <w:rFonts w:ascii="Arial" w:hAnsi="Arial" w:cs="Arial"/>
                <w:sz w:val="20"/>
                <w:szCs w:val="20"/>
                <w:lang w:val="fr-FR"/>
              </w:rPr>
              <w:t>Kulkantrakorn</w:t>
            </w:r>
            <w:proofErr w:type="spellEnd"/>
            <w:r w:rsidRPr="001D5BD1">
              <w:rPr>
                <w:rFonts w:ascii="Arial" w:hAnsi="Arial" w:cs="Arial"/>
                <w:sz w:val="20"/>
                <w:szCs w:val="20"/>
                <w:lang w:val="fr-FR"/>
              </w:rPr>
              <w:t xml:space="preserve"> et al. (2014)</w:t>
            </w:r>
            <w:r w:rsidRPr="001D5BD1">
              <w:rPr>
                <w:rFonts w:ascii="Arial" w:hAnsi="Arial" w:cs="Arial"/>
                <w:sz w:val="20"/>
                <w:szCs w:val="20"/>
                <w:vertAlign w:val="superscript"/>
                <w:lang w:val="fr-FR"/>
              </w:rPr>
              <w:t>28</w:t>
            </w:r>
          </w:p>
          <w:p w14:paraId="6663666F" w14:textId="77777777" w:rsidR="00051392" w:rsidRPr="001D5BD1" w:rsidRDefault="00051392" w:rsidP="00051392">
            <w:pPr>
              <w:spacing w:line="480" w:lineRule="auto"/>
              <w:jc w:val="center"/>
              <w:rPr>
                <w:rFonts w:ascii="Arial" w:hAnsi="Arial" w:cs="Arial"/>
                <w:sz w:val="20"/>
                <w:szCs w:val="20"/>
                <w:lang w:val="fr-FR"/>
              </w:rPr>
            </w:pPr>
            <w:r w:rsidRPr="001D5BD1">
              <w:rPr>
                <w:rFonts w:ascii="Arial" w:hAnsi="Arial" w:cs="Arial"/>
                <w:sz w:val="20"/>
                <w:szCs w:val="20"/>
                <w:lang w:val="fr-FR"/>
              </w:rPr>
              <w:t>Dalton et al. (1987)</w:t>
            </w:r>
            <w:r w:rsidRPr="001D5BD1">
              <w:rPr>
                <w:rFonts w:ascii="Arial" w:hAnsi="Arial" w:cs="Arial"/>
                <w:sz w:val="20"/>
                <w:szCs w:val="20"/>
                <w:vertAlign w:val="superscript"/>
                <w:lang w:val="fr-FR"/>
              </w:rPr>
              <w:t>30</w:t>
            </w:r>
          </w:p>
          <w:p w14:paraId="0E5DA18B" w14:textId="77777777" w:rsidR="00051392" w:rsidRPr="001D5BD1" w:rsidRDefault="00051392" w:rsidP="00051392">
            <w:pPr>
              <w:spacing w:line="480" w:lineRule="auto"/>
              <w:jc w:val="center"/>
              <w:rPr>
                <w:rFonts w:ascii="Arial" w:hAnsi="Arial" w:cs="Arial"/>
                <w:sz w:val="20"/>
                <w:szCs w:val="20"/>
                <w:lang w:val="fr-FR"/>
              </w:rPr>
            </w:pPr>
            <w:proofErr w:type="spellStart"/>
            <w:r w:rsidRPr="001D5BD1">
              <w:rPr>
                <w:rFonts w:ascii="Arial" w:hAnsi="Arial" w:cs="Arial"/>
                <w:sz w:val="20"/>
                <w:szCs w:val="20"/>
                <w:lang w:val="fr-FR"/>
              </w:rPr>
              <w:t>Zempleni</w:t>
            </w:r>
            <w:proofErr w:type="spellEnd"/>
            <w:r w:rsidRPr="001D5BD1">
              <w:rPr>
                <w:rFonts w:ascii="Arial" w:hAnsi="Arial" w:cs="Arial"/>
                <w:sz w:val="20"/>
                <w:szCs w:val="20"/>
                <w:lang w:val="fr-FR"/>
              </w:rPr>
              <w:t xml:space="preserve"> et al. (1995)</w:t>
            </w:r>
            <w:r w:rsidRPr="001D5BD1">
              <w:rPr>
                <w:rFonts w:ascii="Arial" w:hAnsi="Arial" w:cs="Arial"/>
                <w:sz w:val="20"/>
                <w:szCs w:val="20"/>
                <w:vertAlign w:val="superscript"/>
                <w:lang w:val="fr-FR"/>
              </w:rPr>
              <w:t>33</w:t>
            </w:r>
          </w:p>
          <w:p w14:paraId="390B1695" w14:textId="77777777" w:rsidR="00051392" w:rsidRPr="001D5BD1" w:rsidRDefault="00051392" w:rsidP="00051392">
            <w:pPr>
              <w:spacing w:line="480" w:lineRule="auto"/>
              <w:jc w:val="center"/>
              <w:rPr>
                <w:rFonts w:ascii="Arial" w:hAnsi="Arial" w:cs="Arial"/>
                <w:sz w:val="20"/>
                <w:szCs w:val="20"/>
                <w:lang w:val="fr-FR"/>
              </w:rPr>
            </w:pPr>
            <w:proofErr w:type="spellStart"/>
            <w:r w:rsidRPr="001D5BD1">
              <w:rPr>
                <w:rFonts w:ascii="Arial" w:hAnsi="Arial" w:cs="Arial"/>
                <w:sz w:val="20"/>
                <w:szCs w:val="20"/>
                <w:lang w:val="fr-FR"/>
              </w:rPr>
              <w:t>Echaniz</w:t>
            </w:r>
            <w:proofErr w:type="spellEnd"/>
            <w:r w:rsidRPr="001D5BD1">
              <w:rPr>
                <w:rFonts w:ascii="Arial" w:hAnsi="Arial" w:cs="Arial"/>
                <w:sz w:val="20"/>
                <w:szCs w:val="20"/>
                <w:lang w:val="fr-FR"/>
              </w:rPr>
              <w:t>-Laguna et al. (2018)</w:t>
            </w:r>
            <w:r w:rsidRPr="001D5BD1">
              <w:rPr>
                <w:rFonts w:ascii="Arial" w:hAnsi="Arial" w:cs="Arial"/>
                <w:sz w:val="20"/>
                <w:szCs w:val="20"/>
                <w:vertAlign w:val="superscript"/>
                <w:lang w:val="fr-FR"/>
              </w:rPr>
              <w:t>27</w:t>
            </w:r>
          </w:p>
          <w:p w14:paraId="796E17BC" w14:textId="77777777" w:rsidR="00051392" w:rsidRPr="001D5BD1" w:rsidRDefault="00051392" w:rsidP="00051392">
            <w:pPr>
              <w:spacing w:line="480" w:lineRule="auto"/>
              <w:jc w:val="center"/>
              <w:rPr>
                <w:rFonts w:ascii="Arial" w:hAnsi="Arial" w:cs="Arial"/>
                <w:sz w:val="20"/>
                <w:szCs w:val="20"/>
                <w:lang w:val="fr-FR"/>
              </w:rPr>
            </w:pPr>
            <w:r w:rsidRPr="001D5BD1">
              <w:rPr>
                <w:rFonts w:ascii="Arial" w:hAnsi="Arial" w:cs="Arial"/>
                <w:sz w:val="20"/>
                <w:szCs w:val="20"/>
                <w:lang w:val="fr-FR"/>
              </w:rPr>
              <w:t>Parry et al. (1985)</w:t>
            </w:r>
            <w:r w:rsidRPr="001D5BD1">
              <w:rPr>
                <w:rFonts w:ascii="Arial" w:hAnsi="Arial" w:cs="Arial"/>
                <w:sz w:val="20"/>
                <w:szCs w:val="20"/>
                <w:vertAlign w:val="superscript"/>
                <w:lang w:val="fr-FR"/>
              </w:rPr>
              <w:t>31</w:t>
            </w:r>
          </w:p>
          <w:p w14:paraId="0F917DB0" w14:textId="77777777" w:rsidR="00051392" w:rsidRPr="001D5BD1" w:rsidRDefault="00051392" w:rsidP="00051392">
            <w:pPr>
              <w:spacing w:line="480" w:lineRule="auto"/>
              <w:jc w:val="center"/>
              <w:rPr>
                <w:rFonts w:ascii="Arial" w:hAnsi="Arial" w:cs="Arial"/>
                <w:sz w:val="20"/>
                <w:szCs w:val="20"/>
                <w:lang w:val="fr-FR"/>
              </w:rPr>
            </w:pPr>
            <w:r w:rsidRPr="001D5BD1">
              <w:rPr>
                <w:rFonts w:ascii="Arial" w:hAnsi="Arial" w:cs="Arial"/>
                <w:sz w:val="20"/>
                <w:szCs w:val="20"/>
                <w:lang w:val="fr-FR"/>
              </w:rPr>
              <w:t>Howland et al. (2009)</w:t>
            </w:r>
            <w:r w:rsidRPr="001D5BD1">
              <w:rPr>
                <w:rFonts w:ascii="Arial" w:hAnsi="Arial" w:cs="Arial"/>
                <w:sz w:val="20"/>
                <w:szCs w:val="20"/>
                <w:vertAlign w:val="superscript"/>
                <w:lang w:val="fr-FR"/>
              </w:rPr>
              <w:t>34</w:t>
            </w:r>
          </w:p>
          <w:p w14:paraId="5B8F7C1D" w14:textId="77777777" w:rsidR="00051392" w:rsidRPr="00461BC9" w:rsidRDefault="00051392" w:rsidP="00051392">
            <w:pPr>
              <w:spacing w:line="480" w:lineRule="auto"/>
              <w:jc w:val="center"/>
              <w:rPr>
                <w:rFonts w:ascii="Arial" w:hAnsi="Arial" w:cs="Arial"/>
                <w:sz w:val="20"/>
                <w:szCs w:val="20"/>
              </w:rPr>
            </w:pPr>
            <w:r w:rsidRPr="001D5BD1">
              <w:rPr>
                <w:rFonts w:ascii="Arial" w:hAnsi="Arial" w:cs="Arial"/>
                <w:sz w:val="20"/>
                <w:szCs w:val="20"/>
                <w:lang w:val="fr-FR"/>
              </w:rPr>
              <w:t xml:space="preserve">Romano et al. </w:t>
            </w:r>
            <w:r w:rsidRPr="00461BC9">
              <w:rPr>
                <w:rFonts w:ascii="Arial" w:hAnsi="Arial" w:cs="Arial"/>
                <w:sz w:val="20"/>
                <w:szCs w:val="20"/>
              </w:rPr>
              <w:t>(2019)</w:t>
            </w:r>
            <w:r w:rsidRPr="00A62CC0">
              <w:rPr>
                <w:rFonts w:ascii="Arial" w:hAnsi="Arial" w:cs="Arial"/>
                <w:sz w:val="20"/>
                <w:szCs w:val="20"/>
                <w:vertAlign w:val="superscript"/>
                <w:lang w:val="en-SG"/>
              </w:rPr>
              <w:t>3</w:t>
            </w:r>
            <w:r>
              <w:rPr>
                <w:rFonts w:ascii="Arial" w:hAnsi="Arial" w:cs="Arial"/>
                <w:sz w:val="20"/>
                <w:szCs w:val="20"/>
                <w:vertAlign w:val="superscript"/>
                <w:lang w:val="en-SG"/>
              </w:rPr>
              <w:t>5</w:t>
            </w:r>
          </w:p>
          <w:p w14:paraId="2A9940B3" w14:textId="77777777" w:rsidR="00051392" w:rsidRPr="00461BC9" w:rsidRDefault="00051392" w:rsidP="00051392">
            <w:pPr>
              <w:spacing w:line="480" w:lineRule="auto"/>
              <w:jc w:val="center"/>
              <w:rPr>
                <w:rFonts w:ascii="Arial" w:hAnsi="Arial" w:cs="Arial"/>
                <w:sz w:val="20"/>
                <w:szCs w:val="20"/>
              </w:rPr>
            </w:pPr>
            <w:r w:rsidRPr="00D657C5">
              <w:rPr>
                <w:rFonts w:ascii="Arial" w:hAnsi="Arial" w:cs="Arial"/>
                <w:sz w:val="20"/>
                <w:szCs w:val="20"/>
              </w:rPr>
              <w:lastRenderedPageBreak/>
              <w:t>Center for Drug Evaluation and Research</w:t>
            </w:r>
            <w:r w:rsidRPr="00461BC9">
              <w:rPr>
                <w:rFonts w:ascii="Arial" w:hAnsi="Arial" w:cs="Arial"/>
                <w:sz w:val="20"/>
                <w:szCs w:val="20"/>
              </w:rPr>
              <w:t xml:space="preserve"> (CDER) (20</w:t>
            </w:r>
            <w:r>
              <w:rPr>
                <w:rFonts w:ascii="Arial" w:hAnsi="Arial" w:cs="Arial"/>
                <w:sz w:val="20"/>
                <w:szCs w:val="20"/>
              </w:rPr>
              <w:t>21</w:t>
            </w:r>
            <w:r w:rsidRPr="00461BC9">
              <w:rPr>
                <w:rFonts w:ascii="Arial" w:hAnsi="Arial" w:cs="Arial"/>
                <w:sz w:val="20"/>
                <w:szCs w:val="20"/>
              </w:rPr>
              <w:t>)</w:t>
            </w:r>
            <w:r w:rsidRPr="00A62CC0">
              <w:rPr>
                <w:rFonts w:ascii="Arial" w:hAnsi="Arial" w:cs="Arial"/>
                <w:sz w:val="20"/>
                <w:szCs w:val="20"/>
                <w:vertAlign w:val="superscript"/>
                <w:lang w:val="en-SG"/>
              </w:rPr>
              <w:t>3</w:t>
            </w:r>
            <w:r>
              <w:rPr>
                <w:rFonts w:ascii="Arial" w:hAnsi="Arial" w:cs="Arial"/>
                <w:sz w:val="20"/>
                <w:szCs w:val="20"/>
                <w:vertAlign w:val="superscript"/>
                <w:lang w:val="en-SG"/>
              </w:rPr>
              <w:t>6</w:t>
            </w:r>
          </w:p>
          <w:p w14:paraId="5453D689" w14:textId="77777777" w:rsidR="00051392" w:rsidRDefault="00051392" w:rsidP="00051392">
            <w:pPr>
              <w:spacing w:line="480" w:lineRule="auto"/>
              <w:jc w:val="center"/>
              <w:rPr>
                <w:rFonts w:ascii="Arial" w:hAnsi="Arial" w:cs="Arial"/>
                <w:sz w:val="20"/>
                <w:szCs w:val="20"/>
              </w:rPr>
            </w:pPr>
            <w:r>
              <w:rPr>
                <w:rFonts w:ascii="Arial" w:hAnsi="Arial" w:cs="Arial"/>
                <w:sz w:val="20"/>
                <w:szCs w:val="20"/>
              </w:rPr>
              <w:t>Committee for Medicinal Products for Human Use (CHMP) (2010)</w:t>
            </w:r>
            <w:r w:rsidRPr="00A62CC0">
              <w:rPr>
                <w:rFonts w:ascii="Arial" w:hAnsi="Arial" w:cs="Arial"/>
                <w:sz w:val="20"/>
                <w:szCs w:val="20"/>
                <w:vertAlign w:val="superscript"/>
                <w:lang w:val="en-SG"/>
              </w:rPr>
              <w:t xml:space="preserve"> 3</w:t>
            </w:r>
            <w:r>
              <w:rPr>
                <w:rFonts w:ascii="Arial" w:hAnsi="Arial" w:cs="Arial"/>
                <w:sz w:val="20"/>
                <w:szCs w:val="20"/>
                <w:vertAlign w:val="superscript"/>
                <w:lang w:val="en-SG"/>
              </w:rPr>
              <w:t>7</w:t>
            </w:r>
          </w:p>
          <w:p w14:paraId="2F5A38DC" w14:textId="77777777" w:rsidR="00051392" w:rsidRPr="00461BC9" w:rsidRDefault="00051392" w:rsidP="00051392">
            <w:pPr>
              <w:spacing w:line="480" w:lineRule="auto"/>
              <w:jc w:val="center"/>
              <w:rPr>
                <w:rFonts w:ascii="Arial" w:hAnsi="Arial" w:cs="Arial"/>
                <w:sz w:val="20"/>
                <w:szCs w:val="20"/>
              </w:rPr>
            </w:pPr>
            <w:r w:rsidRPr="00D657C5">
              <w:rPr>
                <w:rFonts w:ascii="Arial" w:hAnsi="Arial" w:cs="Arial"/>
                <w:sz w:val="20"/>
                <w:szCs w:val="20"/>
              </w:rPr>
              <w:t>Health Canada</w:t>
            </w:r>
            <w:r w:rsidRPr="00461BC9">
              <w:rPr>
                <w:rFonts w:ascii="Arial" w:hAnsi="Arial" w:cs="Arial"/>
                <w:sz w:val="20"/>
                <w:szCs w:val="20"/>
              </w:rPr>
              <w:t xml:space="preserve"> (</w:t>
            </w:r>
            <w:r w:rsidRPr="00D657C5">
              <w:rPr>
                <w:rFonts w:ascii="Arial" w:hAnsi="Arial" w:cs="Arial"/>
                <w:sz w:val="20"/>
                <w:szCs w:val="20"/>
              </w:rPr>
              <w:t>2018</w:t>
            </w:r>
            <w:r w:rsidRPr="00461BC9">
              <w:rPr>
                <w:rFonts w:ascii="Arial" w:hAnsi="Arial" w:cs="Arial"/>
                <w:sz w:val="20"/>
                <w:szCs w:val="20"/>
              </w:rPr>
              <w:t>)</w:t>
            </w:r>
            <w:r w:rsidRPr="00A62CC0">
              <w:rPr>
                <w:rFonts w:ascii="Arial" w:hAnsi="Arial" w:cs="Arial"/>
                <w:sz w:val="20"/>
                <w:szCs w:val="20"/>
                <w:vertAlign w:val="superscript"/>
                <w:lang w:val="en-SG"/>
              </w:rPr>
              <w:t>3</w:t>
            </w:r>
            <w:r>
              <w:rPr>
                <w:rFonts w:ascii="Arial" w:hAnsi="Arial" w:cs="Arial"/>
                <w:sz w:val="20"/>
                <w:szCs w:val="20"/>
                <w:vertAlign w:val="superscript"/>
                <w:lang w:val="en-SG"/>
              </w:rPr>
              <w:t>8</w:t>
            </w:r>
          </w:p>
          <w:p w14:paraId="334429C3" w14:textId="77777777" w:rsidR="00051392" w:rsidRPr="00461BC9" w:rsidRDefault="00051392" w:rsidP="00051392">
            <w:pPr>
              <w:spacing w:line="480" w:lineRule="auto"/>
              <w:jc w:val="center"/>
              <w:rPr>
                <w:rFonts w:ascii="Arial" w:hAnsi="Arial" w:cs="Arial"/>
                <w:sz w:val="20"/>
                <w:szCs w:val="20"/>
                <w:lang w:val="en-SG"/>
              </w:rPr>
            </w:pPr>
            <w:r w:rsidRPr="00310B97">
              <w:rPr>
                <w:rFonts w:ascii="Arial" w:hAnsi="Arial" w:cs="Arial"/>
                <w:sz w:val="20"/>
                <w:szCs w:val="20"/>
                <w:lang w:val="en-SG"/>
              </w:rPr>
              <w:t xml:space="preserve">Vrolijk </w:t>
            </w:r>
            <w:r>
              <w:rPr>
                <w:rFonts w:ascii="Arial" w:hAnsi="Arial" w:cs="Arial"/>
                <w:sz w:val="20"/>
                <w:szCs w:val="20"/>
                <w:lang w:val="en-SG"/>
              </w:rPr>
              <w:t>et al.</w:t>
            </w:r>
            <w:r w:rsidRPr="00461BC9">
              <w:rPr>
                <w:rFonts w:ascii="Arial" w:hAnsi="Arial" w:cs="Arial"/>
                <w:sz w:val="20"/>
                <w:szCs w:val="20"/>
                <w:lang w:val="en-SG"/>
              </w:rPr>
              <w:t xml:space="preserve"> (</w:t>
            </w:r>
            <w:r w:rsidRPr="00310B97">
              <w:rPr>
                <w:rFonts w:ascii="Arial" w:hAnsi="Arial" w:cs="Arial"/>
                <w:sz w:val="20"/>
                <w:szCs w:val="20"/>
                <w:lang w:val="en-SG"/>
              </w:rPr>
              <w:t>2020</w:t>
            </w:r>
            <w:r w:rsidRPr="00461BC9">
              <w:rPr>
                <w:rFonts w:ascii="Arial" w:hAnsi="Arial" w:cs="Arial"/>
                <w:sz w:val="20"/>
                <w:szCs w:val="20"/>
                <w:lang w:val="en-SG"/>
              </w:rPr>
              <w:t>)</w:t>
            </w:r>
            <w:r>
              <w:rPr>
                <w:rFonts w:ascii="Arial" w:hAnsi="Arial" w:cs="Arial"/>
                <w:sz w:val="20"/>
                <w:szCs w:val="20"/>
                <w:vertAlign w:val="superscript"/>
                <w:lang w:val="en-SG"/>
              </w:rPr>
              <w:t>22</w:t>
            </w:r>
          </w:p>
          <w:p w14:paraId="7BA34A47" w14:textId="4EBDD77F" w:rsidR="00051392" w:rsidRPr="00051392" w:rsidRDefault="00051392" w:rsidP="00051392">
            <w:pPr>
              <w:spacing w:line="480" w:lineRule="auto"/>
              <w:jc w:val="center"/>
              <w:rPr>
                <w:rFonts w:ascii="Arial" w:hAnsi="Arial" w:cs="Arial"/>
                <w:sz w:val="20"/>
                <w:szCs w:val="20"/>
                <w:lang w:val="en-SG"/>
              </w:rPr>
            </w:pPr>
            <w:proofErr w:type="spellStart"/>
            <w:r w:rsidRPr="00310B97">
              <w:rPr>
                <w:rFonts w:ascii="Arial" w:hAnsi="Arial" w:cs="Arial"/>
                <w:sz w:val="20"/>
                <w:szCs w:val="20"/>
                <w:lang w:val="en-SG"/>
              </w:rPr>
              <w:t>Hadtstein</w:t>
            </w:r>
            <w:proofErr w:type="spellEnd"/>
            <w:r w:rsidRPr="00310B97">
              <w:rPr>
                <w:rFonts w:ascii="Arial" w:hAnsi="Arial" w:cs="Arial"/>
                <w:sz w:val="20"/>
                <w:szCs w:val="20"/>
                <w:lang w:val="en-SG"/>
              </w:rPr>
              <w:t xml:space="preserve"> </w:t>
            </w:r>
            <w:r>
              <w:rPr>
                <w:rFonts w:ascii="Arial" w:hAnsi="Arial" w:cs="Arial"/>
                <w:sz w:val="20"/>
                <w:szCs w:val="20"/>
                <w:lang w:val="en-SG"/>
              </w:rPr>
              <w:t>et al.</w:t>
            </w:r>
            <w:r w:rsidRPr="00461BC9">
              <w:rPr>
                <w:rFonts w:ascii="Arial" w:hAnsi="Arial" w:cs="Arial"/>
                <w:sz w:val="20"/>
                <w:szCs w:val="20"/>
                <w:lang w:val="en-SG"/>
              </w:rPr>
              <w:t xml:space="preserve"> (</w:t>
            </w:r>
            <w:r w:rsidRPr="00310B97">
              <w:rPr>
                <w:rFonts w:ascii="Arial" w:hAnsi="Arial" w:cs="Arial"/>
                <w:sz w:val="20"/>
                <w:szCs w:val="20"/>
                <w:lang w:val="en-SG"/>
              </w:rPr>
              <w:t>2021</w:t>
            </w:r>
            <w:r w:rsidRPr="00461BC9">
              <w:rPr>
                <w:rFonts w:ascii="Arial" w:hAnsi="Arial" w:cs="Arial"/>
                <w:sz w:val="20"/>
                <w:szCs w:val="20"/>
                <w:lang w:val="en-SG"/>
              </w:rPr>
              <w:t>)</w:t>
            </w:r>
            <w:r>
              <w:rPr>
                <w:rFonts w:ascii="Arial" w:hAnsi="Arial" w:cs="Arial"/>
                <w:sz w:val="20"/>
                <w:szCs w:val="20"/>
                <w:vertAlign w:val="superscript"/>
                <w:lang w:val="en-SG"/>
              </w:rPr>
              <w:t>24</w:t>
            </w:r>
          </w:p>
        </w:tc>
      </w:tr>
    </w:tbl>
    <w:p w14:paraId="6F30CCE3" w14:textId="77777777" w:rsidR="00A6338B" w:rsidRDefault="00A6338B" w:rsidP="000F4EDC">
      <w:pPr>
        <w:spacing w:line="480" w:lineRule="auto"/>
        <w:rPr>
          <w:rFonts w:ascii="Arial" w:eastAsia="Calibri" w:hAnsi="Arial" w:cs="Arial"/>
          <w:b/>
          <w:bCs/>
          <w:kern w:val="2"/>
          <w:sz w:val="20"/>
          <w:szCs w:val="20"/>
          <w:lang w:val="en-SG" w:eastAsia="en-US"/>
          <w14:ligatures w14:val="standardContextual"/>
        </w:rPr>
      </w:pPr>
    </w:p>
    <w:p w14:paraId="385A5CBA" w14:textId="77777777" w:rsidR="000F4EDC" w:rsidRDefault="000F4EDC" w:rsidP="00085475">
      <w:pPr>
        <w:spacing w:line="480" w:lineRule="auto"/>
        <w:rPr>
          <w:rFonts w:ascii="Arial" w:eastAsia="Calibri" w:hAnsi="Arial" w:cs="Arial"/>
          <w:b/>
          <w:bCs/>
          <w:kern w:val="2"/>
          <w:sz w:val="20"/>
          <w:szCs w:val="20"/>
          <w:lang w:val="en-SG" w:eastAsia="en-US"/>
          <w14:ligatures w14:val="standardContextual"/>
        </w:rPr>
      </w:pPr>
    </w:p>
    <w:p w14:paraId="3ED1F038" w14:textId="77777777" w:rsidR="00E5650C" w:rsidRDefault="00E5650C" w:rsidP="00E5650C">
      <w:pPr>
        <w:spacing w:before="240" w:after="60" w:line="480" w:lineRule="auto"/>
        <w:outlineLvl w:val="0"/>
        <w:rPr>
          <w:rFonts w:ascii="Arial" w:eastAsia="Calibri" w:hAnsi="Arial" w:cs="Arial"/>
          <w:b/>
          <w:bCs/>
          <w:kern w:val="2"/>
          <w:sz w:val="32"/>
          <w:szCs w:val="32"/>
          <w:lang w:val="en-SG" w:eastAsia="en-US"/>
          <w14:ligatures w14:val="standardContextual"/>
        </w:rPr>
        <w:sectPr w:rsidR="00E5650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p>
    <w:p w14:paraId="5FB06E2B" w14:textId="77777777" w:rsidR="00E5650C" w:rsidRPr="00E5650C" w:rsidRDefault="00E5650C" w:rsidP="00E5650C">
      <w:pPr>
        <w:spacing w:before="240" w:after="60" w:line="480" w:lineRule="auto"/>
        <w:outlineLvl w:val="0"/>
        <w:rPr>
          <w:rFonts w:ascii="Arial" w:eastAsia="Calibri" w:hAnsi="Arial" w:cs="Arial"/>
          <w:b/>
          <w:bCs/>
          <w:kern w:val="2"/>
          <w:sz w:val="20"/>
          <w:szCs w:val="20"/>
          <w:lang w:val="en-SG" w:eastAsia="en-US"/>
          <w14:ligatures w14:val="standardContextual"/>
        </w:rPr>
      </w:pPr>
      <w:r w:rsidRPr="00E5650C">
        <w:rPr>
          <w:rFonts w:ascii="Arial" w:eastAsia="Calibri" w:hAnsi="Arial" w:cs="Arial"/>
          <w:b/>
          <w:bCs/>
          <w:kern w:val="2"/>
          <w:sz w:val="32"/>
          <w:szCs w:val="32"/>
          <w:lang w:val="en-SG" w:eastAsia="en-US"/>
          <w14:ligatures w14:val="standardContextual"/>
        </w:rPr>
        <w:lastRenderedPageBreak/>
        <w:t>References</w:t>
      </w:r>
    </w:p>
    <w:p w14:paraId="2C078E63" w14:textId="337ACB07" w:rsidR="00442E67" w:rsidRPr="00051392" w:rsidRDefault="00C203F8"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t xml:space="preserve">Birch TW, Gyorgy P, Harris LJ. </w:t>
      </w:r>
      <w:proofErr w:type="gramStart"/>
      <w:r w:rsidRPr="00051392">
        <w:rPr>
          <w:rFonts w:ascii="Arial" w:hAnsi="Arial" w:cs="Arial"/>
          <w:sz w:val="20"/>
          <w:szCs w:val="20"/>
        </w:rPr>
        <w:t>The vitamin</w:t>
      </w:r>
      <w:proofErr w:type="gramEnd"/>
      <w:r w:rsidRPr="00051392">
        <w:rPr>
          <w:rFonts w:ascii="Arial" w:hAnsi="Arial" w:cs="Arial"/>
          <w:sz w:val="20"/>
          <w:szCs w:val="20"/>
        </w:rPr>
        <w:t xml:space="preserve"> </w:t>
      </w:r>
      <w:proofErr w:type="gramStart"/>
      <w:r w:rsidRPr="00051392">
        <w:rPr>
          <w:rFonts w:ascii="Arial" w:hAnsi="Arial" w:cs="Arial"/>
          <w:sz w:val="20"/>
          <w:szCs w:val="20"/>
        </w:rPr>
        <w:t>B(</w:t>
      </w:r>
      <w:proofErr w:type="gramEnd"/>
      <w:r w:rsidRPr="00051392">
        <w:rPr>
          <w:rFonts w:ascii="Arial" w:hAnsi="Arial" w:cs="Arial"/>
          <w:sz w:val="20"/>
          <w:szCs w:val="20"/>
        </w:rPr>
        <w:t xml:space="preserve">2) complex. Differentiation of the </w:t>
      </w:r>
      <w:proofErr w:type="spellStart"/>
      <w:r w:rsidRPr="00051392">
        <w:rPr>
          <w:rFonts w:ascii="Arial" w:hAnsi="Arial" w:cs="Arial"/>
          <w:sz w:val="20"/>
          <w:szCs w:val="20"/>
        </w:rPr>
        <w:t>antiblacktongue</w:t>
      </w:r>
      <w:proofErr w:type="spellEnd"/>
      <w:r w:rsidRPr="00051392">
        <w:rPr>
          <w:rFonts w:ascii="Arial" w:hAnsi="Arial" w:cs="Arial"/>
          <w:sz w:val="20"/>
          <w:szCs w:val="20"/>
        </w:rPr>
        <w:t xml:space="preserve"> and the “P.-P.” factors from lactoflavin and vitamin </w:t>
      </w:r>
      <w:proofErr w:type="gramStart"/>
      <w:r w:rsidRPr="00051392">
        <w:rPr>
          <w:rFonts w:ascii="Arial" w:hAnsi="Arial" w:cs="Arial"/>
          <w:sz w:val="20"/>
          <w:szCs w:val="20"/>
        </w:rPr>
        <w:t>B(</w:t>
      </w:r>
      <w:proofErr w:type="gramEnd"/>
      <w:r w:rsidRPr="00051392">
        <w:rPr>
          <w:rFonts w:ascii="Arial" w:hAnsi="Arial" w:cs="Arial"/>
          <w:sz w:val="20"/>
          <w:szCs w:val="20"/>
        </w:rPr>
        <w:t xml:space="preserve">6) (so-called “rat pellagra” factor). Parts I-VI. </w:t>
      </w:r>
      <w:proofErr w:type="spellStart"/>
      <w:r w:rsidRPr="00051392">
        <w:rPr>
          <w:rFonts w:ascii="Arial" w:hAnsi="Arial" w:cs="Arial"/>
          <w:i/>
          <w:iCs/>
          <w:sz w:val="20"/>
          <w:szCs w:val="20"/>
        </w:rPr>
        <w:t>Biochem</w:t>
      </w:r>
      <w:proofErr w:type="spellEnd"/>
      <w:r w:rsidRPr="00051392">
        <w:rPr>
          <w:rFonts w:ascii="Arial" w:hAnsi="Arial" w:cs="Arial"/>
          <w:i/>
          <w:iCs/>
          <w:sz w:val="20"/>
          <w:szCs w:val="20"/>
        </w:rPr>
        <w:t xml:space="preserve"> J</w:t>
      </w:r>
      <w:r w:rsidRPr="00051392">
        <w:rPr>
          <w:rFonts w:ascii="Arial" w:hAnsi="Arial" w:cs="Arial"/>
          <w:sz w:val="20"/>
          <w:szCs w:val="20"/>
        </w:rPr>
        <w:t xml:space="preserve">. 1935;29(12):2830-2850. </w:t>
      </w:r>
      <w:proofErr w:type="spellStart"/>
      <w:proofErr w:type="gramStart"/>
      <w:r w:rsidRPr="00051392">
        <w:rPr>
          <w:rFonts w:ascii="Arial" w:hAnsi="Arial" w:cs="Arial"/>
          <w:sz w:val="20"/>
          <w:szCs w:val="20"/>
        </w:rPr>
        <w:t>doi:https</w:t>
      </w:r>
      <w:proofErr w:type="spellEnd"/>
      <w:r w:rsidRPr="00051392">
        <w:rPr>
          <w:rFonts w:ascii="Arial" w:hAnsi="Arial" w:cs="Arial"/>
          <w:sz w:val="20"/>
          <w:szCs w:val="20"/>
        </w:rPr>
        <w:t>://doi.org/10.1042/bj0292830</w:t>
      </w:r>
      <w:proofErr w:type="gramEnd"/>
    </w:p>
    <w:p w14:paraId="00962C81" w14:textId="1C3601F2" w:rsidR="001E51F9" w:rsidRPr="00051392" w:rsidRDefault="001E51F9" w:rsidP="00051392">
      <w:pPr>
        <w:pStyle w:val="ListParagraph"/>
        <w:numPr>
          <w:ilvl w:val="0"/>
          <w:numId w:val="1"/>
        </w:numPr>
        <w:spacing w:line="480" w:lineRule="auto"/>
        <w:rPr>
          <w:rFonts w:ascii="Arial" w:hAnsi="Arial" w:cs="Arial"/>
          <w:sz w:val="20"/>
          <w:szCs w:val="20"/>
          <w:lang w:val="en-SG"/>
        </w:rPr>
      </w:pPr>
      <w:proofErr w:type="spellStart"/>
      <w:r w:rsidRPr="00051392">
        <w:rPr>
          <w:rFonts w:ascii="Arial" w:hAnsi="Arial" w:cs="Arial"/>
          <w:sz w:val="20"/>
          <w:szCs w:val="20"/>
        </w:rPr>
        <w:t>Rioult-Pedotti</w:t>
      </w:r>
      <w:proofErr w:type="spellEnd"/>
      <w:r w:rsidRPr="00051392">
        <w:rPr>
          <w:rFonts w:ascii="Arial" w:hAnsi="Arial" w:cs="Arial"/>
          <w:sz w:val="20"/>
          <w:szCs w:val="20"/>
        </w:rPr>
        <w:t xml:space="preserve"> MS, </w:t>
      </w:r>
      <w:proofErr w:type="spellStart"/>
      <w:r w:rsidRPr="00051392">
        <w:rPr>
          <w:rFonts w:ascii="Arial" w:hAnsi="Arial" w:cs="Arial"/>
          <w:sz w:val="20"/>
          <w:szCs w:val="20"/>
        </w:rPr>
        <w:t>Pekanovic</w:t>
      </w:r>
      <w:proofErr w:type="spellEnd"/>
      <w:r w:rsidRPr="00051392">
        <w:rPr>
          <w:rFonts w:ascii="Arial" w:hAnsi="Arial" w:cs="Arial"/>
          <w:sz w:val="20"/>
          <w:szCs w:val="20"/>
        </w:rPr>
        <w:t xml:space="preserve"> A, </w:t>
      </w:r>
      <w:proofErr w:type="spellStart"/>
      <w:r w:rsidRPr="00051392">
        <w:rPr>
          <w:rFonts w:ascii="Arial" w:hAnsi="Arial" w:cs="Arial"/>
          <w:sz w:val="20"/>
          <w:szCs w:val="20"/>
        </w:rPr>
        <w:t>Atiemo</w:t>
      </w:r>
      <w:proofErr w:type="spellEnd"/>
      <w:r w:rsidRPr="00051392">
        <w:rPr>
          <w:rFonts w:ascii="Arial" w:hAnsi="Arial" w:cs="Arial"/>
          <w:sz w:val="20"/>
          <w:szCs w:val="20"/>
        </w:rPr>
        <w:t xml:space="preserve"> CO, Marshall J, Luft AR. Dopamine Promotes Motor Cortex Plasticity and Motor Skill Learning via PLC Activation. Beeler JA, ed. </w:t>
      </w:r>
      <w:r w:rsidRPr="00051392">
        <w:rPr>
          <w:rFonts w:ascii="Arial" w:hAnsi="Arial" w:cs="Arial"/>
          <w:i/>
          <w:iCs/>
          <w:sz w:val="20"/>
          <w:szCs w:val="20"/>
        </w:rPr>
        <w:t>PLOS ONE</w:t>
      </w:r>
      <w:r w:rsidRPr="00051392">
        <w:rPr>
          <w:rFonts w:ascii="Arial" w:hAnsi="Arial" w:cs="Arial"/>
          <w:sz w:val="20"/>
          <w:szCs w:val="20"/>
        </w:rPr>
        <w:t>. 2015;10(5</w:t>
      </w:r>
      <w:proofErr w:type="gramStart"/>
      <w:r w:rsidRPr="00051392">
        <w:rPr>
          <w:rFonts w:ascii="Arial" w:hAnsi="Arial" w:cs="Arial"/>
          <w:sz w:val="20"/>
          <w:szCs w:val="20"/>
        </w:rPr>
        <w:t>):e</w:t>
      </w:r>
      <w:proofErr w:type="gramEnd"/>
      <w:r w:rsidRPr="00051392">
        <w:rPr>
          <w:rFonts w:ascii="Arial" w:hAnsi="Arial" w:cs="Arial"/>
          <w:sz w:val="20"/>
          <w:szCs w:val="20"/>
        </w:rPr>
        <w:t xml:space="preserve">0124986. </w:t>
      </w:r>
      <w:proofErr w:type="gramStart"/>
      <w:r w:rsidRPr="00051392">
        <w:rPr>
          <w:rFonts w:ascii="Arial" w:hAnsi="Arial" w:cs="Arial"/>
          <w:sz w:val="20"/>
          <w:szCs w:val="20"/>
        </w:rPr>
        <w:t>doi:10.1371/journal.pone</w:t>
      </w:r>
      <w:proofErr w:type="gramEnd"/>
      <w:r w:rsidRPr="00051392">
        <w:rPr>
          <w:rFonts w:ascii="Arial" w:hAnsi="Arial" w:cs="Arial"/>
          <w:sz w:val="20"/>
          <w:szCs w:val="20"/>
        </w:rPr>
        <w:t>.0124986</w:t>
      </w:r>
    </w:p>
    <w:p w14:paraId="0146DB86" w14:textId="16606073" w:rsidR="00D73DC7" w:rsidRPr="00051392" w:rsidRDefault="00D73DC7"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t xml:space="preserve">Gwak YS, </w:t>
      </w:r>
      <w:proofErr w:type="spellStart"/>
      <w:r w:rsidRPr="00051392">
        <w:rPr>
          <w:rFonts w:ascii="Arial" w:hAnsi="Arial" w:cs="Arial"/>
          <w:sz w:val="20"/>
          <w:szCs w:val="20"/>
        </w:rPr>
        <w:t>Hulsebosch</w:t>
      </w:r>
      <w:proofErr w:type="spellEnd"/>
      <w:r w:rsidRPr="00051392">
        <w:rPr>
          <w:rFonts w:ascii="Arial" w:hAnsi="Arial" w:cs="Arial"/>
          <w:sz w:val="20"/>
          <w:szCs w:val="20"/>
        </w:rPr>
        <w:t xml:space="preserve"> CE. GABA and central neuropathic pain following spinal cord injury. </w:t>
      </w:r>
      <w:r w:rsidRPr="00051392">
        <w:rPr>
          <w:rFonts w:ascii="Arial" w:hAnsi="Arial" w:cs="Arial"/>
          <w:i/>
          <w:iCs/>
          <w:sz w:val="20"/>
          <w:szCs w:val="20"/>
        </w:rPr>
        <w:t>Neuropharmacology</w:t>
      </w:r>
      <w:r w:rsidRPr="00051392">
        <w:rPr>
          <w:rFonts w:ascii="Arial" w:hAnsi="Arial" w:cs="Arial"/>
          <w:sz w:val="20"/>
          <w:szCs w:val="20"/>
        </w:rPr>
        <w:t xml:space="preserve">. 2011;60(5):799-808. </w:t>
      </w:r>
      <w:proofErr w:type="gramStart"/>
      <w:r w:rsidRPr="00051392">
        <w:rPr>
          <w:rFonts w:ascii="Arial" w:hAnsi="Arial" w:cs="Arial"/>
          <w:sz w:val="20"/>
          <w:szCs w:val="20"/>
        </w:rPr>
        <w:t>doi:10.1016/j.neuropharm</w:t>
      </w:r>
      <w:proofErr w:type="gramEnd"/>
      <w:r w:rsidRPr="00051392">
        <w:rPr>
          <w:rFonts w:ascii="Arial" w:hAnsi="Arial" w:cs="Arial"/>
          <w:sz w:val="20"/>
          <w:szCs w:val="20"/>
        </w:rPr>
        <w:t>.2010.12.030</w:t>
      </w:r>
    </w:p>
    <w:p w14:paraId="40FED47F" w14:textId="62310AC0" w:rsidR="00007A8B" w:rsidRPr="00051392" w:rsidRDefault="00671C5D"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t xml:space="preserve">Parra M, Stahl S, Hellmann H. Vitamin B6 and Its Role in Cell Metabolism and Physiology. </w:t>
      </w:r>
      <w:r w:rsidRPr="00051392">
        <w:rPr>
          <w:rFonts w:ascii="Arial" w:hAnsi="Arial" w:cs="Arial"/>
          <w:i/>
          <w:iCs/>
          <w:sz w:val="20"/>
          <w:szCs w:val="20"/>
        </w:rPr>
        <w:t>Cells</w:t>
      </w:r>
      <w:r w:rsidRPr="00051392">
        <w:rPr>
          <w:rFonts w:ascii="Arial" w:hAnsi="Arial" w:cs="Arial"/>
          <w:sz w:val="20"/>
          <w:szCs w:val="20"/>
        </w:rPr>
        <w:t>. 2018;7(7):84. doi:10.3390/cells7070084</w:t>
      </w:r>
    </w:p>
    <w:p w14:paraId="695D226C" w14:textId="4604CB7A" w:rsidR="00007A8B" w:rsidRPr="00051392" w:rsidRDefault="00007A8B"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t xml:space="preserve">Young N S, Leyton M. The role of serotonin in human mood and social interaction. Insight from altered tryptophan levels. </w:t>
      </w:r>
      <w:proofErr w:type="spellStart"/>
      <w:r w:rsidRPr="00051392">
        <w:rPr>
          <w:rFonts w:ascii="Arial" w:hAnsi="Arial" w:cs="Arial"/>
          <w:i/>
          <w:iCs/>
          <w:sz w:val="20"/>
          <w:szCs w:val="20"/>
        </w:rPr>
        <w:t>Pharmacol</w:t>
      </w:r>
      <w:proofErr w:type="spellEnd"/>
      <w:r w:rsidRPr="00051392">
        <w:rPr>
          <w:rFonts w:ascii="Arial" w:hAnsi="Arial" w:cs="Arial"/>
          <w:i/>
          <w:iCs/>
          <w:sz w:val="20"/>
          <w:szCs w:val="20"/>
        </w:rPr>
        <w:t xml:space="preserve"> </w:t>
      </w:r>
      <w:proofErr w:type="spellStart"/>
      <w:r w:rsidRPr="00051392">
        <w:rPr>
          <w:rFonts w:ascii="Arial" w:hAnsi="Arial" w:cs="Arial"/>
          <w:i/>
          <w:iCs/>
          <w:sz w:val="20"/>
          <w:szCs w:val="20"/>
        </w:rPr>
        <w:t>Biochem</w:t>
      </w:r>
      <w:proofErr w:type="spellEnd"/>
      <w:r w:rsidRPr="00051392">
        <w:rPr>
          <w:rFonts w:ascii="Arial" w:hAnsi="Arial" w:cs="Arial"/>
          <w:i/>
          <w:iCs/>
          <w:sz w:val="20"/>
          <w:szCs w:val="20"/>
        </w:rPr>
        <w:t xml:space="preserve"> </w:t>
      </w:r>
      <w:proofErr w:type="spellStart"/>
      <w:r w:rsidRPr="00051392">
        <w:rPr>
          <w:rFonts w:ascii="Arial" w:hAnsi="Arial" w:cs="Arial"/>
          <w:i/>
          <w:iCs/>
          <w:sz w:val="20"/>
          <w:szCs w:val="20"/>
        </w:rPr>
        <w:t>Behav</w:t>
      </w:r>
      <w:proofErr w:type="spellEnd"/>
      <w:r w:rsidRPr="00051392">
        <w:rPr>
          <w:rFonts w:ascii="Arial" w:hAnsi="Arial" w:cs="Arial"/>
          <w:sz w:val="20"/>
          <w:szCs w:val="20"/>
        </w:rPr>
        <w:t xml:space="preserve">. 2002;71(4):857-865. </w:t>
      </w:r>
      <w:proofErr w:type="spellStart"/>
      <w:proofErr w:type="gramStart"/>
      <w:r w:rsidRPr="00051392">
        <w:rPr>
          <w:rFonts w:ascii="Arial" w:hAnsi="Arial" w:cs="Arial"/>
          <w:sz w:val="20"/>
          <w:szCs w:val="20"/>
        </w:rPr>
        <w:t>doi:https</w:t>
      </w:r>
      <w:proofErr w:type="spellEnd"/>
      <w:r w:rsidRPr="00051392">
        <w:rPr>
          <w:rFonts w:ascii="Arial" w:hAnsi="Arial" w:cs="Arial"/>
          <w:sz w:val="20"/>
          <w:szCs w:val="20"/>
        </w:rPr>
        <w:t>://doi.org/10.1016/s0091-3057(01)00670-0</w:t>
      </w:r>
      <w:proofErr w:type="gramEnd"/>
    </w:p>
    <w:p w14:paraId="0853C66B" w14:textId="3E9769D0" w:rsidR="00671C5D" w:rsidRPr="00051392" w:rsidRDefault="005F2C63" w:rsidP="00051392">
      <w:pPr>
        <w:pStyle w:val="ListParagraph"/>
        <w:numPr>
          <w:ilvl w:val="0"/>
          <w:numId w:val="1"/>
        </w:numPr>
        <w:spacing w:line="480" w:lineRule="auto"/>
        <w:rPr>
          <w:rFonts w:ascii="Arial" w:hAnsi="Arial" w:cs="Arial"/>
          <w:sz w:val="20"/>
          <w:szCs w:val="20"/>
          <w:lang w:val="en-SG"/>
        </w:rPr>
      </w:pPr>
      <w:proofErr w:type="spellStart"/>
      <w:r w:rsidRPr="00051392">
        <w:rPr>
          <w:rFonts w:ascii="Arial" w:hAnsi="Arial" w:cs="Arial"/>
          <w:sz w:val="20"/>
          <w:szCs w:val="20"/>
        </w:rPr>
        <w:t>Abosamak</w:t>
      </w:r>
      <w:proofErr w:type="spellEnd"/>
      <w:r w:rsidRPr="00051392">
        <w:rPr>
          <w:rFonts w:ascii="Arial" w:hAnsi="Arial" w:cs="Arial"/>
          <w:sz w:val="20"/>
          <w:szCs w:val="20"/>
        </w:rPr>
        <w:t xml:space="preserve"> N, Gupta V. Vitamin B6 (Pyridoxine). </w:t>
      </w:r>
      <w:proofErr w:type="spellStart"/>
      <w:r w:rsidRPr="00051392">
        <w:rPr>
          <w:rFonts w:ascii="Arial" w:hAnsi="Arial" w:cs="Arial"/>
          <w:i/>
          <w:iCs/>
          <w:sz w:val="20"/>
          <w:szCs w:val="20"/>
        </w:rPr>
        <w:t>StatPearls</w:t>
      </w:r>
      <w:proofErr w:type="spellEnd"/>
      <w:r w:rsidRPr="00051392">
        <w:rPr>
          <w:rFonts w:ascii="Arial" w:hAnsi="Arial" w:cs="Arial"/>
          <w:sz w:val="20"/>
          <w:szCs w:val="20"/>
        </w:rPr>
        <w:t xml:space="preserve">. Published online August 17, 2023. </w:t>
      </w:r>
      <w:hyperlink r:id="rId16" w:history="1">
        <w:r w:rsidRPr="00051392">
          <w:rPr>
            <w:rStyle w:val="Hyperlink"/>
            <w:rFonts w:ascii="Arial" w:hAnsi="Arial" w:cs="Arial"/>
            <w:sz w:val="20"/>
            <w:szCs w:val="20"/>
          </w:rPr>
          <w:t>https://www.ncbi.nlm.nih.gov/books/NBK557436/</w:t>
        </w:r>
      </w:hyperlink>
    </w:p>
    <w:p w14:paraId="5637149C" w14:textId="72E5E950" w:rsidR="005F2C63" w:rsidRPr="00051392" w:rsidRDefault="00AB2391"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t xml:space="preserve">Snider DE. Pyridoxine supplementation during isoniazid therapy. </w:t>
      </w:r>
      <w:r w:rsidRPr="00051392">
        <w:rPr>
          <w:rFonts w:ascii="Arial" w:hAnsi="Arial" w:cs="Arial"/>
          <w:i/>
          <w:iCs/>
          <w:sz w:val="20"/>
          <w:szCs w:val="20"/>
        </w:rPr>
        <w:t>Tubercle</w:t>
      </w:r>
      <w:r w:rsidRPr="00051392">
        <w:rPr>
          <w:rFonts w:ascii="Arial" w:hAnsi="Arial" w:cs="Arial"/>
          <w:sz w:val="20"/>
          <w:szCs w:val="20"/>
        </w:rPr>
        <w:t>. 1980;61(4):191-196. doi:10.1016/0041-3879(80)90038-0</w:t>
      </w:r>
    </w:p>
    <w:p w14:paraId="67ABD73E" w14:textId="586DB147" w:rsidR="00AB2391" w:rsidRPr="00051392" w:rsidRDefault="00195798"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t xml:space="preserve">Muhamad R, </w:t>
      </w:r>
      <w:proofErr w:type="spellStart"/>
      <w:r w:rsidRPr="00051392">
        <w:rPr>
          <w:rFonts w:ascii="Arial" w:hAnsi="Arial" w:cs="Arial"/>
          <w:sz w:val="20"/>
          <w:szCs w:val="20"/>
        </w:rPr>
        <w:t>Akrivaki</w:t>
      </w:r>
      <w:proofErr w:type="spellEnd"/>
      <w:r w:rsidRPr="00051392">
        <w:rPr>
          <w:rFonts w:ascii="Arial" w:hAnsi="Arial" w:cs="Arial"/>
          <w:sz w:val="20"/>
          <w:szCs w:val="20"/>
        </w:rPr>
        <w:t xml:space="preserve"> A, Papagiannopoulou G, </w:t>
      </w:r>
      <w:proofErr w:type="spellStart"/>
      <w:r w:rsidRPr="00051392">
        <w:rPr>
          <w:rFonts w:ascii="Arial" w:hAnsi="Arial" w:cs="Arial"/>
          <w:sz w:val="20"/>
          <w:szCs w:val="20"/>
        </w:rPr>
        <w:t>Zavridis</w:t>
      </w:r>
      <w:proofErr w:type="spellEnd"/>
      <w:r w:rsidRPr="00051392">
        <w:rPr>
          <w:rFonts w:ascii="Arial" w:hAnsi="Arial" w:cs="Arial"/>
          <w:sz w:val="20"/>
          <w:szCs w:val="20"/>
        </w:rPr>
        <w:t xml:space="preserve"> P, Zis P. The Role of Vitamin B6 in Peripheral Neuropathy: A Systematic Review. </w:t>
      </w:r>
      <w:r w:rsidRPr="00051392">
        <w:rPr>
          <w:rFonts w:ascii="Arial" w:hAnsi="Arial" w:cs="Arial"/>
          <w:i/>
          <w:iCs/>
          <w:sz w:val="20"/>
          <w:szCs w:val="20"/>
        </w:rPr>
        <w:t>Nutrients</w:t>
      </w:r>
      <w:r w:rsidRPr="00051392">
        <w:rPr>
          <w:rFonts w:ascii="Arial" w:hAnsi="Arial" w:cs="Arial"/>
          <w:sz w:val="20"/>
          <w:szCs w:val="20"/>
        </w:rPr>
        <w:t>. 2023;15(13):2823. doi:10.3390/nu15132823</w:t>
      </w:r>
    </w:p>
    <w:p w14:paraId="124CE177" w14:textId="463DA432" w:rsidR="00195798" w:rsidRPr="00051392" w:rsidRDefault="00B84CA6"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t xml:space="preserve">Raskin NH, Fishman RA. Pyridoxine-Deficiency Neuropathy Due to Hydralazine. </w:t>
      </w:r>
      <w:r w:rsidRPr="00051392">
        <w:rPr>
          <w:rFonts w:ascii="Arial" w:hAnsi="Arial" w:cs="Arial"/>
          <w:i/>
          <w:iCs/>
          <w:sz w:val="20"/>
          <w:szCs w:val="20"/>
        </w:rPr>
        <w:t>N Engl J Med</w:t>
      </w:r>
      <w:r w:rsidRPr="00051392">
        <w:rPr>
          <w:rFonts w:ascii="Arial" w:hAnsi="Arial" w:cs="Arial"/>
          <w:sz w:val="20"/>
          <w:szCs w:val="20"/>
        </w:rPr>
        <w:t>. 1965;273(22):1182-1185. doi:10.1056/NEJM196511252732203</w:t>
      </w:r>
    </w:p>
    <w:p w14:paraId="170D212A" w14:textId="584A6F4D" w:rsidR="00B84CA6" w:rsidRPr="00051392" w:rsidRDefault="00486C8E"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t xml:space="preserve">Nair S, Maguire W, Baron H, </w:t>
      </w:r>
      <w:proofErr w:type="spellStart"/>
      <w:r w:rsidRPr="00051392">
        <w:rPr>
          <w:rFonts w:ascii="Arial" w:hAnsi="Arial" w:cs="Arial"/>
          <w:sz w:val="20"/>
          <w:szCs w:val="20"/>
        </w:rPr>
        <w:t>Imbruce</w:t>
      </w:r>
      <w:proofErr w:type="spellEnd"/>
      <w:r w:rsidRPr="00051392">
        <w:rPr>
          <w:rFonts w:ascii="Arial" w:hAnsi="Arial" w:cs="Arial"/>
          <w:sz w:val="20"/>
          <w:szCs w:val="20"/>
        </w:rPr>
        <w:t xml:space="preserve"> R. The Effect of </w:t>
      </w:r>
      <w:proofErr w:type="spellStart"/>
      <w:r w:rsidRPr="00051392">
        <w:rPr>
          <w:rFonts w:ascii="Arial" w:hAnsi="Arial" w:cs="Arial"/>
          <w:sz w:val="20"/>
          <w:szCs w:val="20"/>
        </w:rPr>
        <w:t>Cycloserine</w:t>
      </w:r>
      <w:proofErr w:type="spellEnd"/>
      <w:r w:rsidRPr="00051392">
        <w:rPr>
          <w:rFonts w:ascii="Arial" w:hAnsi="Arial" w:cs="Arial"/>
          <w:sz w:val="20"/>
          <w:szCs w:val="20"/>
        </w:rPr>
        <w:t xml:space="preserve"> on Pyridoxine-Dependent Metabolism in Tuberculosis. </w:t>
      </w:r>
      <w:r w:rsidRPr="00051392">
        <w:rPr>
          <w:rFonts w:ascii="Arial" w:hAnsi="Arial" w:cs="Arial"/>
          <w:i/>
          <w:iCs/>
          <w:sz w:val="20"/>
          <w:szCs w:val="20"/>
        </w:rPr>
        <w:t xml:space="preserve">J Clin </w:t>
      </w:r>
      <w:proofErr w:type="spellStart"/>
      <w:r w:rsidRPr="00051392">
        <w:rPr>
          <w:rFonts w:ascii="Arial" w:hAnsi="Arial" w:cs="Arial"/>
          <w:i/>
          <w:iCs/>
          <w:sz w:val="20"/>
          <w:szCs w:val="20"/>
        </w:rPr>
        <w:t>Pharmacol</w:t>
      </w:r>
      <w:proofErr w:type="spellEnd"/>
      <w:r w:rsidRPr="00051392">
        <w:rPr>
          <w:rFonts w:ascii="Arial" w:hAnsi="Arial" w:cs="Arial"/>
          <w:sz w:val="20"/>
          <w:szCs w:val="20"/>
        </w:rPr>
        <w:t xml:space="preserve">. 1976;16(8-9). </w:t>
      </w:r>
      <w:proofErr w:type="spellStart"/>
      <w:proofErr w:type="gramStart"/>
      <w:r w:rsidRPr="00051392">
        <w:rPr>
          <w:rFonts w:ascii="Arial" w:hAnsi="Arial" w:cs="Arial"/>
          <w:sz w:val="20"/>
          <w:szCs w:val="20"/>
        </w:rPr>
        <w:t>doi:https</w:t>
      </w:r>
      <w:proofErr w:type="spellEnd"/>
      <w:r w:rsidRPr="00051392">
        <w:rPr>
          <w:rFonts w:ascii="Arial" w:hAnsi="Arial" w:cs="Arial"/>
          <w:sz w:val="20"/>
          <w:szCs w:val="20"/>
        </w:rPr>
        <w:t>://doi.org/10.1002/j.1552-4604.1976.tb02419.x</w:t>
      </w:r>
      <w:proofErr w:type="gramEnd"/>
    </w:p>
    <w:p w14:paraId="693B0BBA" w14:textId="5807A102" w:rsidR="00486C8E" w:rsidRPr="00051392" w:rsidRDefault="00195944"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lastRenderedPageBreak/>
        <w:t xml:space="preserve">Hoyumpa AM. Mechanisms of Vitamin Deficiencies in Alcoholism. </w:t>
      </w:r>
      <w:r w:rsidRPr="00051392">
        <w:rPr>
          <w:rFonts w:ascii="Arial" w:hAnsi="Arial" w:cs="Arial"/>
          <w:i/>
          <w:iCs/>
          <w:sz w:val="20"/>
          <w:szCs w:val="20"/>
        </w:rPr>
        <w:t>Alcohol Clin Exp Res</w:t>
      </w:r>
      <w:r w:rsidRPr="00051392">
        <w:rPr>
          <w:rFonts w:ascii="Arial" w:hAnsi="Arial" w:cs="Arial"/>
          <w:sz w:val="20"/>
          <w:szCs w:val="20"/>
        </w:rPr>
        <w:t xml:space="preserve">. 1986;10(6):573-581. </w:t>
      </w:r>
      <w:proofErr w:type="spellStart"/>
      <w:proofErr w:type="gramStart"/>
      <w:r w:rsidRPr="00051392">
        <w:rPr>
          <w:rFonts w:ascii="Arial" w:hAnsi="Arial" w:cs="Arial"/>
          <w:sz w:val="20"/>
          <w:szCs w:val="20"/>
        </w:rPr>
        <w:t>doi:https</w:t>
      </w:r>
      <w:proofErr w:type="spellEnd"/>
      <w:r w:rsidRPr="00051392">
        <w:rPr>
          <w:rFonts w:ascii="Arial" w:hAnsi="Arial" w:cs="Arial"/>
          <w:sz w:val="20"/>
          <w:szCs w:val="20"/>
        </w:rPr>
        <w:t>://doi.org/10.1111/j.1530-0277.1986.tb05147.x</w:t>
      </w:r>
      <w:proofErr w:type="gramEnd"/>
    </w:p>
    <w:p w14:paraId="433F8736" w14:textId="51635A6B" w:rsidR="00195944" w:rsidRPr="00051392" w:rsidRDefault="0034435C" w:rsidP="00051392">
      <w:pPr>
        <w:pStyle w:val="ListParagraph"/>
        <w:numPr>
          <w:ilvl w:val="0"/>
          <w:numId w:val="1"/>
        </w:numPr>
        <w:spacing w:line="480" w:lineRule="auto"/>
        <w:rPr>
          <w:rFonts w:ascii="Arial" w:hAnsi="Arial" w:cs="Arial"/>
          <w:sz w:val="20"/>
          <w:szCs w:val="20"/>
          <w:lang w:val="en-SG"/>
        </w:rPr>
      </w:pPr>
      <w:proofErr w:type="spellStart"/>
      <w:r w:rsidRPr="00051392">
        <w:rPr>
          <w:rFonts w:ascii="Arial" w:hAnsi="Arial" w:cs="Arial"/>
          <w:sz w:val="20"/>
          <w:szCs w:val="20"/>
        </w:rPr>
        <w:t>orld</w:t>
      </w:r>
      <w:proofErr w:type="spellEnd"/>
      <w:r w:rsidRPr="00051392">
        <w:rPr>
          <w:rFonts w:ascii="Arial" w:hAnsi="Arial" w:cs="Arial"/>
          <w:sz w:val="20"/>
          <w:szCs w:val="20"/>
        </w:rPr>
        <w:t xml:space="preserve"> Health Organization, Food and Agriculture Organization of the United Nations. </w:t>
      </w:r>
      <w:r w:rsidRPr="00051392">
        <w:rPr>
          <w:rFonts w:ascii="Arial" w:hAnsi="Arial" w:cs="Arial"/>
          <w:i/>
          <w:iCs/>
          <w:sz w:val="20"/>
          <w:szCs w:val="20"/>
        </w:rPr>
        <w:t>Vitamin and Mineral Requirements in Human Nutrition</w:t>
      </w:r>
      <w:r w:rsidRPr="00051392">
        <w:rPr>
          <w:rFonts w:ascii="Arial" w:hAnsi="Arial" w:cs="Arial"/>
          <w:sz w:val="20"/>
          <w:szCs w:val="20"/>
        </w:rPr>
        <w:t xml:space="preserve">, 2nd edition. 2004. Available from  </w:t>
      </w:r>
      <w:hyperlink r:id="rId17" w:history="1">
        <w:r w:rsidRPr="00051392">
          <w:rPr>
            <w:rStyle w:val="Hyperlink"/>
            <w:rFonts w:ascii="Arial" w:hAnsi="Arial" w:cs="Arial"/>
            <w:sz w:val="20"/>
            <w:szCs w:val="20"/>
          </w:rPr>
          <w:t>https://iris.who.int/bitstream/handle/10665/42716/9241546123.pdf?sequence=1</w:t>
        </w:r>
      </w:hyperlink>
      <w:r w:rsidRPr="00051392">
        <w:rPr>
          <w:rFonts w:ascii="Arial" w:hAnsi="Arial" w:cs="Arial"/>
          <w:sz w:val="20"/>
          <w:szCs w:val="20"/>
        </w:rPr>
        <w:t xml:space="preserve"> Accessed on 15 April 2024.</w:t>
      </w:r>
    </w:p>
    <w:p w14:paraId="0956443D" w14:textId="4D8483EC" w:rsidR="00B05F2C" w:rsidRPr="00051392" w:rsidRDefault="00B05F2C" w:rsidP="00051392">
      <w:pPr>
        <w:pStyle w:val="ListParagraph"/>
        <w:numPr>
          <w:ilvl w:val="0"/>
          <w:numId w:val="1"/>
        </w:numPr>
        <w:spacing w:line="480" w:lineRule="auto"/>
        <w:rPr>
          <w:rFonts w:ascii="Arial" w:hAnsi="Arial" w:cs="Arial"/>
          <w:sz w:val="20"/>
          <w:szCs w:val="20"/>
          <w:lang w:val="en-SG"/>
        </w:rPr>
      </w:pPr>
      <w:proofErr w:type="spellStart"/>
      <w:r w:rsidRPr="00051392">
        <w:rPr>
          <w:rFonts w:ascii="Arial" w:hAnsi="Arial" w:cs="Arial"/>
          <w:sz w:val="20"/>
          <w:szCs w:val="20"/>
        </w:rPr>
        <w:t>Ghavanini</w:t>
      </w:r>
      <w:proofErr w:type="spellEnd"/>
      <w:r w:rsidRPr="00051392">
        <w:rPr>
          <w:rFonts w:ascii="Arial" w:hAnsi="Arial" w:cs="Arial"/>
          <w:sz w:val="20"/>
          <w:szCs w:val="20"/>
        </w:rPr>
        <w:t xml:space="preserve"> AA, </w:t>
      </w:r>
      <w:proofErr w:type="spellStart"/>
      <w:r w:rsidRPr="00051392">
        <w:rPr>
          <w:rFonts w:ascii="Arial" w:hAnsi="Arial" w:cs="Arial"/>
          <w:sz w:val="20"/>
          <w:szCs w:val="20"/>
        </w:rPr>
        <w:t>Kimpinski</w:t>
      </w:r>
      <w:proofErr w:type="spellEnd"/>
      <w:r w:rsidRPr="00051392">
        <w:rPr>
          <w:rFonts w:ascii="Arial" w:hAnsi="Arial" w:cs="Arial"/>
          <w:sz w:val="20"/>
          <w:szCs w:val="20"/>
        </w:rPr>
        <w:t xml:space="preserve"> K. Revisiting the Evidence for Neuropathy Caused by Pyridoxine Deficiency and Excess. </w:t>
      </w:r>
      <w:r w:rsidRPr="00051392">
        <w:rPr>
          <w:rFonts w:ascii="Arial" w:hAnsi="Arial" w:cs="Arial"/>
          <w:i/>
          <w:iCs/>
          <w:sz w:val="20"/>
          <w:szCs w:val="20"/>
        </w:rPr>
        <w:t xml:space="preserve">J Clin </w:t>
      </w:r>
      <w:proofErr w:type="spellStart"/>
      <w:r w:rsidRPr="00051392">
        <w:rPr>
          <w:rFonts w:ascii="Arial" w:hAnsi="Arial" w:cs="Arial"/>
          <w:i/>
          <w:iCs/>
          <w:sz w:val="20"/>
          <w:szCs w:val="20"/>
        </w:rPr>
        <w:t>Neuromuscul</w:t>
      </w:r>
      <w:proofErr w:type="spellEnd"/>
      <w:r w:rsidRPr="00051392">
        <w:rPr>
          <w:rFonts w:ascii="Arial" w:hAnsi="Arial" w:cs="Arial"/>
          <w:i/>
          <w:iCs/>
          <w:sz w:val="20"/>
          <w:szCs w:val="20"/>
        </w:rPr>
        <w:t xml:space="preserve"> Dis</w:t>
      </w:r>
      <w:r w:rsidRPr="00051392">
        <w:rPr>
          <w:rFonts w:ascii="Arial" w:hAnsi="Arial" w:cs="Arial"/>
          <w:sz w:val="20"/>
          <w:szCs w:val="20"/>
        </w:rPr>
        <w:t>. 2014;16(1):25-31. doi:10.1097/CND.0000000000000049</w:t>
      </w:r>
    </w:p>
    <w:p w14:paraId="56B0BC40" w14:textId="7DD17099" w:rsidR="00E1306E" w:rsidRPr="00051392" w:rsidRDefault="007662C9"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t xml:space="preserve">Institute of Medicine (US) Standing Committee on the Scientific Evaluation of Dietary Reference Intakes and its Panel on Folate, Other B Vitamins, and Choline. </w:t>
      </w:r>
      <w:r w:rsidRPr="00051392">
        <w:rPr>
          <w:rFonts w:ascii="Arial" w:hAnsi="Arial" w:cs="Arial"/>
          <w:i/>
          <w:iCs/>
          <w:sz w:val="20"/>
          <w:szCs w:val="20"/>
        </w:rPr>
        <w:t>Dietary Reference Intakes for Thiamin, Riboflavin, Niacin, Vitamin B6, Folate, Vitamin B12, Pantothenic Acid, Biotin, and Choline</w:t>
      </w:r>
      <w:r w:rsidRPr="00051392">
        <w:rPr>
          <w:rFonts w:ascii="Arial" w:hAnsi="Arial" w:cs="Arial"/>
          <w:sz w:val="20"/>
          <w:szCs w:val="20"/>
        </w:rPr>
        <w:t>. National Academies Press; 1998:6015. doi:10.17226/6015</w:t>
      </w:r>
    </w:p>
    <w:p w14:paraId="152DA5C4" w14:textId="0DC93DAD" w:rsidR="007662C9" w:rsidRPr="00051392" w:rsidRDefault="006C402A"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t>National Health and Medical Research Council.  </w:t>
      </w:r>
      <w:r w:rsidRPr="00051392">
        <w:rPr>
          <w:rFonts w:ascii="Arial" w:hAnsi="Arial" w:cs="Arial"/>
          <w:i/>
          <w:iCs/>
          <w:sz w:val="20"/>
          <w:szCs w:val="20"/>
        </w:rPr>
        <w:t>Nutrient Reference Values for Australia and New Zealand: Including Recommended Dietary Intakes</w:t>
      </w:r>
      <w:r w:rsidRPr="00051392">
        <w:rPr>
          <w:rFonts w:ascii="Arial" w:hAnsi="Arial" w:cs="Arial"/>
          <w:sz w:val="20"/>
          <w:szCs w:val="20"/>
        </w:rPr>
        <w:t xml:space="preserve">. National Health and Medical Research </w:t>
      </w:r>
      <w:proofErr w:type="gramStart"/>
      <w:r w:rsidRPr="00051392">
        <w:rPr>
          <w:rFonts w:ascii="Arial" w:hAnsi="Arial" w:cs="Arial"/>
          <w:sz w:val="20"/>
          <w:szCs w:val="20"/>
        </w:rPr>
        <w:t>Council ;</w:t>
      </w:r>
      <w:proofErr w:type="gramEnd"/>
      <w:r w:rsidRPr="00051392">
        <w:rPr>
          <w:rFonts w:ascii="Arial" w:hAnsi="Arial" w:cs="Arial"/>
          <w:sz w:val="20"/>
          <w:szCs w:val="20"/>
        </w:rPr>
        <w:t xml:space="preserve"> Ministry of Health; 2006. Available from: </w:t>
      </w:r>
      <w:hyperlink r:id="rId18" w:history="1">
        <w:r w:rsidRPr="00051392">
          <w:rPr>
            <w:rStyle w:val="Hyperlink"/>
            <w:rFonts w:ascii="Arial" w:hAnsi="Arial" w:cs="Arial"/>
            <w:sz w:val="20"/>
            <w:szCs w:val="20"/>
          </w:rPr>
          <w:t>https://www.nhmrc.gov.au/about-us/publications/nutrient-reference-values-australia-and-new-zealand-including-recommended-dietary-intakes. Accessed 15 April 2024</w:t>
        </w:r>
      </w:hyperlink>
      <w:r w:rsidRPr="00051392">
        <w:rPr>
          <w:rFonts w:ascii="Arial" w:hAnsi="Arial" w:cs="Arial"/>
          <w:sz w:val="20"/>
          <w:szCs w:val="20"/>
        </w:rPr>
        <w:t>.</w:t>
      </w:r>
    </w:p>
    <w:p w14:paraId="2546A371" w14:textId="77777777" w:rsidR="00C8021F" w:rsidRPr="00051392" w:rsidRDefault="00C8021F" w:rsidP="00051392">
      <w:pPr>
        <w:pStyle w:val="Bibliography"/>
        <w:numPr>
          <w:ilvl w:val="0"/>
          <w:numId w:val="1"/>
        </w:numPr>
        <w:spacing w:line="480" w:lineRule="auto"/>
        <w:rPr>
          <w:rFonts w:ascii="Arial" w:hAnsi="Arial" w:cs="Arial"/>
          <w:sz w:val="20"/>
          <w:szCs w:val="20"/>
        </w:rPr>
      </w:pPr>
      <w:r w:rsidRPr="00051392">
        <w:rPr>
          <w:rFonts w:ascii="Arial" w:hAnsi="Arial" w:cs="Arial"/>
          <w:sz w:val="20"/>
          <w:szCs w:val="20"/>
        </w:rPr>
        <w:t xml:space="preserve">Bernstein AL. Vitamin B </w:t>
      </w:r>
      <w:r w:rsidRPr="00051392">
        <w:rPr>
          <w:rFonts w:ascii="Arial" w:hAnsi="Arial" w:cs="Arial"/>
          <w:sz w:val="20"/>
          <w:szCs w:val="20"/>
          <w:vertAlign w:val="subscript"/>
        </w:rPr>
        <w:t>6</w:t>
      </w:r>
      <w:r w:rsidRPr="00051392">
        <w:rPr>
          <w:rFonts w:ascii="Arial" w:hAnsi="Arial" w:cs="Arial"/>
          <w:sz w:val="20"/>
          <w:szCs w:val="20"/>
        </w:rPr>
        <w:t xml:space="preserve"> in Clinical Neurology. </w:t>
      </w:r>
      <w:r w:rsidRPr="00051392">
        <w:rPr>
          <w:rFonts w:ascii="Arial" w:hAnsi="Arial" w:cs="Arial"/>
          <w:i/>
          <w:iCs/>
          <w:sz w:val="20"/>
          <w:szCs w:val="20"/>
        </w:rPr>
        <w:t xml:space="preserve">Ann N Y </w:t>
      </w:r>
      <w:proofErr w:type="spellStart"/>
      <w:r w:rsidRPr="00051392">
        <w:rPr>
          <w:rFonts w:ascii="Arial" w:hAnsi="Arial" w:cs="Arial"/>
          <w:i/>
          <w:iCs/>
          <w:sz w:val="20"/>
          <w:szCs w:val="20"/>
        </w:rPr>
        <w:t>Acad</w:t>
      </w:r>
      <w:proofErr w:type="spellEnd"/>
      <w:r w:rsidRPr="00051392">
        <w:rPr>
          <w:rFonts w:ascii="Arial" w:hAnsi="Arial" w:cs="Arial"/>
          <w:i/>
          <w:iCs/>
          <w:sz w:val="20"/>
          <w:szCs w:val="20"/>
        </w:rPr>
        <w:t xml:space="preserve"> Sci</w:t>
      </w:r>
      <w:r w:rsidRPr="00051392">
        <w:rPr>
          <w:rFonts w:ascii="Arial" w:hAnsi="Arial" w:cs="Arial"/>
          <w:sz w:val="20"/>
          <w:szCs w:val="20"/>
        </w:rPr>
        <w:t>. 1990;585(1):250-260. doi:10.1111/j.1749-</w:t>
      </w:r>
      <w:proofErr w:type="gramStart"/>
      <w:r w:rsidRPr="00051392">
        <w:rPr>
          <w:rFonts w:ascii="Arial" w:hAnsi="Arial" w:cs="Arial"/>
          <w:sz w:val="20"/>
          <w:szCs w:val="20"/>
        </w:rPr>
        <w:t>6632.1990.tb</w:t>
      </w:r>
      <w:proofErr w:type="gramEnd"/>
      <w:r w:rsidRPr="00051392">
        <w:rPr>
          <w:rFonts w:ascii="Arial" w:hAnsi="Arial" w:cs="Arial"/>
          <w:sz w:val="20"/>
          <w:szCs w:val="20"/>
        </w:rPr>
        <w:t>28058.x</w:t>
      </w:r>
    </w:p>
    <w:p w14:paraId="21F8F2B4" w14:textId="66DF72A6" w:rsidR="00C8021F" w:rsidRPr="00051392" w:rsidRDefault="00C8021F" w:rsidP="00051392">
      <w:pPr>
        <w:pStyle w:val="Bibliography"/>
        <w:numPr>
          <w:ilvl w:val="0"/>
          <w:numId w:val="1"/>
        </w:numPr>
        <w:spacing w:line="480" w:lineRule="auto"/>
        <w:rPr>
          <w:rFonts w:ascii="Arial" w:hAnsi="Arial" w:cs="Arial"/>
          <w:sz w:val="20"/>
          <w:szCs w:val="20"/>
        </w:rPr>
      </w:pPr>
      <w:proofErr w:type="spellStart"/>
      <w:r w:rsidRPr="00051392">
        <w:rPr>
          <w:rFonts w:ascii="Arial" w:hAnsi="Arial" w:cs="Arial"/>
          <w:sz w:val="20"/>
          <w:szCs w:val="20"/>
        </w:rPr>
        <w:t>Pietrzik</w:t>
      </w:r>
      <w:proofErr w:type="spellEnd"/>
      <w:r w:rsidRPr="00051392">
        <w:rPr>
          <w:rFonts w:ascii="Arial" w:hAnsi="Arial" w:cs="Arial"/>
          <w:sz w:val="20"/>
          <w:szCs w:val="20"/>
        </w:rPr>
        <w:t xml:space="preserve"> K, Hages M. Risk/benefit evaluation of a high dose B vitamin therapy. </w:t>
      </w:r>
      <w:proofErr w:type="spellStart"/>
      <w:r w:rsidRPr="00051392">
        <w:rPr>
          <w:rFonts w:ascii="Arial" w:hAnsi="Arial" w:cs="Arial"/>
          <w:i/>
          <w:iCs/>
          <w:sz w:val="20"/>
          <w:szCs w:val="20"/>
        </w:rPr>
        <w:t>Steinkopff</w:t>
      </w:r>
      <w:proofErr w:type="spellEnd"/>
      <w:r w:rsidRPr="00051392">
        <w:rPr>
          <w:rFonts w:ascii="Arial" w:hAnsi="Arial" w:cs="Arial"/>
          <w:i/>
          <w:iCs/>
          <w:sz w:val="20"/>
          <w:szCs w:val="20"/>
        </w:rPr>
        <w:t xml:space="preserve"> Verl Darmstadt</w:t>
      </w:r>
      <w:r w:rsidRPr="00051392">
        <w:rPr>
          <w:rFonts w:ascii="Arial" w:hAnsi="Arial" w:cs="Arial"/>
          <w:sz w:val="20"/>
          <w:szCs w:val="20"/>
        </w:rPr>
        <w:t>. Published online 1991:115-124.</w:t>
      </w:r>
    </w:p>
    <w:p w14:paraId="1944B13E" w14:textId="50627B1D" w:rsidR="006C402A" w:rsidRPr="00051392" w:rsidRDefault="00D42249"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t xml:space="preserve">Janka HU, </w:t>
      </w:r>
      <w:proofErr w:type="spellStart"/>
      <w:r w:rsidRPr="00051392">
        <w:rPr>
          <w:rFonts w:ascii="Arial" w:hAnsi="Arial" w:cs="Arial"/>
          <w:sz w:val="20"/>
          <w:szCs w:val="20"/>
        </w:rPr>
        <w:t>Rietzel</w:t>
      </w:r>
      <w:proofErr w:type="spellEnd"/>
      <w:r w:rsidRPr="00051392">
        <w:rPr>
          <w:rFonts w:ascii="Arial" w:hAnsi="Arial" w:cs="Arial"/>
          <w:sz w:val="20"/>
          <w:szCs w:val="20"/>
        </w:rPr>
        <w:t xml:space="preserve"> S, Mehnert H. The influence of </w:t>
      </w:r>
      <w:proofErr w:type="spellStart"/>
      <w:r w:rsidRPr="00051392">
        <w:rPr>
          <w:rFonts w:ascii="Arial" w:hAnsi="Arial" w:cs="Arial"/>
          <w:sz w:val="20"/>
          <w:szCs w:val="20"/>
        </w:rPr>
        <w:t>neurobion</w:t>
      </w:r>
      <w:proofErr w:type="spellEnd"/>
      <w:r w:rsidRPr="00051392">
        <w:rPr>
          <w:rFonts w:ascii="Arial" w:hAnsi="Arial" w:cs="Arial"/>
          <w:sz w:val="20"/>
          <w:szCs w:val="20"/>
        </w:rPr>
        <w:t xml:space="preserve"> on temperature sensibility in patients with diabetic polyneuropathy. In: </w:t>
      </w:r>
      <w:proofErr w:type="spellStart"/>
      <w:r w:rsidRPr="00051392">
        <w:rPr>
          <w:rFonts w:ascii="Arial" w:hAnsi="Arial" w:cs="Arial"/>
          <w:i/>
          <w:iCs/>
          <w:sz w:val="20"/>
          <w:szCs w:val="20"/>
        </w:rPr>
        <w:t>Pharmakologie</w:t>
      </w:r>
      <w:proofErr w:type="spellEnd"/>
      <w:r w:rsidRPr="00051392">
        <w:rPr>
          <w:rFonts w:ascii="Arial" w:hAnsi="Arial" w:cs="Arial"/>
          <w:i/>
          <w:iCs/>
          <w:sz w:val="20"/>
          <w:szCs w:val="20"/>
        </w:rPr>
        <w:t xml:space="preserve"> Und </w:t>
      </w:r>
      <w:proofErr w:type="spellStart"/>
      <w:r w:rsidRPr="00051392">
        <w:rPr>
          <w:rFonts w:ascii="Arial" w:hAnsi="Arial" w:cs="Arial"/>
          <w:i/>
          <w:iCs/>
          <w:sz w:val="20"/>
          <w:szCs w:val="20"/>
        </w:rPr>
        <w:t>Klinische</w:t>
      </w:r>
      <w:proofErr w:type="spellEnd"/>
      <w:r w:rsidRPr="00051392">
        <w:rPr>
          <w:rFonts w:ascii="Arial" w:hAnsi="Arial" w:cs="Arial"/>
          <w:i/>
          <w:iCs/>
          <w:sz w:val="20"/>
          <w:szCs w:val="20"/>
        </w:rPr>
        <w:t xml:space="preserve"> </w:t>
      </w:r>
      <w:proofErr w:type="spellStart"/>
      <w:r w:rsidRPr="00051392">
        <w:rPr>
          <w:rFonts w:ascii="Arial" w:hAnsi="Arial" w:cs="Arial"/>
          <w:i/>
          <w:iCs/>
          <w:sz w:val="20"/>
          <w:szCs w:val="20"/>
        </w:rPr>
        <w:t>Anwendung</w:t>
      </w:r>
      <w:proofErr w:type="spellEnd"/>
      <w:r w:rsidRPr="00051392">
        <w:rPr>
          <w:rFonts w:ascii="Arial" w:hAnsi="Arial" w:cs="Arial"/>
          <w:i/>
          <w:iCs/>
          <w:sz w:val="20"/>
          <w:szCs w:val="20"/>
        </w:rPr>
        <w:t xml:space="preserve"> </w:t>
      </w:r>
      <w:proofErr w:type="spellStart"/>
      <w:r w:rsidRPr="00051392">
        <w:rPr>
          <w:rFonts w:ascii="Arial" w:hAnsi="Arial" w:cs="Arial"/>
          <w:i/>
          <w:iCs/>
          <w:sz w:val="20"/>
          <w:szCs w:val="20"/>
        </w:rPr>
        <w:t>Hochdosierter</w:t>
      </w:r>
      <w:proofErr w:type="spellEnd"/>
      <w:r w:rsidRPr="00051392">
        <w:rPr>
          <w:rFonts w:ascii="Arial" w:hAnsi="Arial" w:cs="Arial"/>
          <w:i/>
          <w:iCs/>
          <w:sz w:val="20"/>
          <w:szCs w:val="20"/>
        </w:rPr>
        <w:t xml:space="preserve"> B-</w:t>
      </w:r>
      <w:proofErr w:type="spellStart"/>
      <w:r w:rsidRPr="00051392">
        <w:rPr>
          <w:rFonts w:ascii="Arial" w:hAnsi="Arial" w:cs="Arial"/>
          <w:i/>
          <w:iCs/>
          <w:sz w:val="20"/>
          <w:szCs w:val="20"/>
        </w:rPr>
        <w:t>Vitamine</w:t>
      </w:r>
      <w:proofErr w:type="spellEnd"/>
      <w:r w:rsidRPr="00051392">
        <w:rPr>
          <w:rFonts w:ascii="Arial" w:hAnsi="Arial" w:cs="Arial"/>
          <w:sz w:val="20"/>
          <w:szCs w:val="20"/>
        </w:rPr>
        <w:t xml:space="preserve">. </w:t>
      </w:r>
      <w:proofErr w:type="spellStart"/>
      <w:r w:rsidRPr="00051392">
        <w:rPr>
          <w:rFonts w:ascii="Arial" w:hAnsi="Arial" w:cs="Arial"/>
          <w:sz w:val="20"/>
          <w:szCs w:val="20"/>
        </w:rPr>
        <w:t>Steinkopff</w:t>
      </w:r>
      <w:proofErr w:type="spellEnd"/>
      <w:r w:rsidRPr="00051392">
        <w:rPr>
          <w:rFonts w:ascii="Arial" w:hAnsi="Arial" w:cs="Arial"/>
          <w:sz w:val="20"/>
          <w:szCs w:val="20"/>
        </w:rPr>
        <w:t xml:space="preserve">; 1991:87-97. </w:t>
      </w:r>
      <w:hyperlink r:id="rId19" w:history="1">
        <w:r w:rsidRPr="00051392">
          <w:rPr>
            <w:rStyle w:val="Hyperlink"/>
            <w:rFonts w:ascii="Arial" w:hAnsi="Arial" w:cs="Arial"/>
            <w:sz w:val="20"/>
            <w:szCs w:val="20"/>
          </w:rPr>
          <w:t>http://link.springer.com/10.1007/978-3-642-85410-1_9</w:t>
        </w:r>
      </w:hyperlink>
      <w:r w:rsidRPr="00051392">
        <w:rPr>
          <w:rFonts w:ascii="Arial" w:hAnsi="Arial" w:cs="Arial"/>
          <w:sz w:val="20"/>
          <w:szCs w:val="20"/>
        </w:rPr>
        <w:t>. German.</w:t>
      </w:r>
    </w:p>
    <w:p w14:paraId="4493EA2C" w14:textId="1A438D01" w:rsidR="00D42249" w:rsidRPr="00051392" w:rsidRDefault="00484B85" w:rsidP="00051392">
      <w:pPr>
        <w:pStyle w:val="ListParagraph"/>
        <w:numPr>
          <w:ilvl w:val="0"/>
          <w:numId w:val="1"/>
        </w:numPr>
        <w:spacing w:line="480" w:lineRule="auto"/>
        <w:rPr>
          <w:rFonts w:ascii="Arial" w:hAnsi="Arial" w:cs="Arial"/>
          <w:sz w:val="20"/>
          <w:szCs w:val="20"/>
          <w:lang w:val="en-SG"/>
        </w:rPr>
      </w:pPr>
      <w:r w:rsidRPr="001D5BD1">
        <w:rPr>
          <w:rFonts w:ascii="Arial" w:hAnsi="Arial" w:cs="Arial"/>
          <w:sz w:val="20"/>
          <w:szCs w:val="20"/>
          <w:lang w:val="fr-FR"/>
        </w:rPr>
        <w:lastRenderedPageBreak/>
        <w:t xml:space="preserve">Coughlin CR, </w:t>
      </w:r>
      <w:proofErr w:type="spellStart"/>
      <w:r w:rsidRPr="001D5BD1">
        <w:rPr>
          <w:rFonts w:ascii="Arial" w:hAnsi="Arial" w:cs="Arial"/>
          <w:sz w:val="20"/>
          <w:szCs w:val="20"/>
          <w:lang w:val="fr-FR"/>
        </w:rPr>
        <w:t>Tseng</w:t>
      </w:r>
      <w:proofErr w:type="spellEnd"/>
      <w:r w:rsidRPr="001D5BD1">
        <w:rPr>
          <w:rFonts w:ascii="Arial" w:hAnsi="Arial" w:cs="Arial"/>
          <w:sz w:val="20"/>
          <w:szCs w:val="20"/>
          <w:lang w:val="fr-FR"/>
        </w:rPr>
        <w:t xml:space="preserve"> LA, </w:t>
      </w:r>
      <w:proofErr w:type="spellStart"/>
      <w:r w:rsidRPr="001D5BD1">
        <w:rPr>
          <w:rFonts w:ascii="Arial" w:hAnsi="Arial" w:cs="Arial"/>
          <w:sz w:val="20"/>
          <w:szCs w:val="20"/>
          <w:lang w:val="fr-FR"/>
        </w:rPr>
        <w:t>Abdenur</w:t>
      </w:r>
      <w:proofErr w:type="spellEnd"/>
      <w:r w:rsidRPr="001D5BD1">
        <w:rPr>
          <w:rFonts w:ascii="Arial" w:hAnsi="Arial" w:cs="Arial"/>
          <w:sz w:val="20"/>
          <w:szCs w:val="20"/>
          <w:lang w:val="fr-FR"/>
        </w:rPr>
        <w:t xml:space="preserve"> JE, et al. </w:t>
      </w:r>
      <w:r w:rsidRPr="00051392">
        <w:rPr>
          <w:rFonts w:ascii="Arial" w:hAnsi="Arial" w:cs="Arial"/>
          <w:sz w:val="20"/>
          <w:szCs w:val="20"/>
        </w:rPr>
        <w:t>Consensus guidelines for the diagnosis and management of pyridoxine</w:t>
      </w:r>
      <w:r w:rsidRPr="00051392">
        <w:rPr>
          <w:rFonts w:ascii="Cambria Math" w:hAnsi="Cambria Math" w:cs="Cambria Math"/>
          <w:sz w:val="20"/>
          <w:szCs w:val="20"/>
        </w:rPr>
        <w:t>‐</w:t>
      </w:r>
      <w:r w:rsidRPr="00051392">
        <w:rPr>
          <w:rFonts w:ascii="Arial" w:hAnsi="Arial" w:cs="Arial"/>
          <w:sz w:val="20"/>
          <w:szCs w:val="20"/>
        </w:rPr>
        <w:t>dependent epilepsy due to α</w:t>
      </w:r>
      <w:r w:rsidRPr="00051392">
        <w:rPr>
          <w:rFonts w:ascii="Cambria Math" w:hAnsi="Cambria Math" w:cs="Cambria Math"/>
          <w:sz w:val="20"/>
          <w:szCs w:val="20"/>
        </w:rPr>
        <w:t>‐</w:t>
      </w:r>
      <w:r w:rsidRPr="00051392">
        <w:rPr>
          <w:rFonts w:ascii="Arial" w:hAnsi="Arial" w:cs="Arial"/>
          <w:sz w:val="20"/>
          <w:szCs w:val="20"/>
        </w:rPr>
        <w:t xml:space="preserve">aminoadipic semialdehyde dehydrogenase deficiency. </w:t>
      </w:r>
      <w:r w:rsidRPr="00051392">
        <w:rPr>
          <w:rFonts w:ascii="Arial" w:hAnsi="Arial" w:cs="Arial"/>
          <w:i/>
          <w:iCs/>
          <w:sz w:val="20"/>
          <w:szCs w:val="20"/>
        </w:rPr>
        <w:t xml:space="preserve">J Inherit </w:t>
      </w:r>
      <w:proofErr w:type="spellStart"/>
      <w:r w:rsidRPr="00051392">
        <w:rPr>
          <w:rFonts w:ascii="Arial" w:hAnsi="Arial" w:cs="Arial"/>
          <w:i/>
          <w:iCs/>
          <w:sz w:val="20"/>
          <w:szCs w:val="20"/>
        </w:rPr>
        <w:t>Metab</w:t>
      </w:r>
      <w:proofErr w:type="spellEnd"/>
      <w:r w:rsidRPr="00051392">
        <w:rPr>
          <w:rFonts w:ascii="Arial" w:hAnsi="Arial" w:cs="Arial"/>
          <w:i/>
          <w:iCs/>
          <w:sz w:val="20"/>
          <w:szCs w:val="20"/>
        </w:rPr>
        <w:t xml:space="preserve"> Dis</w:t>
      </w:r>
      <w:r w:rsidRPr="00051392">
        <w:rPr>
          <w:rFonts w:ascii="Arial" w:hAnsi="Arial" w:cs="Arial"/>
          <w:sz w:val="20"/>
          <w:szCs w:val="20"/>
        </w:rPr>
        <w:t>. 2021;44(1):178-192. doi:10.1002/jimd.12332</w:t>
      </w:r>
    </w:p>
    <w:p w14:paraId="1A08A140" w14:textId="12B593BA" w:rsidR="00484B85" w:rsidRPr="00051392" w:rsidRDefault="0004391B"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t xml:space="preserve">Therapeutic Goods Administration (TGA). Health supplements containing vitamin B6 can cause peripheral neuropathy. 2022 November 10. Available from: </w:t>
      </w:r>
      <w:hyperlink r:id="rId20" w:history="1">
        <w:r w:rsidRPr="00051392">
          <w:rPr>
            <w:rStyle w:val="Hyperlink"/>
            <w:rFonts w:ascii="Arial" w:hAnsi="Arial" w:cs="Arial"/>
            <w:sz w:val="20"/>
            <w:szCs w:val="20"/>
          </w:rPr>
          <w:t>https://www.tga.gov.au/news/safety-alerts/health-supplements-containing-vitamin-b6-can-cause-peripheral-neuropathy</w:t>
        </w:r>
      </w:hyperlink>
      <w:r w:rsidRPr="00051392">
        <w:rPr>
          <w:rFonts w:ascii="Arial" w:hAnsi="Arial" w:cs="Arial"/>
          <w:sz w:val="20"/>
          <w:szCs w:val="20"/>
        </w:rPr>
        <w:t>. Accessed April 15, 2024.</w:t>
      </w:r>
    </w:p>
    <w:p w14:paraId="49E63541" w14:textId="1F95E724" w:rsidR="00DB14EA" w:rsidRPr="00051392" w:rsidRDefault="00DB14EA"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t>Health Sciences Authority (HSA). High-dose vitamin B6 and risk of peripheral neuropathy. 2023 May 15. Available from: https://www.hsa.gov.sg/announcements/safety-alert/high-dose-vitamin-b6-and-risk-of-peripheral-neuropathy. Accessed April 15, 2024.</w:t>
      </w:r>
    </w:p>
    <w:p w14:paraId="0F03E23B" w14:textId="55E16934" w:rsidR="00DB14EA" w:rsidRPr="00051392" w:rsidRDefault="00065BE4"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t xml:space="preserve">Vrolijk MF, Hageman GJ, Van De Koppel S, Van Hunsel F, Bast A. Inter-individual differences in pharmacokinetics of vitamin B6: A possible explanation of different sensitivity to its neuropathic effects. </w:t>
      </w:r>
      <w:proofErr w:type="spellStart"/>
      <w:r w:rsidRPr="00051392">
        <w:rPr>
          <w:rFonts w:ascii="Arial" w:hAnsi="Arial" w:cs="Arial"/>
          <w:i/>
          <w:iCs/>
          <w:sz w:val="20"/>
          <w:szCs w:val="20"/>
        </w:rPr>
        <w:t>PharmaNutrition</w:t>
      </w:r>
      <w:proofErr w:type="spellEnd"/>
      <w:r w:rsidRPr="00051392">
        <w:rPr>
          <w:rFonts w:ascii="Arial" w:hAnsi="Arial" w:cs="Arial"/>
          <w:sz w:val="20"/>
          <w:szCs w:val="20"/>
        </w:rPr>
        <w:t xml:space="preserve">. </w:t>
      </w:r>
      <w:proofErr w:type="gramStart"/>
      <w:r w:rsidRPr="00051392">
        <w:rPr>
          <w:rFonts w:ascii="Arial" w:hAnsi="Arial" w:cs="Arial"/>
          <w:sz w:val="20"/>
          <w:szCs w:val="20"/>
        </w:rPr>
        <w:t>2020;12:100188</w:t>
      </w:r>
      <w:proofErr w:type="gramEnd"/>
      <w:r w:rsidRPr="00051392">
        <w:rPr>
          <w:rFonts w:ascii="Arial" w:hAnsi="Arial" w:cs="Arial"/>
          <w:sz w:val="20"/>
          <w:szCs w:val="20"/>
        </w:rPr>
        <w:t xml:space="preserve">. </w:t>
      </w:r>
      <w:proofErr w:type="gramStart"/>
      <w:r w:rsidRPr="00051392">
        <w:rPr>
          <w:rFonts w:ascii="Arial" w:hAnsi="Arial" w:cs="Arial"/>
          <w:sz w:val="20"/>
          <w:szCs w:val="20"/>
        </w:rPr>
        <w:t>doi:10.1016/j.phanu</w:t>
      </w:r>
      <w:proofErr w:type="gramEnd"/>
      <w:r w:rsidRPr="00051392">
        <w:rPr>
          <w:rFonts w:ascii="Arial" w:hAnsi="Arial" w:cs="Arial"/>
          <w:sz w:val="20"/>
          <w:szCs w:val="20"/>
        </w:rPr>
        <w:t>.2020.100188</w:t>
      </w:r>
    </w:p>
    <w:p w14:paraId="4E18197D" w14:textId="5C080302" w:rsidR="00065BE4" w:rsidRPr="00051392" w:rsidRDefault="00FE419C"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t xml:space="preserve">Van Hunsel F, Van De Koppel S, Van </w:t>
      </w:r>
      <w:proofErr w:type="spellStart"/>
      <w:r w:rsidRPr="00051392">
        <w:rPr>
          <w:rFonts w:ascii="Arial" w:hAnsi="Arial" w:cs="Arial"/>
          <w:sz w:val="20"/>
          <w:szCs w:val="20"/>
        </w:rPr>
        <w:t>Puijenbroek</w:t>
      </w:r>
      <w:proofErr w:type="spellEnd"/>
      <w:r w:rsidRPr="00051392">
        <w:rPr>
          <w:rFonts w:ascii="Arial" w:hAnsi="Arial" w:cs="Arial"/>
          <w:sz w:val="20"/>
          <w:szCs w:val="20"/>
        </w:rPr>
        <w:t xml:space="preserve"> E, Kant A. Vitamin B6 in Health Supplements and Neuropathy: Case Series Assessment of Spontaneously Reported Cases. </w:t>
      </w:r>
      <w:r w:rsidRPr="00051392">
        <w:rPr>
          <w:rFonts w:ascii="Arial" w:hAnsi="Arial" w:cs="Arial"/>
          <w:i/>
          <w:iCs/>
          <w:sz w:val="20"/>
          <w:szCs w:val="20"/>
        </w:rPr>
        <w:t>Drug Saf</w:t>
      </w:r>
      <w:r w:rsidRPr="00051392">
        <w:rPr>
          <w:rFonts w:ascii="Arial" w:hAnsi="Arial" w:cs="Arial"/>
          <w:sz w:val="20"/>
          <w:szCs w:val="20"/>
        </w:rPr>
        <w:t>. 2018;41(9):859-869. doi:10.1007/s40264-018-0664-0</w:t>
      </w:r>
    </w:p>
    <w:p w14:paraId="072EA2BF" w14:textId="77777777" w:rsidR="002B513B" w:rsidRPr="00051392" w:rsidRDefault="002B513B" w:rsidP="00051392">
      <w:pPr>
        <w:pStyle w:val="Bibliography"/>
        <w:numPr>
          <w:ilvl w:val="0"/>
          <w:numId w:val="1"/>
        </w:numPr>
        <w:spacing w:line="480" w:lineRule="auto"/>
        <w:rPr>
          <w:rFonts w:ascii="Arial" w:hAnsi="Arial" w:cs="Arial"/>
          <w:sz w:val="20"/>
          <w:szCs w:val="20"/>
        </w:rPr>
      </w:pPr>
      <w:proofErr w:type="spellStart"/>
      <w:r w:rsidRPr="00051392">
        <w:rPr>
          <w:rFonts w:ascii="Arial" w:hAnsi="Arial" w:cs="Arial"/>
          <w:sz w:val="20"/>
          <w:szCs w:val="20"/>
        </w:rPr>
        <w:t>Hadtstein</w:t>
      </w:r>
      <w:proofErr w:type="spellEnd"/>
      <w:r w:rsidRPr="00051392">
        <w:rPr>
          <w:rFonts w:ascii="Arial" w:hAnsi="Arial" w:cs="Arial"/>
          <w:sz w:val="20"/>
          <w:szCs w:val="20"/>
        </w:rPr>
        <w:t xml:space="preserve"> F, Vrolijk M. Vitamin B-6-Induced Neuropathy: Exploring the Mechanisms of Pyridoxine Toxicity. </w:t>
      </w:r>
      <w:r w:rsidRPr="00051392">
        <w:rPr>
          <w:rFonts w:ascii="Arial" w:hAnsi="Arial" w:cs="Arial"/>
          <w:i/>
          <w:iCs/>
          <w:sz w:val="20"/>
          <w:szCs w:val="20"/>
        </w:rPr>
        <w:t xml:space="preserve">Adv </w:t>
      </w:r>
      <w:proofErr w:type="spellStart"/>
      <w:r w:rsidRPr="00051392">
        <w:rPr>
          <w:rFonts w:ascii="Arial" w:hAnsi="Arial" w:cs="Arial"/>
          <w:i/>
          <w:iCs/>
          <w:sz w:val="20"/>
          <w:szCs w:val="20"/>
        </w:rPr>
        <w:t>Nutr</w:t>
      </w:r>
      <w:proofErr w:type="spellEnd"/>
      <w:r w:rsidRPr="00051392">
        <w:rPr>
          <w:rFonts w:ascii="Arial" w:hAnsi="Arial" w:cs="Arial"/>
          <w:sz w:val="20"/>
          <w:szCs w:val="20"/>
        </w:rPr>
        <w:t>. 2021;12(5):1911-1929. doi:10.1093/advances/nmab033</w:t>
      </w:r>
    </w:p>
    <w:p w14:paraId="03713512" w14:textId="066706CF" w:rsidR="00FE419C" w:rsidRPr="00051392" w:rsidRDefault="00A70771"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t xml:space="preserve">Vrolijk MF, </w:t>
      </w:r>
      <w:proofErr w:type="spellStart"/>
      <w:r w:rsidRPr="00051392">
        <w:rPr>
          <w:rFonts w:ascii="Arial" w:hAnsi="Arial" w:cs="Arial"/>
          <w:sz w:val="20"/>
          <w:szCs w:val="20"/>
        </w:rPr>
        <w:t>Opperhuizen</w:t>
      </w:r>
      <w:proofErr w:type="spellEnd"/>
      <w:r w:rsidRPr="00051392">
        <w:rPr>
          <w:rFonts w:ascii="Arial" w:hAnsi="Arial" w:cs="Arial"/>
          <w:sz w:val="20"/>
          <w:szCs w:val="20"/>
        </w:rPr>
        <w:t xml:space="preserve"> A, Jansen EHJM, Hageman GJ, Bast A, </w:t>
      </w:r>
      <w:proofErr w:type="spellStart"/>
      <w:r w:rsidRPr="00051392">
        <w:rPr>
          <w:rFonts w:ascii="Arial" w:hAnsi="Arial" w:cs="Arial"/>
          <w:sz w:val="20"/>
          <w:szCs w:val="20"/>
        </w:rPr>
        <w:t>Haenen</w:t>
      </w:r>
      <w:proofErr w:type="spellEnd"/>
      <w:r w:rsidRPr="00051392">
        <w:rPr>
          <w:rFonts w:ascii="Arial" w:hAnsi="Arial" w:cs="Arial"/>
          <w:sz w:val="20"/>
          <w:szCs w:val="20"/>
        </w:rPr>
        <w:t xml:space="preserve"> GRMM. The vitamin B6 paradox: Supplementation with high concentrations of pyridoxine leads to decreased vitamin B6 function. </w:t>
      </w:r>
      <w:proofErr w:type="spellStart"/>
      <w:r w:rsidRPr="00051392">
        <w:rPr>
          <w:rFonts w:ascii="Arial" w:hAnsi="Arial" w:cs="Arial"/>
          <w:i/>
          <w:iCs/>
          <w:sz w:val="20"/>
          <w:szCs w:val="20"/>
        </w:rPr>
        <w:t>Toxicol</w:t>
      </w:r>
      <w:proofErr w:type="spellEnd"/>
      <w:r w:rsidRPr="00051392">
        <w:rPr>
          <w:rFonts w:ascii="Arial" w:hAnsi="Arial" w:cs="Arial"/>
          <w:i/>
          <w:iCs/>
          <w:sz w:val="20"/>
          <w:szCs w:val="20"/>
        </w:rPr>
        <w:t xml:space="preserve"> In Vitro</w:t>
      </w:r>
      <w:r w:rsidRPr="00051392">
        <w:rPr>
          <w:rFonts w:ascii="Arial" w:hAnsi="Arial" w:cs="Arial"/>
          <w:sz w:val="20"/>
          <w:szCs w:val="20"/>
        </w:rPr>
        <w:t xml:space="preserve">. </w:t>
      </w:r>
      <w:proofErr w:type="gramStart"/>
      <w:r w:rsidRPr="00051392">
        <w:rPr>
          <w:rFonts w:ascii="Arial" w:hAnsi="Arial" w:cs="Arial"/>
          <w:sz w:val="20"/>
          <w:szCs w:val="20"/>
        </w:rPr>
        <w:t>2017;44:206</w:t>
      </w:r>
      <w:proofErr w:type="gramEnd"/>
      <w:r w:rsidRPr="00051392">
        <w:rPr>
          <w:rFonts w:ascii="Arial" w:hAnsi="Arial" w:cs="Arial"/>
          <w:sz w:val="20"/>
          <w:szCs w:val="20"/>
        </w:rPr>
        <w:t xml:space="preserve">-212. </w:t>
      </w:r>
      <w:proofErr w:type="gramStart"/>
      <w:r w:rsidRPr="00051392">
        <w:rPr>
          <w:rFonts w:ascii="Arial" w:hAnsi="Arial" w:cs="Arial"/>
          <w:sz w:val="20"/>
          <w:szCs w:val="20"/>
        </w:rPr>
        <w:t>doi:10.1016/j.tiv</w:t>
      </w:r>
      <w:proofErr w:type="gramEnd"/>
      <w:r w:rsidRPr="00051392">
        <w:rPr>
          <w:rFonts w:ascii="Arial" w:hAnsi="Arial" w:cs="Arial"/>
          <w:sz w:val="20"/>
          <w:szCs w:val="20"/>
        </w:rPr>
        <w:t>.2017.07.009</w:t>
      </w:r>
    </w:p>
    <w:p w14:paraId="78B0B32F" w14:textId="6CBE2B94" w:rsidR="00A70771" w:rsidRPr="00051392" w:rsidRDefault="00710459" w:rsidP="00051392">
      <w:pPr>
        <w:pStyle w:val="ListParagraph"/>
        <w:numPr>
          <w:ilvl w:val="0"/>
          <w:numId w:val="1"/>
        </w:numPr>
        <w:spacing w:line="480" w:lineRule="auto"/>
        <w:rPr>
          <w:rFonts w:ascii="Arial" w:hAnsi="Arial" w:cs="Arial"/>
          <w:sz w:val="20"/>
          <w:szCs w:val="20"/>
          <w:lang w:val="en-SG"/>
        </w:rPr>
      </w:pPr>
      <w:proofErr w:type="spellStart"/>
      <w:r w:rsidRPr="00051392">
        <w:rPr>
          <w:rFonts w:ascii="Arial" w:hAnsi="Arial" w:cs="Arial"/>
          <w:sz w:val="20"/>
          <w:szCs w:val="20"/>
        </w:rPr>
        <w:t>Sathienluckana</w:t>
      </w:r>
      <w:proofErr w:type="spellEnd"/>
      <w:r w:rsidRPr="00051392">
        <w:rPr>
          <w:rFonts w:ascii="Arial" w:hAnsi="Arial" w:cs="Arial"/>
          <w:sz w:val="20"/>
          <w:szCs w:val="20"/>
        </w:rPr>
        <w:t xml:space="preserve"> T, </w:t>
      </w:r>
      <w:proofErr w:type="spellStart"/>
      <w:r w:rsidRPr="00051392">
        <w:rPr>
          <w:rFonts w:ascii="Arial" w:hAnsi="Arial" w:cs="Arial"/>
          <w:sz w:val="20"/>
          <w:szCs w:val="20"/>
        </w:rPr>
        <w:t>Palapinyo</w:t>
      </w:r>
      <w:proofErr w:type="spellEnd"/>
      <w:r w:rsidRPr="00051392">
        <w:rPr>
          <w:rFonts w:ascii="Arial" w:hAnsi="Arial" w:cs="Arial"/>
          <w:sz w:val="20"/>
          <w:szCs w:val="20"/>
        </w:rPr>
        <w:t xml:space="preserve"> S, </w:t>
      </w:r>
      <w:proofErr w:type="spellStart"/>
      <w:r w:rsidRPr="00051392">
        <w:rPr>
          <w:rFonts w:ascii="Arial" w:hAnsi="Arial" w:cs="Arial"/>
          <w:sz w:val="20"/>
          <w:szCs w:val="20"/>
        </w:rPr>
        <w:t>Yotsombut</w:t>
      </w:r>
      <w:proofErr w:type="spellEnd"/>
      <w:r w:rsidRPr="00051392">
        <w:rPr>
          <w:rFonts w:ascii="Arial" w:hAnsi="Arial" w:cs="Arial"/>
          <w:sz w:val="20"/>
          <w:szCs w:val="20"/>
        </w:rPr>
        <w:t xml:space="preserve"> K, </w:t>
      </w:r>
      <w:proofErr w:type="spellStart"/>
      <w:r w:rsidRPr="00051392">
        <w:rPr>
          <w:rFonts w:ascii="Arial" w:hAnsi="Arial" w:cs="Arial"/>
          <w:sz w:val="20"/>
          <w:szCs w:val="20"/>
        </w:rPr>
        <w:t>Wanothayaroj</w:t>
      </w:r>
      <w:proofErr w:type="spellEnd"/>
      <w:r w:rsidRPr="00051392">
        <w:rPr>
          <w:rFonts w:ascii="Arial" w:hAnsi="Arial" w:cs="Arial"/>
          <w:sz w:val="20"/>
          <w:szCs w:val="20"/>
        </w:rPr>
        <w:t xml:space="preserve"> E, </w:t>
      </w:r>
      <w:proofErr w:type="spellStart"/>
      <w:r w:rsidRPr="00051392">
        <w:rPr>
          <w:rFonts w:ascii="Arial" w:hAnsi="Arial" w:cs="Arial"/>
          <w:sz w:val="20"/>
          <w:szCs w:val="20"/>
        </w:rPr>
        <w:t>Sithinamsuwan</w:t>
      </w:r>
      <w:proofErr w:type="spellEnd"/>
      <w:r w:rsidRPr="00051392">
        <w:rPr>
          <w:rFonts w:ascii="Arial" w:hAnsi="Arial" w:cs="Arial"/>
          <w:sz w:val="20"/>
          <w:szCs w:val="20"/>
        </w:rPr>
        <w:t xml:space="preserve"> P, </w:t>
      </w:r>
      <w:proofErr w:type="spellStart"/>
      <w:r w:rsidRPr="00051392">
        <w:rPr>
          <w:rFonts w:ascii="Arial" w:hAnsi="Arial" w:cs="Arial"/>
          <w:sz w:val="20"/>
          <w:szCs w:val="20"/>
        </w:rPr>
        <w:t>Suksomboon</w:t>
      </w:r>
      <w:proofErr w:type="spellEnd"/>
      <w:r w:rsidRPr="00051392">
        <w:rPr>
          <w:rFonts w:ascii="Arial" w:hAnsi="Arial" w:cs="Arial"/>
          <w:sz w:val="20"/>
          <w:szCs w:val="20"/>
        </w:rPr>
        <w:t xml:space="preserve"> N. Expert consensus guidelines for community pharmacists in the management of diabetic peripheral neuropathy with a combination of neurotropic B vitamins. </w:t>
      </w:r>
      <w:r w:rsidRPr="00051392">
        <w:rPr>
          <w:rFonts w:ascii="Arial" w:hAnsi="Arial" w:cs="Arial"/>
          <w:i/>
          <w:iCs/>
          <w:sz w:val="20"/>
          <w:szCs w:val="20"/>
        </w:rPr>
        <w:t xml:space="preserve">J Pharm Policy </w:t>
      </w:r>
      <w:proofErr w:type="spellStart"/>
      <w:r w:rsidRPr="00051392">
        <w:rPr>
          <w:rFonts w:ascii="Arial" w:hAnsi="Arial" w:cs="Arial"/>
          <w:i/>
          <w:iCs/>
          <w:sz w:val="20"/>
          <w:szCs w:val="20"/>
        </w:rPr>
        <w:t>Pract</w:t>
      </w:r>
      <w:proofErr w:type="spellEnd"/>
      <w:r w:rsidRPr="00051392">
        <w:rPr>
          <w:rFonts w:ascii="Arial" w:hAnsi="Arial" w:cs="Arial"/>
          <w:sz w:val="20"/>
          <w:szCs w:val="20"/>
        </w:rPr>
        <w:t>. 2024;17(1):2306866. doi:10.1080/20523211.2024.2306866</w:t>
      </w:r>
    </w:p>
    <w:p w14:paraId="2B7DCED7" w14:textId="6A838EC2" w:rsidR="00710459" w:rsidRPr="00051392" w:rsidRDefault="000E4502"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lastRenderedPageBreak/>
        <w:t xml:space="preserve">Echaniz-Laguna A, </w:t>
      </w:r>
      <w:proofErr w:type="spellStart"/>
      <w:r w:rsidRPr="00051392">
        <w:rPr>
          <w:rFonts w:ascii="Arial" w:hAnsi="Arial" w:cs="Arial"/>
          <w:sz w:val="20"/>
          <w:szCs w:val="20"/>
        </w:rPr>
        <w:t>Mourot</w:t>
      </w:r>
      <w:proofErr w:type="spellEnd"/>
      <w:r w:rsidRPr="00051392">
        <w:rPr>
          <w:rFonts w:ascii="Arial" w:hAnsi="Arial" w:cs="Arial"/>
          <w:sz w:val="20"/>
          <w:szCs w:val="20"/>
        </w:rPr>
        <w:t xml:space="preserve">-Cottet R, Noel E, Chanson JB. Regressive pyridoxine-induced sensory neuronopathy in a patient with homocystinuria. </w:t>
      </w:r>
      <w:r w:rsidRPr="00051392">
        <w:rPr>
          <w:rFonts w:ascii="Arial" w:hAnsi="Arial" w:cs="Arial"/>
          <w:i/>
          <w:iCs/>
          <w:sz w:val="20"/>
          <w:szCs w:val="20"/>
        </w:rPr>
        <w:t>BMJ Case Rep</w:t>
      </w:r>
      <w:r w:rsidRPr="00051392">
        <w:rPr>
          <w:rFonts w:ascii="Arial" w:hAnsi="Arial" w:cs="Arial"/>
          <w:sz w:val="20"/>
          <w:szCs w:val="20"/>
        </w:rPr>
        <w:t xml:space="preserve">. Published online June 28, </w:t>
      </w:r>
      <w:proofErr w:type="gramStart"/>
      <w:r w:rsidRPr="00051392">
        <w:rPr>
          <w:rFonts w:ascii="Arial" w:hAnsi="Arial" w:cs="Arial"/>
          <w:sz w:val="20"/>
          <w:szCs w:val="20"/>
        </w:rPr>
        <w:t>2018:bcr</w:t>
      </w:r>
      <w:proofErr w:type="gramEnd"/>
      <w:r w:rsidRPr="00051392">
        <w:rPr>
          <w:rFonts w:ascii="Arial" w:hAnsi="Arial" w:cs="Arial"/>
          <w:sz w:val="20"/>
          <w:szCs w:val="20"/>
        </w:rPr>
        <w:t>-2018-225059. doi:10.1136/bcr-2018-225059</w:t>
      </w:r>
    </w:p>
    <w:p w14:paraId="7FDD9C4A" w14:textId="77777777" w:rsidR="00147980" w:rsidRPr="00051392" w:rsidRDefault="00147980" w:rsidP="00051392">
      <w:pPr>
        <w:pStyle w:val="Bibliography"/>
        <w:numPr>
          <w:ilvl w:val="0"/>
          <w:numId w:val="1"/>
        </w:numPr>
        <w:spacing w:line="480" w:lineRule="auto"/>
        <w:rPr>
          <w:rFonts w:ascii="Arial" w:hAnsi="Arial" w:cs="Arial"/>
          <w:sz w:val="20"/>
          <w:szCs w:val="20"/>
        </w:rPr>
      </w:pPr>
      <w:proofErr w:type="spellStart"/>
      <w:r w:rsidRPr="00051392">
        <w:rPr>
          <w:rFonts w:ascii="Arial" w:hAnsi="Arial" w:cs="Arial"/>
          <w:sz w:val="20"/>
          <w:szCs w:val="20"/>
        </w:rPr>
        <w:t>Kulkantrakorn</w:t>
      </w:r>
      <w:proofErr w:type="spellEnd"/>
      <w:r w:rsidRPr="00051392">
        <w:rPr>
          <w:rFonts w:ascii="Arial" w:hAnsi="Arial" w:cs="Arial"/>
          <w:sz w:val="20"/>
          <w:szCs w:val="20"/>
        </w:rPr>
        <w:t xml:space="preserve"> K. Pyridoxine-induced sensory ataxic neuronopathy and neuropathy: revisited. </w:t>
      </w:r>
      <w:r w:rsidRPr="00051392">
        <w:rPr>
          <w:rFonts w:ascii="Arial" w:hAnsi="Arial" w:cs="Arial"/>
          <w:i/>
          <w:iCs/>
          <w:sz w:val="20"/>
          <w:szCs w:val="20"/>
        </w:rPr>
        <w:t>Neurol Sci</w:t>
      </w:r>
      <w:r w:rsidRPr="00051392">
        <w:rPr>
          <w:rFonts w:ascii="Arial" w:hAnsi="Arial" w:cs="Arial"/>
          <w:sz w:val="20"/>
          <w:szCs w:val="20"/>
        </w:rPr>
        <w:t>. 2014;35(11):1827-1830. doi:10.1007/s10072-014-1902-6</w:t>
      </w:r>
    </w:p>
    <w:p w14:paraId="73C1CAE0" w14:textId="717DAE4F" w:rsidR="00147980" w:rsidRPr="00051392" w:rsidRDefault="00147980" w:rsidP="00051392">
      <w:pPr>
        <w:pStyle w:val="Bibliography"/>
        <w:numPr>
          <w:ilvl w:val="0"/>
          <w:numId w:val="1"/>
        </w:numPr>
        <w:spacing w:line="480" w:lineRule="auto"/>
        <w:rPr>
          <w:rFonts w:ascii="Arial" w:hAnsi="Arial" w:cs="Arial"/>
          <w:sz w:val="20"/>
          <w:szCs w:val="20"/>
        </w:rPr>
      </w:pPr>
      <w:r w:rsidRPr="00051392">
        <w:rPr>
          <w:rFonts w:ascii="Arial" w:hAnsi="Arial" w:cs="Arial"/>
          <w:sz w:val="20"/>
          <w:szCs w:val="20"/>
        </w:rPr>
        <w:t xml:space="preserve">Visser NA, </w:t>
      </w:r>
      <w:proofErr w:type="spellStart"/>
      <w:r w:rsidRPr="00051392">
        <w:rPr>
          <w:rFonts w:ascii="Arial" w:hAnsi="Arial" w:cs="Arial"/>
          <w:sz w:val="20"/>
          <w:szCs w:val="20"/>
        </w:rPr>
        <w:t>Notermans</w:t>
      </w:r>
      <w:proofErr w:type="spellEnd"/>
      <w:r w:rsidRPr="00051392">
        <w:rPr>
          <w:rFonts w:ascii="Arial" w:hAnsi="Arial" w:cs="Arial"/>
          <w:sz w:val="20"/>
          <w:szCs w:val="20"/>
        </w:rPr>
        <w:t xml:space="preserve"> NC, Degen LAR, De </w:t>
      </w:r>
      <w:proofErr w:type="spellStart"/>
      <w:r w:rsidRPr="00051392">
        <w:rPr>
          <w:rFonts w:ascii="Arial" w:hAnsi="Arial" w:cs="Arial"/>
          <w:sz w:val="20"/>
          <w:szCs w:val="20"/>
        </w:rPr>
        <w:t>Kruijk</w:t>
      </w:r>
      <w:proofErr w:type="spellEnd"/>
      <w:r w:rsidRPr="00051392">
        <w:rPr>
          <w:rFonts w:ascii="Arial" w:hAnsi="Arial" w:cs="Arial"/>
          <w:sz w:val="20"/>
          <w:szCs w:val="20"/>
        </w:rPr>
        <w:t xml:space="preserve"> JR, Van Den Berg LH, </w:t>
      </w:r>
      <w:proofErr w:type="spellStart"/>
      <w:r w:rsidRPr="00051392">
        <w:rPr>
          <w:rFonts w:ascii="Arial" w:hAnsi="Arial" w:cs="Arial"/>
          <w:sz w:val="20"/>
          <w:szCs w:val="20"/>
        </w:rPr>
        <w:t>Vrancken</w:t>
      </w:r>
      <w:proofErr w:type="spellEnd"/>
      <w:r w:rsidRPr="00051392">
        <w:rPr>
          <w:rFonts w:ascii="Arial" w:hAnsi="Arial" w:cs="Arial"/>
          <w:sz w:val="20"/>
          <w:szCs w:val="20"/>
        </w:rPr>
        <w:t xml:space="preserve"> AFJE. Chronic idiopathic axonal polyneuropathy and vitamin </w:t>
      </w:r>
      <w:r w:rsidRPr="00051392">
        <w:rPr>
          <w:rFonts w:ascii="Arial" w:hAnsi="Arial" w:cs="Arial"/>
          <w:smallCaps/>
          <w:sz w:val="20"/>
          <w:szCs w:val="20"/>
        </w:rPr>
        <w:t>B</w:t>
      </w:r>
      <w:proofErr w:type="gramStart"/>
      <w:r w:rsidRPr="00051392">
        <w:rPr>
          <w:rFonts w:ascii="Arial" w:hAnsi="Arial" w:cs="Arial"/>
          <w:smallCaps/>
          <w:sz w:val="20"/>
          <w:szCs w:val="20"/>
        </w:rPr>
        <w:t>6</w:t>
      </w:r>
      <w:r w:rsidRPr="00051392">
        <w:rPr>
          <w:rFonts w:ascii="Arial" w:hAnsi="Arial" w:cs="Arial"/>
          <w:sz w:val="20"/>
          <w:szCs w:val="20"/>
        </w:rPr>
        <w:t> :</w:t>
      </w:r>
      <w:proofErr w:type="gramEnd"/>
      <w:r w:rsidRPr="00051392">
        <w:rPr>
          <w:rFonts w:ascii="Arial" w:hAnsi="Arial" w:cs="Arial"/>
          <w:sz w:val="20"/>
          <w:szCs w:val="20"/>
        </w:rPr>
        <w:t xml:space="preserve"> a controlled population</w:t>
      </w:r>
      <w:r w:rsidRPr="00051392">
        <w:rPr>
          <w:rFonts w:ascii="Cambria Math" w:hAnsi="Cambria Math" w:cs="Cambria Math"/>
          <w:sz w:val="20"/>
          <w:szCs w:val="20"/>
        </w:rPr>
        <w:t>‐</w:t>
      </w:r>
      <w:r w:rsidRPr="00051392">
        <w:rPr>
          <w:rFonts w:ascii="Arial" w:hAnsi="Arial" w:cs="Arial"/>
          <w:sz w:val="20"/>
          <w:szCs w:val="20"/>
        </w:rPr>
        <w:t xml:space="preserve">based study. </w:t>
      </w:r>
      <w:r w:rsidRPr="00051392">
        <w:rPr>
          <w:rFonts w:ascii="Arial" w:hAnsi="Arial" w:cs="Arial"/>
          <w:i/>
          <w:iCs/>
          <w:sz w:val="20"/>
          <w:szCs w:val="20"/>
        </w:rPr>
        <w:t xml:space="preserve">J </w:t>
      </w:r>
      <w:proofErr w:type="spellStart"/>
      <w:r w:rsidRPr="00051392">
        <w:rPr>
          <w:rFonts w:ascii="Arial" w:hAnsi="Arial" w:cs="Arial"/>
          <w:i/>
          <w:iCs/>
          <w:sz w:val="20"/>
          <w:szCs w:val="20"/>
        </w:rPr>
        <w:t>Peripher</w:t>
      </w:r>
      <w:proofErr w:type="spellEnd"/>
      <w:r w:rsidRPr="00051392">
        <w:rPr>
          <w:rFonts w:ascii="Arial" w:hAnsi="Arial" w:cs="Arial"/>
          <w:i/>
          <w:iCs/>
          <w:sz w:val="20"/>
          <w:szCs w:val="20"/>
        </w:rPr>
        <w:t xml:space="preserve"> </w:t>
      </w:r>
      <w:proofErr w:type="spellStart"/>
      <w:r w:rsidRPr="00051392">
        <w:rPr>
          <w:rFonts w:ascii="Arial" w:hAnsi="Arial" w:cs="Arial"/>
          <w:i/>
          <w:iCs/>
          <w:sz w:val="20"/>
          <w:szCs w:val="20"/>
        </w:rPr>
        <w:t>Nerv</w:t>
      </w:r>
      <w:proofErr w:type="spellEnd"/>
      <w:r w:rsidRPr="00051392">
        <w:rPr>
          <w:rFonts w:ascii="Arial" w:hAnsi="Arial" w:cs="Arial"/>
          <w:i/>
          <w:iCs/>
          <w:sz w:val="20"/>
          <w:szCs w:val="20"/>
        </w:rPr>
        <w:t xml:space="preserve"> Syst</w:t>
      </w:r>
      <w:r w:rsidRPr="00051392">
        <w:rPr>
          <w:rFonts w:ascii="Arial" w:hAnsi="Arial" w:cs="Arial"/>
          <w:sz w:val="20"/>
          <w:szCs w:val="20"/>
        </w:rPr>
        <w:t>. 2014;19(2):136-144. doi:10.1111/jns5.12063</w:t>
      </w:r>
    </w:p>
    <w:p w14:paraId="6C90E749" w14:textId="00095483" w:rsidR="00147980" w:rsidRPr="00051392" w:rsidRDefault="00147980" w:rsidP="00051392">
      <w:pPr>
        <w:pStyle w:val="Bibliography"/>
        <w:numPr>
          <w:ilvl w:val="0"/>
          <w:numId w:val="1"/>
        </w:numPr>
        <w:spacing w:line="480" w:lineRule="auto"/>
        <w:rPr>
          <w:rFonts w:ascii="Arial" w:hAnsi="Arial" w:cs="Arial"/>
          <w:sz w:val="20"/>
          <w:szCs w:val="20"/>
        </w:rPr>
      </w:pPr>
      <w:r w:rsidRPr="00051392">
        <w:rPr>
          <w:rFonts w:ascii="Arial" w:hAnsi="Arial" w:cs="Arial"/>
          <w:sz w:val="20"/>
          <w:szCs w:val="20"/>
        </w:rPr>
        <w:t xml:space="preserve">Dalton K, Dalton MJT. Characteristics of pyridoxine overdose neuropathy syndrome. </w:t>
      </w:r>
      <w:r w:rsidRPr="00051392">
        <w:rPr>
          <w:rFonts w:ascii="Arial" w:hAnsi="Arial" w:cs="Arial"/>
          <w:i/>
          <w:iCs/>
          <w:sz w:val="20"/>
          <w:szCs w:val="20"/>
        </w:rPr>
        <w:t>Acta Neurol Scand</w:t>
      </w:r>
      <w:r w:rsidRPr="00051392">
        <w:rPr>
          <w:rFonts w:ascii="Arial" w:hAnsi="Arial" w:cs="Arial"/>
          <w:sz w:val="20"/>
          <w:szCs w:val="20"/>
        </w:rPr>
        <w:t>. 1987;76(1):8-11. doi:10.1111/j.1600-</w:t>
      </w:r>
      <w:proofErr w:type="gramStart"/>
      <w:r w:rsidRPr="00051392">
        <w:rPr>
          <w:rFonts w:ascii="Arial" w:hAnsi="Arial" w:cs="Arial"/>
          <w:sz w:val="20"/>
          <w:szCs w:val="20"/>
        </w:rPr>
        <w:t>0404.1987.tb</w:t>
      </w:r>
      <w:proofErr w:type="gramEnd"/>
      <w:r w:rsidRPr="00051392">
        <w:rPr>
          <w:rFonts w:ascii="Arial" w:hAnsi="Arial" w:cs="Arial"/>
          <w:sz w:val="20"/>
          <w:szCs w:val="20"/>
        </w:rPr>
        <w:t>03536.x</w:t>
      </w:r>
    </w:p>
    <w:p w14:paraId="0E05DBBA" w14:textId="0DAE910E" w:rsidR="00147980" w:rsidRPr="00051392" w:rsidRDefault="00147980" w:rsidP="00051392">
      <w:pPr>
        <w:pStyle w:val="Bibliography"/>
        <w:numPr>
          <w:ilvl w:val="0"/>
          <w:numId w:val="1"/>
        </w:numPr>
        <w:spacing w:line="480" w:lineRule="auto"/>
        <w:rPr>
          <w:rFonts w:ascii="Arial" w:hAnsi="Arial" w:cs="Arial"/>
          <w:sz w:val="20"/>
          <w:szCs w:val="20"/>
        </w:rPr>
      </w:pPr>
      <w:r w:rsidRPr="00051392">
        <w:rPr>
          <w:rFonts w:ascii="Arial" w:hAnsi="Arial" w:cs="Arial"/>
          <w:sz w:val="20"/>
          <w:szCs w:val="20"/>
        </w:rPr>
        <w:t>Parry GJ, Bredesen DE. Sensory neuropathy with low</w:t>
      </w:r>
      <w:r w:rsidRPr="00051392">
        <w:rPr>
          <w:rFonts w:ascii="Cambria Math" w:hAnsi="Cambria Math" w:cs="Cambria Math"/>
          <w:sz w:val="20"/>
          <w:szCs w:val="20"/>
        </w:rPr>
        <w:t>‐</w:t>
      </w:r>
      <w:r w:rsidRPr="00051392">
        <w:rPr>
          <w:rFonts w:ascii="Arial" w:hAnsi="Arial" w:cs="Arial"/>
          <w:sz w:val="20"/>
          <w:szCs w:val="20"/>
        </w:rPr>
        <w:t xml:space="preserve">dose pyridoxine. </w:t>
      </w:r>
      <w:r w:rsidRPr="00051392">
        <w:rPr>
          <w:rFonts w:ascii="Arial" w:hAnsi="Arial" w:cs="Arial"/>
          <w:i/>
          <w:iCs/>
          <w:sz w:val="20"/>
          <w:szCs w:val="20"/>
        </w:rPr>
        <w:t>Neurology</w:t>
      </w:r>
      <w:r w:rsidRPr="00051392">
        <w:rPr>
          <w:rFonts w:ascii="Arial" w:hAnsi="Arial" w:cs="Arial"/>
          <w:sz w:val="20"/>
          <w:szCs w:val="20"/>
        </w:rPr>
        <w:t>. 1985;35(10):1466-1466. doi:10.1212/WNL.35.10.1466</w:t>
      </w:r>
    </w:p>
    <w:p w14:paraId="6189E6EF" w14:textId="277C18DF" w:rsidR="000E4502" w:rsidRPr="00051392" w:rsidRDefault="00FB4808"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t>Krishnan D, Kiernan MC. Neurotoxic risks from over</w:t>
      </w:r>
      <w:r w:rsidRPr="00051392">
        <w:rPr>
          <w:rFonts w:ascii="Cambria Math" w:hAnsi="Cambria Math" w:cs="Cambria Math"/>
          <w:sz w:val="20"/>
          <w:szCs w:val="20"/>
        </w:rPr>
        <w:t>‐</w:t>
      </w:r>
      <w:r w:rsidRPr="00051392">
        <w:rPr>
          <w:rFonts w:ascii="Arial" w:hAnsi="Arial" w:cs="Arial"/>
          <w:sz w:val="20"/>
          <w:szCs w:val="20"/>
        </w:rPr>
        <w:t>the</w:t>
      </w:r>
      <w:r w:rsidRPr="00051392">
        <w:rPr>
          <w:rFonts w:ascii="Cambria Math" w:hAnsi="Cambria Math" w:cs="Cambria Math"/>
          <w:sz w:val="20"/>
          <w:szCs w:val="20"/>
        </w:rPr>
        <w:t>‐</w:t>
      </w:r>
      <w:r w:rsidRPr="00051392">
        <w:rPr>
          <w:rFonts w:ascii="Arial" w:hAnsi="Arial" w:cs="Arial"/>
          <w:sz w:val="20"/>
          <w:szCs w:val="20"/>
        </w:rPr>
        <w:t xml:space="preserve">counter vitamin supplements. </w:t>
      </w:r>
      <w:r w:rsidRPr="00051392">
        <w:rPr>
          <w:rFonts w:ascii="Arial" w:hAnsi="Arial" w:cs="Arial"/>
          <w:i/>
          <w:iCs/>
          <w:sz w:val="20"/>
          <w:szCs w:val="20"/>
        </w:rPr>
        <w:t>Med J Aust</w:t>
      </w:r>
      <w:r w:rsidRPr="00051392">
        <w:rPr>
          <w:rFonts w:ascii="Arial" w:hAnsi="Arial" w:cs="Arial"/>
          <w:sz w:val="20"/>
          <w:szCs w:val="20"/>
        </w:rPr>
        <w:t>. 2023;218(7):304-306. doi:10.5694/mja2.51851</w:t>
      </w:r>
    </w:p>
    <w:p w14:paraId="6D05BAE2" w14:textId="0713DFD5" w:rsidR="00343E11" w:rsidRPr="00051392" w:rsidRDefault="004A3777" w:rsidP="00051392">
      <w:pPr>
        <w:pStyle w:val="ListParagraph"/>
        <w:numPr>
          <w:ilvl w:val="0"/>
          <w:numId w:val="1"/>
        </w:numPr>
        <w:spacing w:line="480" w:lineRule="auto"/>
        <w:rPr>
          <w:rFonts w:ascii="Arial" w:hAnsi="Arial" w:cs="Arial"/>
          <w:sz w:val="20"/>
          <w:szCs w:val="20"/>
          <w:lang w:val="en-SG"/>
        </w:rPr>
      </w:pPr>
      <w:proofErr w:type="spellStart"/>
      <w:r w:rsidRPr="00051392">
        <w:rPr>
          <w:rFonts w:ascii="Arial" w:hAnsi="Arial" w:cs="Arial"/>
          <w:sz w:val="20"/>
          <w:szCs w:val="20"/>
        </w:rPr>
        <w:t>Zempleni</w:t>
      </w:r>
      <w:proofErr w:type="spellEnd"/>
      <w:r w:rsidRPr="00051392">
        <w:rPr>
          <w:rFonts w:ascii="Arial" w:hAnsi="Arial" w:cs="Arial"/>
          <w:sz w:val="20"/>
          <w:szCs w:val="20"/>
        </w:rPr>
        <w:t xml:space="preserve"> J. Pharmacokinetics of vitamin B6 supplements in humans. </w:t>
      </w:r>
      <w:r w:rsidRPr="00051392">
        <w:rPr>
          <w:rFonts w:ascii="Arial" w:hAnsi="Arial" w:cs="Arial"/>
          <w:i/>
          <w:iCs/>
          <w:sz w:val="20"/>
          <w:szCs w:val="20"/>
        </w:rPr>
        <w:t xml:space="preserve">J Am Coll </w:t>
      </w:r>
      <w:proofErr w:type="spellStart"/>
      <w:r w:rsidRPr="00051392">
        <w:rPr>
          <w:rFonts w:ascii="Arial" w:hAnsi="Arial" w:cs="Arial"/>
          <w:i/>
          <w:iCs/>
          <w:sz w:val="20"/>
          <w:szCs w:val="20"/>
        </w:rPr>
        <w:t>Nutr</w:t>
      </w:r>
      <w:proofErr w:type="spellEnd"/>
      <w:r w:rsidRPr="00051392">
        <w:rPr>
          <w:rFonts w:ascii="Arial" w:hAnsi="Arial" w:cs="Arial"/>
          <w:sz w:val="20"/>
          <w:szCs w:val="20"/>
        </w:rPr>
        <w:t>. 1995;14(6):579-586. doi:10.1080/07315724.1995.10718546</w:t>
      </w:r>
    </w:p>
    <w:p w14:paraId="7C8020DA" w14:textId="560923FF" w:rsidR="004A3777" w:rsidRPr="00051392" w:rsidRDefault="002C71C0"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t xml:space="preserve">Howland RH. Medication Holidays. </w:t>
      </w:r>
      <w:r w:rsidRPr="00051392">
        <w:rPr>
          <w:rFonts w:ascii="Arial" w:hAnsi="Arial" w:cs="Arial"/>
          <w:i/>
          <w:iCs/>
          <w:sz w:val="20"/>
          <w:szCs w:val="20"/>
        </w:rPr>
        <w:t xml:space="preserve">J </w:t>
      </w:r>
      <w:proofErr w:type="spellStart"/>
      <w:r w:rsidRPr="00051392">
        <w:rPr>
          <w:rFonts w:ascii="Arial" w:hAnsi="Arial" w:cs="Arial"/>
          <w:i/>
          <w:iCs/>
          <w:sz w:val="20"/>
          <w:szCs w:val="20"/>
        </w:rPr>
        <w:t>Psychosoc</w:t>
      </w:r>
      <w:proofErr w:type="spellEnd"/>
      <w:r w:rsidRPr="00051392">
        <w:rPr>
          <w:rFonts w:ascii="Arial" w:hAnsi="Arial" w:cs="Arial"/>
          <w:i/>
          <w:iCs/>
          <w:sz w:val="20"/>
          <w:szCs w:val="20"/>
        </w:rPr>
        <w:t xml:space="preserve"> </w:t>
      </w:r>
      <w:proofErr w:type="spellStart"/>
      <w:r w:rsidRPr="00051392">
        <w:rPr>
          <w:rFonts w:ascii="Arial" w:hAnsi="Arial" w:cs="Arial"/>
          <w:i/>
          <w:iCs/>
          <w:sz w:val="20"/>
          <w:szCs w:val="20"/>
        </w:rPr>
        <w:t>Nurs</w:t>
      </w:r>
      <w:proofErr w:type="spellEnd"/>
      <w:r w:rsidRPr="00051392">
        <w:rPr>
          <w:rFonts w:ascii="Arial" w:hAnsi="Arial" w:cs="Arial"/>
          <w:i/>
          <w:iCs/>
          <w:sz w:val="20"/>
          <w:szCs w:val="20"/>
        </w:rPr>
        <w:t xml:space="preserve"> Ment Health Serv</w:t>
      </w:r>
      <w:r w:rsidRPr="00051392">
        <w:rPr>
          <w:rFonts w:ascii="Arial" w:hAnsi="Arial" w:cs="Arial"/>
          <w:sz w:val="20"/>
          <w:szCs w:val="20"/>
        </w:rPr>
        <w:t xml:space="preserve">. 2009;47(9):15-18. </w:t>
      </w:r>
      <w:proofErr w:type="spellStart"/>
      <w:proofErr w:type="gramStart"/>
      <w:r w:rsidRPr="00051392">
        <w:rPr>
          <w:rFonts w:ascii="Arial" w:hAnsi="Arial" w:cs="Arial"/>
          <w:sz w:val="20"/>
          <w:szCs w:val="20"/>
        </w:rPr>
        <w:t>doi:https</w:t>
      </w:r>
      <w:proofErr w:type="spellEnd"/>
      <w:r w:rsidRPr="00051392">
        <w:rPr>
          <w:rFonts w:ascii="Arial" w:hAnsi="Arial" w:cs="Arial"/>
          <w:sz w:val="20"/>
          <w:szCs w:val="20"/>
        </w:rPr>
        <w:t>://doi.org/10.3928/02793695-20090804-01</w:t>
      </w:r>
      <w:proofErr w:type="gramEnd"/>
    </w:p>
    <w:p w14:paraId="7793FC71" w14:textId="1E73B29A" w:rsidR="002C71C0" w:rsidRPr="00051392" w:rsidRDefault="00010694"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t xml:space="preserve">Romano S, </w:t>
      </w:r>
      <w:proofErr w:type="spellStart"/>
      <w:r w:rsidRPr="00051392">
        <w:rPr>
          <w:rFonts w:ascii="Arial" w:hAnsi="Arial" w:cs="Arial"/>
          <w:sz w:val="20"/>
          <w:szCs w:val="20"/>
        </w:rPr>
        <w:t>Ferraldeschi</w:t>
      </w:r>
      <w:proofErr w:type="spellEnd"/>
      <w:r w:rsidRPr="00051392">
        <w:rPr>
          <w:rFonts w:ascii="Arial" w:hAnsi="Arial" w:cs="Arial"/>
          <w:sz w:val="20"/>
          <w:szCs w:val="20"/>
        </w:rPr>
        <w:t xml:space="preserve"> M, Bagnato F, et al. Drug Holiday of Interferon Beta 1b in Multiple Sclerosis: A Pilot, Randomized, Single Blind Study of Non-inferiority. </w:t>
      </w:r>
      <w:r w:rsidRPr="00051392">
        <w:rPr>
          <w:rFonts w:ascii="Arial" w:hAnsi="Arial" w:cs="Arial"/>
          <w:i/>
          <w:iCs/>
          <w:sz w:val="20"/>
          <w:szCs w:val="20"/>
        </w:rPr>
        <w:t>Front Neurol</w:t>
      </w:r>
      <w:r w:rsidRPr="00051392">
        <w:rPr>
          <w:rFonts w:ascii="Arial" w:hAnsi="Arial" w:cs="Arial"/>
          <w:sz w:val="20"/>
          <w:szCs w:val="20"/>
        </w:rPr>
        <w:t xml:space="preserve">. </w:t>
      </w:r>
      <w:proofErr w:type="gramStart"/>
      <w:r w:rsidRPr="00051392">
        <w:rPr>
          <w:rFonts w:ascii="Arial" w:hAnsi="Arial" w:cs="Arial"/>
          <w:sz w:val="20"/>
          <w:szCs w:val="20"/>
        </w:rPr>
        <w:t>2019;10:695</w:t>
      </w:r>
      <w:proofErr w:type="gramEnd"/>
      <w:r w:rsidRPr="00051392">
        <w:rPr>
          <w:rFonts w:ascii="Arial" w:hAnsi="Arial" w:cs="Arial"/>
          <w:sz w:val="20"/>
          <w:szCs w:val="20"/>
        </w:rPr>
        <w:t>. doi:10.3389/fneur.2019.00695</w:t>
      </w:r>
    </w:p>
    <w:p w14:paraId="097C5DE5" w14:textId="0898DADB" w:rsidR="005842F6" w:rsidRPr="00051392" w:rsidRDefault="00DD4994"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t xml:space="preserve">Centre for Drug Evaluation and Research (CDER). Bioequivalence Studies </w:t>
      </w:r>
      <w:proofErr w:type="gramStart"/>
      <w:r w:rsidRPr="00051392">
        <w:rPr>
          <w:rFonts w:ascii="Arial" w:hAnsi="Arial" w:cs="Arial"/>
          <w:sz w:val="20"/>
          <w:szCs w:val="20"/>
        </w:rPr>
        <w:t>With</w:t>
      </w:r>
      <w:proofErr w:type="gramEnd"/>
      <w:r w:rsidRPr="00051392">
        <w:rPr>
          <w:rFonts w:ascii="Arial" w:hAnsi="Arial" w:cs="Arial"/>
          <w:sz w:val="20"/>
          <w:szCs w:val="20"/>
        </w:rPr>
        <w:t xml:space="preserve"> Pharmacokinetic Endpoints for Drugs Submitted Under an ANDA Guidance for Industry. 2021 August 20. Available from: </w:t>
      </w:r>
      <w:hyperlink r:id="rId21" w:history="1">
        <w:r w:rsidRPr="00051392">
          <w:rPr>
            <w:rStyle w:val="Hyperlink"/>
            <w:rFonts w:ascii="Arial" w:hAnsi="Arial" w:cs="Arial"/>
            <w:sz w:val="20"/>
            <w:szCs w:val="20"/>
          </w:rPr>
          <w:t>https://www.fda.gov/regulatory-information/search-fda-guidance-documents/bioequivalence-studies-pharmacokinetic-endpoints-drugs-submitted-under-abbreviated-new-drug?utm_medium=email&amp;utm_source=govdelivery</w:t>
        </w:r>
      </w:hyperlink>
      <w:r w:rsidRPr="00051392">
        <w:rPr>
          <w:rFonts w:ascii="Arial" w:hAnsi="Arial" w:cs="Arial"/>
          <w:sz w:val="20"/>
          <w:szCs w:val="20"/>
        </w:rPr>
        <w:t xml:space="preserve"> Accessed 15 April 2024.</w:t>
      </w:r>
    </w:p>
    <w:p w14:paraId="243686D9" w14:textId="5AE00660" w:rsidR="005842F6" w:rsidRPr="00051392" w:rsidRDefault="005842F6"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lastRenderedPageBreak/>
        <w:t xml:space="preserve">Committee for Medicinal Products for Human Use (CHMP). Guideline on the investigation of bioequivalence. 2010 January 20. Available from: </w:t>
      </w:r>
      <w:hyperlink r:id="rId22" w:history="1">
        <w:r w:rsidRPr="00051392">
          <w:rPr>
            <w:rStyle w:val="Hyperlink"/>
            <w:rFonts w:ascii="Arial" w:hAnsi="Arial" w:cs="Arial"/>
            <w:sz w:val="20"/>
            <w:szCs w:val="20"/>
          </w:rPr>
          <w:t>https://www.ema.europa.eu/en/documents/scientific-guideline/guideline-investigation-bioequivalence-rev1_en.pdf</w:t>
        </w:r>
      </w:hyperlink>
      <w:r w:rsidRPr="00051392">
        <w:rPr>
          <w:rFonts w:ascii="Arial" w:hAnsi="Arial" w:cs="Arial"/>
          <w:sz w:val="20"/>
          <w:szCs w:val="20"/>
        </w:rPr>
        <w:t xml:space="preserve"> Accessed 15 April 2024</w:t>
      </w:r>
    </w:p>
    <w:p w14:paraId="23248F37" w14:textId="4C9704E6" w:rsidR="0052685C" w:rsidRPr="00051392" w:rsidRDefault="0052685C" w:rsidP="00051392">
      <w:pPr>
        <w:pStyle w:val="ListParagraph"/>
        <w:numPr>
          <w:ilvl w:val="0"/>
          <w:numId w:val="1"/>
        </w:numPr>
        <w:spacing w:line="480" w:lineRule="auto"/>
        <w:rPr>
          <w:rFonts w:ascii="Arial" w:hAnsi="Arial" w:cs="Arial"/>
          <w:sz w:val="20"/>
          <w:szCs w:val="20"/>
          <w:lang w:val="en-SG"/>
        </w:rPr>
      </w:pPr>
      <w:r w:rsidRPr="00051392">
        <w:rPr>
          <w:rFonts w:ascii="Arial" w:hAnsi="Arial" w:cs="Arial"/>
          <w:sz w:val="20"/>
          <w:szCs w:val="20"/>
        </w:rPr>
        <w:t xml:space="preserve">Health Canada. Guidance Document: Conduct and Analysis of Comparative Bioavailability Studies. 2018 January 9. Available from: </w:t>
      </w:r>
      <w:hyperlink r:id="rId23" w:history="1">
        <w:r w:rsidRPr="00051392">
          <w:rPr>
            <w:rStyle w:val="Hyperlink"/>
            <w:rFonts w:ascii="Arial" w:hAnsi="Arial" w:cs="Arial"/>
            <w:sz w:val="20"/>
            <w:szCs w:val="20"/>
          </w:rPr>
          <w:t>https://www.canada.ca/content/dam/hc-sc/documents/services/drugs-health-products/drug-products/applications-submissions/guidance-documents/bioavailability-bioequivalence/conduct-analysis-comparative.pdf</w:t>
        </w:r>
      </w:hyperlink>
      <w:r w:rsidRPr="00051392">
        <w:rPr>
          <w:rFonts w:ascii="Arial" w:hAnsi="Arial" w:cs="Arial"/>
          <w:sz w:val="20"/>
          <w:szCs w:val="20"/>
        </w:rPr>
        <w:t>. Accessed 15 April 2024</w:t>
      </w:r>
    </w:p>
    <w:sectPr w:rsidR="0052685C" w:rsidRPr="000513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93240" w14:textId="77777777" w:rsidR="00DB1E74" w:rsidRDefault="00DB1E74" w:rsidP="0039620C">
      <w:pPr>
        <w:spacing w:after="0" w:line="240" w:lineRule="auto"/>
      </w:pPr>
      <w:r>
        <w:separator/>
      </w:r>
    </w:p>
  </w:endnote>
  <w:endnote w:type="continuationSeparator" w:id="0">
    <w:p w14:paraId="15D77782" w14:textId="77777777" w:rsidR="00DB1E74" w:rsidRDefault="00DB1E74" w:rsidP="0039620C">
      <w:pPr>
        <w:spacing w:after="0" w:line="240" w:lineRule="auto"/>
      </w:pPr>
      <w:r>
        <w:continuationSeparator/>
      </w:r>
    </w:p>
  </w:endnote>
  <w:endnote w:type="continuationNotice" w:id="1">
    <w:p w14:paraId="3FF301B5" w14:textId="77777777" w:rsidR="00DB1E74" w:rsidRDefault="00DB1E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AEA43" w14:textId="235F2F79" w:rsidR="0015054A" w:rsidRDefault="0015054A">
    <w:pPr>
      <w:pStyle w:val="Footer"/>
    </w:pPr>
    <w:r>
      <w:rPr>
        <w:noProof/>
      </w:rPr>
      <mc:AlternateContent>
        <mc:Choice Requires="wps">
          <w:drawing>
            <wp:anchor distT="0" distB="0" distL="0" distR="0" simplePos="0" relativeHeight="251658244" behindDoc="0" locked="0" layoutInCell="1" allowOverlap="1" wp14:anchorId="15ACED4E" wp14:editId="36BA372B">
              <wp:simplePos x="635" y="635"/>
              <wp:positionH relativeFrom="page">
                <wp:align>left</wp:align>
              </wp:positionH>
              <wp:positionV relativeFrom="page">
                <wp:align>bottom</wp:align>
              </wp:positionV>
              <wp:extent cx="2085975" cy="346710"/>
              <wp:effectExtent l="0" t="0" r="9525" b="0"/>
              <wp:wrapNone/>
              <wp:docPr id="379569284" name="Text Box 5"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710"/>
                      </a:xfrm>
                      <a:prstGeom prst="rect">
                        <a:avLst/>
                      </a:prstGeom>
                      <a:noFill/>
                      <a:ln>
                        <a:noFill/>
                      </a:ln>
                    </wps:spPr>
                    <wps:txbx>
                      <w:txbxContent>
                        <w:p w14:paraId="7601DAF2" w14:textId="4039694E" w:rsidR="0015054A" w:rsidRPr="0015054A" w:rsidRDefault="0015054A" w:rsidP="0015054A">
                          <w:pPr>
                            <w:spacing w:after="0"/>
                            <w:rPr>
                              <w:rFonts w:ascii="Rockwell" w:eastAsia="Rockwell" w:hAnsi="Rockwell" w:cs="Rockwell"/>
                              <w:noProof/>
                              <w:color w:val="0078D7"/>
                              <w:sz w:val="18"/>
                              <w:szCs w:val="18"/>
                            </w:rPr>
                          </w:pPr>
                          <w:r w:rsidRPr="0015054A">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ACED4E" id="_x0000_t202" coordsize="21600,21600" o:spt="202" path="m,l,21600r21600,l21600,xe">
              <v:stroke joinstyle="miter"/>
              <v:path gradientshapeok="t" o:connecttype="rect"/>
            </v:shapetype>
            <v:shape id="Text Box 5" o:spid="_x0000_s1028" type="#_x0000_t202" alt="Information Classification: General" style="position:absolute;margin-left:0;margin-top:0;width:164.25pt;height:27.3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" filled="f" stroked="f">
              <v:textbox style="mso-fit-shape-to-text:t" inset="20pt,0,0,15pt">
                <w:txbxContent>
                  <w:p w14:paraId="7601DAF2" w14:textId="4039694E" w:rsidR="0015054A" w:rsidRPr="0015054A" w:rsidRDefault="0015054A" w:rsidP="0015054A">
                    <w:pPr>
                      <w:spacing w:after="0"/>
                      <w:rPr>
                        <w:rFonts w:ascii="Rockwell" w:eastAsia="Rockwell" w:hAnsi="Rockwell" w:cs="Rockwell"/>
                        <w:noProof/>
                        <w:color w:val="0078D7"/>
                        <w:sz w:val="18"/>
                        <w:szCs w:val="18"/>
                      </w:rPr>
                    </w:pPr>
                    <w:r w:rsidRPr="0015054A">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7DEEF" w14:textId="4B0463AD" w:rsidR="0015054A" w:rsidRDefault="0015054A">
    <w:pPr>
      <w:pStyle w:val="Footer"/>
    </w:pPr>
    <w:r>
      <w:rPr>
        <w:noProof/>
      </w:rPr>
      <mc:AlternateContent>
        <mc:Choice Requires="wps">
          <w:drawing>
            <wp:anchor distT="0" distB="0" distL="0" distR="0" simplePos="0" relativeHeight="251658245" behindDoc="0" locked="0" layoutInCell="1" allowOverlap="1" wp14:anchorId="0270BC58" wp14:editId="139F4562">
              <wp:simplePos x="914400" y="9414344"/>
              <wp:positionH relativeFrom="page">
                <wp:align>left</wp:align>
              </wp:positionH>
              <wp:positionV relativeFrom="page">
                <wp:align>bottom</wp:align>
              </wp:positionV>
              <wp:extent cx="2085975" cy="346710"/>
              <wp:effectExtent l="0" t="0" r="9525" b="0"/>
              <wp:wrapNone/>
              <wp:docPr id="1042254111" name="Text Box 6"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710"/>
                      </a:xfrm>
                      <a:prstGeom prst="rect">
                        <a:avLst/>
                      </a:prstGeom>
                      <a:noFill/>
                      <a:ln>
                        <a:noFill/>
                      </a:ln>
                    </wps:spPr>
                    <wps:txbx>
                      <w:txbxContent>
                        <w:p w14:paraId="5344E364" w14:textId="14D44F0B" w:rsidR="0015054A" w:rsidRPr="0015054A" w:rsidRDefault="0015054A" w:rsidP="0015054A">
                          <w:pPr>
                            <w:spacing w:after="0"/>
                            <w:rPr>
                              <w:rFonts w:ascii="Rockwell" w:eastAsia="Rockwell" w:hAnsi="Rockwell" w:cs="Rockwell"/>
                              <w:noProof/>
                              <w:color w:val="0078D7"/>
                              <w:sz w:val="18"/>
                              <w:szCs w:val="18"/>
                            </w:rPr>
                          </w:pPr>
                          <w:r w:rsidRPr="0015054A">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70BC58" id="_x0000_t202" coordsize="21600,21600" o:spt="202" path="m,l,21600r21600,l21600,xe">
              <v:stroke joinstyle="miter"/>
              <v:path gradientshapeok="t" o:connecttype="rect"/>
            </v:shapetype>
            <v:shape id="Text Box 6" o:spid="_x0000_s1029" type="#_x0000_t202" alt="Information Classification: General" style="position:absolute;margin-left:0;margin-top:0;width:164.25pt;height:27.3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" filled="f" stroked="f">
              <v:textbox style="mso-fit-shape-to-text:t" inset="20pt,0,0,15pt">
                <w:txbxContent>
                  <w:p w14:paraId="5344E364" w14:textId="14D44F0B" w:rsidR="0015054A" w:rsidRPr="0015054A" w:rsidRDefault="0015054A" w:rsidP="0015054A">
                    <w:pPr>
                      <w:spacing w:after="0"/>
                      <w:rPr>
                        <w:rFonts w:ascii="Rockwell" w:eastAsia="Rockwell" w:hAnsi="Rockwell" w:cs="Rockwell"/>
                        <w:noProof/>
                        <w:color w:val="0078D7"/>
                        <w:sz w:val="18"/>
                        <w:szCs w:val="18"/>
                      </w:rPr>
                    </w:pPr>
                    <w:r w:rsidRPr="0015054A">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CB66" w14:textId="6780FE63" w:rsidR="0015054A" w:rsidRDefault="0015054A">
    <w:pPr>
      <w:pStyle w:val="Footer"/>
    </w:pPr>
    <w:r>
      <w:rPr>
        <w:noProof/>
      </w:rPr>
      <mc:AlternateContent>
        <mc:Choice Requires="wps">
          <w:drawing>
            <wp:anchor distT="0" distB="0" distL="0" distR="0" simplePos="0" relativeHeight="251658243" behindDoc="0" locked="0" layoutInCell="1" allowOverlap="1" wp14:anchorId="5AABF9B3" wp14:editId="723E9A84">
              <wp:simplePos x="635" y="635"/>
              <wp:positionH relativeFrom="page">
                <wp:align>left</wp:align>
              </wp:positionH>
              <wp:positionV relativeFrom="page">
                <wp:align>bottom</wp:align>
              </wp:positionV>
              <wp:extent cx="2085975" cy="346710"/>
              <wp:effectExtent l="0" t="0" r="9525" b="0"/>
              <wp:wrapNone/>
              <wp:docPr id="1207447096" name="Text Box 4"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710"/>
                      </a:xfrm>
                      <a:prstGeom prst="rect">
                        <a:avLst/>
                      </a:prstGeom>
                      <a:noFill/>
                      <a:ln>
                        <a:noFill/>
                      </a:ln>
                    </wps:spPr>
                    <wps:txbx>
                      <w:txbxContent>
                        <w:p w14:paraId="5FDC432A" w14:textId="20099D11" w:rsidR="0015054A" w:rsidRPr="0015054A" w:rsidRDefault="0015054A" w:rsidP="0015054A">
                          <w:pPr>
                            <w:spacing w:after="0"/>
                            <w:rPr>
                              <w:rFonts w:ascii="Rockwell" w:eastAsia="Rockwell" w:hAnsi="Rockwell" w:cs="Rockwell"/>
                              <w:noProof/>
                              <w:color w:val="0078D7"/>
                              <w:sz w:val="18"/>
                              <w:szCs w:val="18"/>
                            </w:rPr>
                          </w:pPr>
                          <w:r w:rsidRPr="0015054A">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BF9B3" id="_x0000_t202" coordsize="21600,21600" o:spt="202" path="m,l,21600r21600,l21600,xe">
              <v:stroke joinstyle="miter"/>
              <v:path gradientshapeok="t" o:connecttype="rect"/>
            </v:shapetype>
            <v:shape id="Text Box 4" o:spid="_x0000_s1031" type="#_x0000_t202" alt="Information Classification: General" style="position:absolute;margin-left:0;margin-top:0;width:164.25pt;height:27.3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" filled="f" stroked="f">
              <v:textbox style="mso-fit-shape-to-text:t" inset="20pt,0,0,15pt">
                <w:txbxContent>
                  <w:p w14:paraId="5FDC432A" w14:textId="20099D11" w:rsidR="0015054A" w:rsidRPr="0015054A" w:rsidRDefault="0015054A" w:rsidP="0015054A">
                    <w:pPr>
                      <w:spacing w:after="0"/>
                      <w:rPr>
                        <w:rFonts w:ascii="Rockwell" w:eastAsia="Rockwell" w:hAnsi="Rockwell" w:cs="Rockwell"/>
                        <w:noProof/>
                        <w:color w:val="0078D7"/>
                        <w:sz w:val="18"/>
                        <w:szCs w:val="18"/>
                      </w:rPr>
                    </w:pPr>
                    <w:r w:rsidRPr="0015054A">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A2C5D" w14:textId="77777777" w:rsidR="00DB1E74" w:rsidRDefault="00DB1E74" w:rsidP="0039620C">
      <w:pPr>
        <w:spacing w:after="0" w:line="240" w:lineRule="auto"/>
      </w:pPr>
      <w:r>
        <w:separator/>
      </w:r>
    </w:p>
  </w:footnote>
  <w:footnote w:type="continuationSeparator" w:id="0">
    <w:p w14:paraId="4E50F81A" w14:textId="77777777" w:rsidR="00DB1E74" w:rsidRDefault="00DB1E74" w:rsidP="0039620C">
      <w:pPr>
        <w:spacing w:after="0" w:line="240" w:lineRule="auto"/>
      </w:pPr>
      <w:r>
        <w:continuationSeparator/>
      </w:r>
    </w:p>
  </w:footnote>
  <w:footnote w:type="continuationNotice" w:id="1">
    <w:p w14:paraId="39EE24C2" w14:textId="77777777" w:rsidR="00DB1E74" w:rsidRDefault="00DB1E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D32F1" w14:textId="17F4902E" w:rsidR="003A3103" w:rsidRDefault="003A3103">
    <w:pPr>
      <w:pStyle w:val="Header"/>
    </w:pPr>
    <w:r>
      <w:rPr>
        <w:noProof/>
      </w:rPr>
      <mc:AlternateContent>
        <mc:Choice Requires="wps">
          <w:drawing>
            <wp:anchor distT="0" distB="0" distL="0" distR="0" simplePos="0" relativeHeight="251658241" behindDoc="0" locked="0" layoutInCell="1" allowOverlap="1" wp14:anchorId="1C4BE74A" wp14:editId="5B42EA73">
              <wp:simplePos x="635" y="635"/>
              <wp:positionH relativeFrom="page">
                <wp:align>right</wp:align>
              </wp:positionH>
              <wp:positionV relativeFrom="page">
                <wp:align>top</wp:align>
              </wp:positionV>
              <wp:extent cx="443865" cy="443865"/>
              <wp:effectExtent l="0" t="0" r="0" b="10160"/>
              <wp:wrapNone/>
              <wp:docPr id="1853734971" name="Text Box 2" descr="Business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0A821B" w14:textId="132E1576" w:rsidR="003A3103" w:rsidRPr="003A3103" w:rsidRDefault="003A3103" w:rsidP="003A3103">
                          <w:pPr>
                            <w:spacing w:after="0"/>
                            <w:rPr>
                              <w:rFonts w:ascii="Calibri" w:eastAsia="Calibri" w:hAnsi="Calibri" w:cs="Calibri"/>
                              <w:noProof/>
                              <w:color w:val="000000"/>
                              <w:sz w:val="20"/>
                              <w:szCs w:val="20"/>
                            </w:rPr>
                          </w:pPr>
                          <w:r w:rsidRPr="003A3103">
                            <w:rPr>
                              <w:rFonts w:ascii="Calibri" w:eastAsia="Calibri" w:hAnsi="Calibri" w:cs="Calibri"/>
                              <w:noProof/>
                              <w:color w:val="000000"/>
                              <w:sz w:val="20"/>
                              <w:szCs w:val="20"/>
                            </w:rPr>
                            <w:t>Business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C4BE74A" id="_x0000_t202" coordsize="21600,21600" o:spt="202" path="m,l,21600r21600,l21600,xe">
              <v:stroke joinstyle="miter"/>
              <v:path gradientshapeok="t" o:connecttype="rect"/>
            </v:shapetype>
            <v:shape id="Text Box 2" o:spid="_x0000_s1026" type="#_x0000_t202" alt="Business Use" style="position:absolute;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290A821B" w14:textId="132E1576" w:rsidR="003A3103" w:rsidRPr="003A3103" w:rsidRDefault="003A3103" w:rsidP="003A3103">
                    <w:pPr>
                      <w:spacing w:after="0"/>
                      <w:rPr>
                        <w:rFonts w:ascii="Calibri" w:eastAsia="Calibri" w:hAnsi="Calibri" w:cs="Calibri"/>
                        <w:noProof/>
                        <w:color w:val="000000"/>
                        <w:sz w:val="20"/>
                        <w:szCs w:val="20"/>
                      </w:rPr>
                    </w:pPr>
                    <w:r w:rsidRPr="003A3103">
                      <w:rPr>
                        <w:rFonts w:ascii="Calibri" w:eastAsia="Calibri" w:hAnsi="Calibri" w:cs="Calibri"/>
                        <w:noProof/>
                        <w:color w:val="000000"/>
                        <w:sz w:val="20"/>
                        <w:szCs w:val="20"/>
                      </w:rPr>
                      <w:t>Business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9F6E" w14:textId="121CA752" w:rsidR="003A3103" w:rsidRDefault="003A3103">
    <w:pPr>
      <w:pStyle w:val="Header"/>
    </w:pPr>
    <w:r>
      <w:rPr>
        <w:noProof/>
      </w:rPr>
      <mc:AlternateContent>
        <mc:Choice Requires="wps">
          <w:drawing>
            <wp:anchor distT="0" distB="0" distL="0" distR="0" simplePos="0" relativeHeight="251658242" behindDoc="0" locked="0" layoutInCell="1" allowOverlap="1" wp14:anchorId="704BB812" wp14:editId="28731CD3">
              <wp:simplePos x="914400" y="457200"/>
              <wp:positionH relativeFrom="page">
                <wp:align>right</wp:align>
              </wp:positionH>
              <wp:positionV relativeFrom="page">
                <wp:align>top</wp:align>
              </wp:positionV>
              <wp:extent cx="443865" cy="443865"/>
              <wp:effectExtent l="0" t="0" r="0" b="10160"/>
              <wp:wrapNone/>
              <wp:docPr id="883192217" name="Text Box 3" descr="Business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119F95" w14:textId="2E23F6F7" w:rsidR="003A3103" w:rsidRPr="003A3103" w:rsidRDefault="003A3103" w:rsidP="003A3103">
                          <w:pPr>
                            <w:spacing w:after="0"/>
                            <w:rPr>
                              <w:rFonts w:ascii="Calibri" w:eastAsia="Calibri" w:hAnsi="Calibri" w:cs="Calibri"/>
                              <w:noProof/>
                              <w:color w:val="000000"/>
                              <w:sz w:val="20"/>
                              <w:szCs w:val="20"/>
                            </w:rPr>
                          </w:pPr>
                          <w:r w:rsidRPr="003A3103">
                            <w:rPr>
                              <w:rFonts w:ascii="Calibri" w:eastAsia="Calibri" w:hAnsi="Calibri" w:cs="Calibri"/>
                              <w:noProof/>
                              <w:color w:val="000000"/>
                              <w:sz w:val="20"/>
                              <w:szCs w:val="20"/>
                            </w:rPr>
                            <w:t>Business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04BB812" id="_x0000_t202" coordsize="21600,21600" o:spt="202" path="m,l,21600r21600,l21600,xe">
              <v:stroke joinstyle="miter"/>
              <v:path gradientshapeok="t" o:connecttype="rect"/>
            </v:shapetype>
            <v:shape id="Text Box 3" o:spid="_x0000_s1027" type="#_x0000_t202" alt="Business Use" style="position:absolute;margin-left:-16.25pt;margin-top:0;width:34.95pt;height:34.9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3B119F95" w14:textId="2E23F6F7" w:rsidR="003A3103" w:rsidRPr="003A3103" w:rsidRDefault="003A3103" w:rsidP="003A3103">
                    <w:pPr>
                      <w:spacing w:after="0"/>
                      <w:rPr>
                        <w:rFonts w:ascii="Calibri" w:eastAsia="Calibri" w:hAnsi="Calibri" w:cs="Calibri"/>
                        <w:noProof/>
                        <w:color w:val="000000"/>
                        <w:sz w:val="20"/>
                        <w:szCs w:val="20"/>
                      </w:rPr>
                    </w:pPr>
                    <w:r w:rsidRPr="003A3103">
                      <w:rPr>
                        <w:rFonts w:ascii="Calibri" w:eastAsia="Calibri" w:hAnsi="Calibri" w:cs="Calibri"/>
                        <w:noProof/>
                        <w:color w:val="000000"/>
                        <w:sz w:val="20"/>
                        <w:szCs w:val="20"/>
                      </w:rPr>
                      <w:t>Business Use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D81A7" w14:textId="53D4C0E8" w:rsidR="003A3103" w:rsidRDefault="003A3103">
    <w:pPr>
      <w:pStyle w:val="Header"/>
    </w:pPr>
    <w:r>
      <w:rPr>
        <w:noProof/>
      </w:rPr>
      <mc:AlternateContent>
        <mc:Choice Requires="wps">
          <w:drawing>
            <wp:anchor distT="0" distB="0" distL="0" distR="0" simplePos="0" relativeHeight="251658240" behindDoc="0" locked="0" layoutInCell="1" allowOverlap="1" wp14:anchorId="23F96D42" wp14:editId="149A9071">
              <wp:simplePos x="635" y="635"/>
              <wp:positionH relativeFrom="page">
                <wp:align>right</wp:align>
              </wp:positionH>
              <wp:positionV relativeFrom="page">
                <wp:align>top</wp:align>
              </wp:positionV>
              <wp:extent cx="443865" cy="443865"/>
              <wp:effectExtent l="0" t="0" r="0" b="10160"/>
              <wp:wrapNone/>
              <wp:docPr id="1998538936" name="Text Box 1" descr="Business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589329" w14:textId="4A128F8B" w:rsidR="003A3103" w:rsidRPr="003A3103" w:rsidRDefault="003A3103" w:rsidP="003A3103">
                          <w:pPr>
                            <w:spacing w:after="0"/>
                            <w:rPr>
                              <w:rFonts w:ascii="Calibri" w:eastAsia="Calibri" w:hAnsi="Calibri" w:cs="Calibri"/>
                              <w:noProof/>
                              <w:color w:val="000000"/>
                              <w:sz w:val="20"/>
                              <w:szCs w:val="20"/>
                            </w:rPr>
                          </w:pPr>
                          <w:r w:rsidRPr="003A3103">
                            <w:rPr>
                              <w:rFonts w:ascii="Calibri" w:eastAsia="Calibri" w:hAnsi="Calibri" w:cs="Calibri"/>
                              <w:noProof/>
                              <w:color w:val="000000"/>
                              <w:sz w:val="20"/>
                              <w:szCs w:val="20"/>
                            </w:rPr>
                            <w:t>Business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3F96D42" id="_x0000_t202" coordsize="21600,21600" o:spt="202" path="m,l,21600r21600,l21600,xe">
              <v:stroke joinstyle="miter"/>
              <v:path gradientshapeok="t" o:connecttype="rect"/>
            </v:shapetype>
            <v:shape id="Text Box 1" o:spid="_x0000_s1030" type="#_x0000_t202" alt="Business Use"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7D589329" w14:textId="4A128F8B" w:rsidR="003A3103" w:rsidRPr="003A3103" w:rsidRDefault="003A3103" w:rsidP="003A3103">
                    <w:pPr>
                      <w:spacing w:after="0"/>
                      <w:rPr>
                        <w:rFonts w:ascii="Calibri" w:eastAsia="Calibri" w:hAnsi="Calibri" w:cs="Calibri"/>
                        <w:noProof/>
                        <w:color w:val="000000"/>
                        <w:sz w:val="20"/>
                        <w:szCs w:val="20"/>
                      </w:rPr>
                    </w:pPr>
                    <w:r w:rsidRPr="003A3103">
                      <w:rPr>
                        <w:rFonts w:ascii="Calibri" w:eastAsia="Calibri" w:hAnsi="Calibri" w:cs="Calibri"/>
                        <w:noProof/>
                        <w:color w:val="000000"/>
                        <w:sz w:val="20"/>
                        <w:szCs w:val="20"/>
                      </w:rPr>
                      <w:t>Business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46C6F"/>
    <w:multiLevelType w:val="hybridMultilevel"/>
    <w:tmpl w:val="68EE132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534611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3C1263"/>
    <w:rsid w:val="00007A8B"/>
    <w:rsid w:val="00010694"/>
    <w:rsid w:val="00010AB8"/>
    <w:rsid w:val="00011879"/>
    <w:rsid w:val="0004391B"/>
    <w:rsid w:val="00051392"/>
    <w:rsid w:val="000615F6"/>
    <w:rsid w:val="00061DC7"/>
    <w:rsid w:val="00065BE4"/>
    <w:rsid w:val="000810F8"/>
    <w:rsid w:val="00085475"/>
    <w:rsid w:val="000B2B62"/>
    <w:rsid w:val="000E2D8C"/>
    <w:rsid w:val="000E4502"/>
    <w:rsid w:val="000F3676"/>
    <w:rsid w:val="000F4EDC"/>
    <w:rsid w:val="001344E4"/>
    <w:rsid w:val="00147980"/>
    <w:rsid w:val="0015054A"/>
    <w:rsid w:val="00157FC1"/>
    <w:rsid w:val="00195798"/>
    <w:rsid w:val="00195944"/>
    <w:rsid w:val="001D5BD1"/>
    <w:rsid w:val="001E51F9"/>
    <w:rsid w:val="001F6E25"/>
    <w:rsid w:val="00242F27"/>
    <w:rsid w:val="002839EF"/>
    <w:rsid w:val="00287F88"/>
    <w:rsid w:val="002B513B"/>
    <w:rsid w:val="002C131D"/>
    <w:rsid w:val="002C6C81"/>
    <w:rsid w:val="002C71C0"/>
    <w:rsid w:val="002D2F02"/>
    <w:rsid w:val="002E373A"/>
    <w:rsid w:val="00310B97"/>
    <w:rsid w:val="003264A2"/>
    <w:rsid w:val="003323A2"/>
    <w:rsid w:val="00343E11"/>
    <w:rsid w:val="0034435C"/>
    <w:rsid w:val="00350A6B"/>
    <w:rsid w:val="00386D79"/>
    <w:rsid w:val="0039620C"/>
    <w:rsid w:val="003A3103"/>
    <w:rsid w:val="003A4654"/>
    <w:rsid w:val="003B5047"/>
    <w:rsid w:val="003C42C4"/>
    <w:rsid w:val="003D1D0E"/>
    <w:rsid w:val="003D3666"/>
    <w:rsid w:val="003F5ED1"/>
    <w:rsid w:val="004246EE"/>
    <w:rsid w:val="0042648C"/>
    <w:rsid w:val="00442E67"/>
    <w:rsid w:val="00460C98"/>
    <w:rsid w:val="00461BC9"/>
    <w:rsid w:val="00484B85"/>
    <w:rsid w:val="00486C8E"/>
    <w:rsid w:val="00492AB1"/>
    <w:rsid w:val="00494891"/>
    <w:rsid w:val="004A3777"/>
    <w:rsid w:val="004A6BC2"/>
    <w:rsid w:val="004F3AA8"/>
    <w:rsid w:val="00505368"/>
    <w:rsid w:val="0052341D"/>
    <w:rsid w:val="0052685C"/>
    <w:rsid w:val="005476A4"/>
    <w:rsid w:val="005842F6"/>
    <w:rsid w:val="0059707C"/>
    <w:rsid w:val="005F2C63"/>
    <w:rsid w:val="00651C71"/>
    <w:rsid w:val="00664BC3"/>
    <w:rsid w:val="00671C5D"/>
    <w:rsid w:val="006C2901"/>
    <w:rsid w:val="006C402A"/>
    <w:rsid w:val="00710459"/>
    <w:rsid w:val="007146F4"/>
    <w:rsid w:val="00740B04"/>
    <w:rsid w:val="00753E7C"/>
    <w:rsid w:val="007662C9"/>
    <w:rsid w:val="007A34D0"/>
    <w:rsid w:val="007E5060"/>
    <w:rsid w:val="008333A2"/>
    <w:rsid w:val="00846E46"/>
    <w:rsid w:val="008522C6"/>
    <w:rsid w:val="00875411"/>
    <w:rsid w:val="008C14E3"/>
    <w:rsid w:val="00935965"/>
    <w:rsid w:val="00974EE4"/>
    <w:rsid w:val="009B08FF"/>
    <w:rsid w:val="009C197E"/>
    <w:rsid w:val="009E3000"/>
    <w:rsid w:val="009F5D9E"/>
    <w:rsid w:val="00A01B84"/>
    <w:rsid w:val="00A40540"/>
    <w:rsid w:val="00A4486A"/>
    <w:rsid w:val="00A6338B"/>
    <w:rsid w:val="00A70771"/>
    <w:rsid w:val="00AB2391"/>
    <w:rsid w:val="00AF1CEC"/>
    <w:rsid w:val="00B05F2C"/>
    <w:rsid w:val="00B3448E"/>
    <w:rsid w:val="00B84CA6"/>
    <w:rsid w:val="00BE45E4"/>
    <w:rsid w:val="00C203F8"/>
    <w:rsid w:val="00C45AED"/>
    <w:rsid w:val="00C60E47"/>
    <w:rsid w:val="00C77A9C"/>
    <w:rsid w:val="00C8021F"/>
    <w:rsid w:val="00C922AD"/>
    <w:rsid w:val="00CA0B92"/>
    <w:rsid w:val="00CE311A"/>
    <w:rsid w:val="00CE3250"/>
    <w:rsid w:val="00D10508"/>
    <w:rsid w:val="00D11E26"/>
    <w:rsid w:val="00D1455F"/>
    <w:rsid w:val="00D42249"/>
    <w:rsid w:val="00D56383"/>
    <w:rsid w:val="00D657C5"/>
    <w:rsid w:val="00D73DC7"/>
    <w:rsid w:val="00DA4444"/>
    <w:rsid w:val="00DA7A21"/>
    <w:rsid w:val="00DB14EA"/>
    <w:rsid w:val="00DB1E74"/>
    <w:rsid w:val="00DD4994"/>
    <w:rsid w:val="00E1306E"/>
    <w:rsid w:val="00E52102"/>
    <w:rsid w:val="00E5650C"/>
    <w:rsid w:val="00E61650"/>
    <w:rsid w:val="00E635AB"/>
    <w:rsid w:val="00E851B5"/>
    <w:rsid w:val="00E94888"/>
    <w:rsid w:val="00E95E68"/>
    <w:rsid w:val="00ED4417"/>
    <w:rsid w:val="00F27630"/>
    <w:rsid w:val="00F311C3"/>
    <w:rsid w:val="00F34B23"/>
    <w:rsid w:val="00F45FBF"/>
    <w:rsid w:val="00F75DCC"/>
    <w:rsid w:val="00F87397"/>
    <w:rsid w:val="00FA75BA"/>
    <w:rsid w:val="00FB1C1A"/>
    <w:rsid w:val="00FB4808"/>
    <w:rsid w:val="00FD3155"/>
    <w:rsid w:val="00FE419C"/>
    <w:rsid w:val="2B3C1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C1263"/>
  <w15:chartTrackingRefBased/>
  <w15:docId w15:val="{330469B2-3E50-4383-8714-2EC1AC066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3962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620C"/>
  </w:style>
  <w:style w:type="paragraph" w:styleId="Footer">
    <w:name w:val="footer"/>
    <w:basedOn w:val="Normal"/>
    <w:link w:val="FooterChar"/>
    <w:uiPriority w:val="99"/>
    <w:unhideWhenUsed/>
    <w:rsid w:val="003962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620C"/>
  </w:style>
  <w:style w:type="table" w:styleId="TableGrid">
    <w:name w:val="Table Grid"/>
    <w:basedOn w:val="TableNormal"/>
    <w:uiPriority w:val="39"/>
    <w:rsid w:val="0039620C"/>
    <w:pPr>
      <w:spacing w:after="0" w:line="240" w:lineRule="auto"/>
    </w:pPr>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620C"/>
    <w:rPr>
      <w:color w:val="467886" w:themeColor="hyperlink"/>
      <w:u w:val="single"/>
    </w:rPr>
  </w:style>
  <w:style w:type="character" w:styleId="UnresolvedMention">
    <w:name w:val="Unresolved Mention"/>
    <w:basedOn w:val="DefaultParagraphFont"/>
    <w:uiPriority w:val="99"/>
    <w:semiHidden/>
    <w:unhideWhenUsed/>
    <w:rsid w:val="0039620C"/>
    <w:rPr>
      <w:color w:val="605E5C"/>
      <w:shd w:val="clear" w:color="auto" w:fill="E1DFDD"/>
    </w:rPr>
  </w:style>
  <w:style w:type="paragraph" w:styleId="ListParagraph">
    <w:name w:val="List Paragraph"/>
    <w:basedOn w:val="Normal"/>
    <w:uiPriority w:val="34"/>
    <w:qFormat/>
    <w:rsid w:val="0039620C"/>
    <w:pPr>
      <w:ind w:left="720"/>
      <w:contextualSpacing/>
    </w:pPr>
  </w:style>
  <w:style w:type="paragraph" w:styleId="Bibliography">
    <w:name w:val="Bibliography"/>
    <w:basedOn w:val="Normal"/>
    <w:next w:val="Normal"/>
    <w:uiPriority w:val="37"/>
    <w:semiHidden/>
    <w:unhideWhenUsed/>
    <w:rsid w:val="00C8021F"/>
  </w:style>
  <w:style w:type="character" w:styleId="FollowedHyperlink">
    <w:name w:val="FollowedHyperlink"/>
    <w:basedOn w:val="DefaultParagraphFont"/>
    <w:uiPriority w:val="99"/>
    <w:semiHidden/>
    <w:unhideWhenUsed/>
    <w:rsid w:val="0004391B"/>
    <w:rPr>
      <w:color w:val="96607D" w:themeColor="followedHyperlink"/>
      <w:u w:val="single"/>
    </w:rPr>
  </w:style>
  <w:style w:type="paragraph" w:styleId="Revision">
    <w:name w:val="Revision"/>
    <w:hidden/>
    <w:uiPriority w:val="99"/>
    <w:semiHidden/>
    <w:rsid w:val="00974EE4"/>
    <w:pPr>
      <w:spacing w:after="0" w:line="240" w:lineRule="auto"/>
    </w:pPr>
  </w:style>
  <w:style w:type="character" w:styleId="CommentReference">
    <w:name w:val="annotation reference"/>
    <w:basedOn w:val="DefaultParagraphFont"/>
    <w:uiPriority w:val="99"/>
    <w:semiHidden/>
    <w:unhideWhenUsed/>
    <w:rsid w:val="00D56383"/>
    <w:rPr>
      <w:sz w:val="16"/>
      <w:szCs w:val="16"/>
    </w:rPr>
  </w:style>
  <w:style w:type="paragraph" w:styleId="CommentText">
    <w:name w:val="annotation text"/>
    <w:basedOn w:val="Normal"/>
    <w:link w:val="CommentTextChar"/>
    <w:uiPriority w:val="99"/>
    <w:unhideWhenUsed/>
    <w:rsid w:val="00D56383"/>
    <w:pPr>
      <w:spacing w:line="240" w:lineRule="auto"/>
    </w:pPr>
    <w:rPr>
      <w:sz w:val="20"/>
      <w:szCs w:val="20"/>
    </w:rPr>
  </w:style>
  <w:style w:type="character" w:customStyle="1" w:styleId="CommentTextChar">
    <w:name w:val="Comment Text Char"/>
    <w:basedOn w:val="DefaultParagraphFont"/>
    <w:link w:val="CommentText"/>
    <w:uiPriority w:val="99"/>
    <w:rsid w:val="00D56383"/>
    <w:rPr>
      <w:sz w:val="20"/>
      <w:szCs w:val="20"/>
    </w:rPr>
  </w:style>
  <w:style w:type="paragraph" w:styleId="CommentSubject">
    <w:name w:val="annotation subject"/>
    <w:basedOn w:val="CommentText"/>
    <w:next w:val="CommentText"/>
    <w:link w:val="CommentSubjectChar"/>
    <w:uiPriority w:val="99"/>
    <w:semiHidden/>
    <w:unhideWhenUsed/>
    <w:rsid w:val="00D56383"/>
    <w:rPr>
      <w:b/>
      <w:bCs/>
    </w:rPr>
  </w:style>
  <w:style w:type="character" w:customStyle="1" w:styleId="CommentSubjectChar">
    <w:name w:val="Comment Subject Char"/>
    <w:basedOn w:val="CommentTextChar"/>
    <w:link w:val="CommentSubject"/>
    <w:uiPriority w:val="99"/>
    <w:semiHidden/>
    <w:rsid w:val="00D563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600787">
      <w:bodyDiv w:val="1"/>
      <w:marLeft w:val="0"/>
      <w:marRight w:val="0"/>
      <w:marTop w:val="0"/>
      <w:marBottom w:val="0"/>
      <w:divBdr>
        <w:top w:val="none" w:sz="0" w:space="0" w:color="auto"/>
        <w:left w:val="none" w:sz="0" w:space="0" w:color="auto"/>
        <w:bottom w:val="none" w:sz="0" w:space="0" w:color="auto"/>
        <w:right w:val="none" w:sz="0" w:space="0" w:color="auto"/>
      </w:divBdr>
    </w:div>
    <w:div w:id="550923639">
      <w:bodyDiv w:val="1"/>
      <w:marLeft w:val="0"/>
      <w:marRight w:val="0"/>
      <w:marTop w:val="0"/>
      <w:marBottom w:val="0"/>
      <w:divBdr>
        <w:top w:val="none" w:sz="0" w:space="0" w:color="auto"/>
        <w:left w:val="none" w:sz="0" w:space="0" w:color="auto"/>
        <w:bottom w:val="none" w:sz="0" w:space="0" w:color="auto"/>
        <w:right w:val="none" w:sz="0" w:space="0" w:color="auto"/>
      </w:divBdr>
    </w:div>
    <w:div w:id="844050647">
      <w:bodyDiv w:val="1"/>
      <w:marLeft w:val="0"/>
      <w:marRight w:val="0"/>
      <w:marTop w:val="0"/>
      <w:marBottom w:val="0"/>
      <w:divBdr>
        <w:top w:val="none" w:sz="0" w:space="0" w:color="auto"/>
        <w:left w:val="none" w:sz="0" w:space="0" w:color="auto"/>
        <w:bottom w:val="none" w:sz="0" w:space="0" w:color="auto"/>
        <w:right w:val="none" w:sz="0" w:space="0" w:color="auto"/>
      </w:divBdr>
    </w:div>
    <w:div w:id="964308448">
      <w:bodyDiv w:val="1"/>
      <w:marLeft w:val="0"/>
      <w:marRight w:val="0"/>
      <w:marTop w:val="0"/>
      <w:marBottom w:val="0"/>
      <w:divBdr>
        <w:top w:val="none" w:sz="0" w:space="0" w:color="auto"/>
        <w:left w:val="none" w:sz="0" w:space="0" w:color="auto"/>
        <w:bottom w:val="none" w:sz="0" w:space="0" w:color="auto"/>
        <w:right w:val="none" w:sz="0" w:space="0" w:color="auto"/>
      </w:divBdr>
    </w:div>
    <w:div w:id="966467244">
      <w:bodyDiv w:val="1"/>
      <w:marLeft w:val="0"/>
      <w:marRight w:val="0"/>
      <w:marTop w:val="0"/>
      <w:marBottom w:val="0"/>
      <w:divBdr>
        <w:top w:val="none" w:sz="0" w:space="0" w:color="auto"/>
        <w:left w:val="none" w:sz="0" w:space="0" w:color="auto"/>
        <w:bottom w:val="none" w:sz="0" w:space="0" w:color="auto"/>
        <w:right w:val="none" w:sz="0" w:space="0" w:color="auto"/>
      </w:divBdr>
    </w:div>
    <w:div w:id="1064185022">
      <w:bodyDiv w:val="1"/>
      <w:marLeft w:val="0"/>
      <w:marRight w:val="0"/>
      <w:marTop w:val="0"/>
      <w:marBottom w:val="0"/>
      <w:divBdr>
        <w:top w:val="none" w:sz="0" w:space="0" w:color="auto"/>
        <w:left w:val="none" w:sz="0" w:space="0" w:color="auto"/>
        <w:bottom w:val="none" w:sz="0" w:space="0" w:color="auto"/>
        <w:right w:val="none" w:sz="0" w:space="0" w:color="auto"/>
      </w:divBdr>
    </w:div>
    <w:div w:id="1521890234">
      <w:bodyDiv w:val="1"/>
      <w:marLeft w:val="0"/>
      <w:marRight w:val="0"/>
      <w:marTop w:val="0"/>
      <w:marBottom w:val="0"/>
      <w:divBdr>
        <w:top w:val="none" w:sz="0" w:space="0" w:color="auto"/>
        <w:left w:val="none" w:sz="0" w:space="0" w:color="auto"/>
        <w:bottom w:val="none" w:sz="0" w:space="0" w:color="auto"/>
        <w:right w:val="none" w:sz="0" w:space="0" w:color="auto"/>
      </w:divBdr>
    </w:div>
    <w:div w:id="1692221306">
      <w:bodyDiv w:val="1"/>
      <w:marLeft w:val="0"/>
      <w:marRight w:val="0"/>
      <w:marTop w:val="0"/>
      <w:marBottom w:val="0"/>
      <w:divBdr>
        <w:top w:val="none" w:sz="0" w:space="0" w:color="auto"/>
        <w:left w:val="none" w:sz="0" w:space="0" w:color="auto"/>
        <w:bottom w:val="none" w:sz="0" w:space="0" w:color="auto"/>
        <w:right w:val="none" w:sz="0" w:space="0" w:color="auto"/>
      </w:divBdr>
    </w:div>
    <w:div w:id="211609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nhmrc.gov.au/about-us/publications/nutrient-reference-values-australia-and-new-zealand-including-recommended-dietary-intakes.%20Accessed%2015%20April%202024" TargetMode="External"/><Relationship Id="rId3" Type="http://schemas.openxmlformats.org/officeDocument/2006/relationships/customXml" Target="../customXml/item3.xml"/><Relationship Id="rId21" Type="http://schemas.openxmlformats.org/officeDocument/2006/relationships/hyperlink" Target="https://www.fda.gov/regulatory-information/search-fda-guidance-documents/bioequivalence-studies-pharmacokinetic-endpoints-drugs-submitted-under-abbreviated-new-drug?utm_medium=email&amp;utm_source=govdelivery"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iris.who.int/bitstream/handle/10665/42716/9241546123.pdf?sequence=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cbi.nlm.nih.gov/books/NBK557436/" TargetMode="External"/><Relationship Id="rId20" Type="http://schemas.openxmlformats.org/officeDocument/2006/relationships/hyperlink" Target="https://www.tga.gov.au/news/safety-alerts/health-supplements-containing-vitamin-b6-can-cause-peripheral-neuropath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www.canada.ca/content/dam/hc-sc/documents/services/drugs-health-products/drug-products/applications-submissions/guidance-documents/bioavailability-bioequivalence/conduct-analysis-comparative.pdf" TargetMode="External"/><Relationship Id="rId10" Type="http://schemas.openxmlformats.org/officeDocument/2006/relationships/header" Target="header1.xml"/><Relationship Id="rId19" Type="http://schemas.openxmlformats.org/officeDocument/2006/relationships/hyperlink" Target="http://link.springer.com/10.1007/978-3-642-85410-1_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s://www.ema.europa.eu/en/documents/scientific-guideline/guideline-investigation-bioequivalence-rev1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6403fa-f792-43db-b286-6a0da9d4911a">
      <Terms xmlns="http://schemas.microsoft.com/office/infopath/2007/PartnerControls"/>
    </lcf76f155ced4ddcb4097134ff3c332f>
    <TaxCatchAll xmlns="c30e2850-8d14-487f-9c73-3b22cdf94f9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2911C19C49E04B8C17DDBE0DB1557E" ma:contentTypeVersion="14" ma:contentTypeDescription="Create a new document." ma:contentTypeScope="" ma:versionID="b77cfaff942714a92f64a93ff83f3a3b">
  <xsd:schema xmlns:xsd="http://www.w3.org/2001/XMLSchema" xmlns:xs="http://www.w3.org/2001/XMLSchema" xmlns:p="http://schemas.microsoft.com/office/2006/metadata/properties" xmlns:ns2="766403fa-f792-43db-b286-6a0da9d4911a" xmlns:ns3="c30e2850-8d14-487f-9c73-3b22cdf94f92" targetNamespace="http://schemas.microsoft.com/office/2006/metadata/properties" ma:root="true" ma:fieldsID="481d82f286ae34d6e7d08acfb1effd65" ns2:_="" ns3:_="">
    <xsd:import namespace="766403fa-f792-43db-b286-6a0da9d4911a"/>
    <xsd:import namespace="c30e2850-8d14-487f-9c73-3b22cdf94f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403fa-f792-43db-b286-6a0da9d49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120647d-17bd-4a63-9afd-bbea8594ac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0e2850-8d14-487f-9c73-3b22cdf94f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73f73f9-de85-4048-bce0-42762e578404}" ma:internalName="TaxCatchAll" ma:showField="CatchAllData" ma:web="c30e2850-8d14-487f-9c73-3b22cdf94f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40ED99-5761-4BFC-BA22-541ABFACE8AB}">
  <ds:schemaRefs>
    <ds:schemaRef ds:uri="http://schemas.microsoft.com/office/2006/metadata/properties"/>
    <ds:schemaRef ds:uri="http://schemas.microsoft.com/office/infopath/2007/PartnerControls"/>
    <ds:schemaRef ds:uri="766403fa-f792-43db-b286-6a0da9d4911a"/>
    <ds:schemaRef ds:uri="c30e2850-8d14-487f-9c73-3b22cdf94f92"/>
  </ds:schemaRefs>
</ds:datastoreItem>
</file>

<file path=customXml/itemProps2.xml><?xml version="1.0" encoding="utf-8"?>
<ds:datastoreItem xmlns:ds="http://schemas.openxmlformats.org/officeDocument/2006/customXml" ds:itemID="{E360C6D9-3351-42DB-8F7E-D9BA205F2228}">
  <ds:schemaRefs>
    <ds:schemaRef ds:uri="http://schemas.microsoft.com/sharepoint/v3/contenttype/forms"/>
  </ds:schemaRefs>
</ds:datastoreItem>
</file>

<file path=customXml/itemProps3.xml><?xml version="1.0" encoding="utf-8"?>
<ds:datastoreItem xmlns:ds="http://schemas.openxmlformats.org/officeDocument/2006/customXml" ds:itemID="{E8197EFC-2655-43FE-9AD6-42604F128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403fa-f792-43db-b286-6a0da9d4911a"/>
    <ds:schemaRef ds:uri="c30e2850-8d14-487f-9c73-3b22cdf94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2210</Words>
  <Characters>12600</Characters>
  <Application>Microsoft Office Word</Application>
  <DocSecurity>0</DocSecurity>
  <Lines>105</Lines>
  <Paragraphs>29</Paragraphs>
  <ScaleCrop>false</ScaleCrop>
  <Company/>
  <LinksUpToDate>false</LinksUpToDate>
  <CharactersWithSpaces>14781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Melaney Toh</dc:creator>
  <cp:keywords/>
  <dc:description/>
  <cp:lastModifiedBy>Shaw, Grace</cp:lastModifiedBy>
  <cp:revision>4</cp:revision>
  <dcterms:created xsi:type="dcterms:W3CDTF">2025-02-13T20:45:00Z</dcterms:created>
  <dcterms:modified xsi:type="dcterms:W3CDTF">2025-02-13T20:47:00Z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0x010100352911C19C49E04B8C17DDBE0DB1557E</vt:lpwstr>
  </property>
  <property fmtid="{D5CDD505-2E9C-101B-9397-08002B2CF9AE}" pid="3" name="MediaServiceImageTags">
    <vt:lpwstr/>
  </property>
  <property fmtid="{D5CDD505-2E9C-101B-9397-08002B2CF9AE}" pid="4" name="ClassificationContentMarkingHeaderShapeIds">
    <vt:lpwstr>771f48b8,6e7dc03b,34a47199</vt:lpwstr>
  </property>
  <property fmtid="{D5CDD505-2E9C-101B-9397-08002B2CF9AE}" pid="5" name="ClassificationContentMarkingHeaderFontProps">
    <vt:lpwstr>#000000,10,Calibri</vt:lpwstr>
  </property>
  <property fmtid="{D5CDD505-2E9C-101B-9397-08002B2CF9AE}" pid="6" name="ClassificationContentMarkingHeaderText">
    <vt:lpwstr>Business Use</vt:lpwstr>
  </property>
  <property fmtid="{D5CDD505-2E9C-101B-9397-08002B2CF9AE}" pid="7" name="MSIP_Label_a518e53f-798e-43aa-978d-c3fda1f3a682_Enabled">
    <vt:lpwstr>true</vt:lpwstr>
  </property>
  <property fmtid="{D5CDD505-2E9C-101B-9397-08002B2CF9AE}" pid="8" name="MSIP_Label_a518e53f-798e-43aa-978d-c3fda1f3a682_SetDate">
    <vt:lpwstr>2025-01-26T13:36:57Z</vt:lpwstr>
  </property>
  <property fmtid="{D5CDD505-2E9C-101B-9397-08002B2CF9AE}" pid="9" name="MSIP_Label_a518e53f-798e-43aa-978d-c3fda1f3a682_Method">
    <vt:lpwstr>Privileged</vt:lpwstr>
  </property>
  <property fmtid="{D5CDD505-2E9C-101B-9397-08002B2CF9AE}" pid="10" name="MSIP_Label_a518e53f-798e-43aa-978d-c3fda1f3a682_Name">
    <vt:lpwstr>PG - Internal Use</vt:lpwstr>
  </property>
  <property fmtid="{D5CDD505-2E9C-101B-9397-08002B2CF9AE}" pid="11" name="MSIP_Label_a518e53f-798e-43aa-978d-c3fda1f3a682_SiteId">
    <vt:lpwstr>3596192b-fdf5-4e2c-a6fa-acb706c963d8</vt:lpwstr>
  </property>
  <property fmtid="{D5CDD505-2E9C-101B-9397-08002B2CF9AE}" pid="12" name="MSIP_Label_a518e53f-798e-43aa-978d-c3fda1f3a682_ActionId">
    <vt:lpwstr>65ff3d17-f0ad-4619-83ce-b35fc5bdf97c</vt:lpwstr>
  </property>
  <property fmtid="{D5CDD505-2E9C-101B-9397-08002B2CF9AE}" pid="13" name="MSIP_Label_a518e53f-798e-43aa-978d-c3fda1f3a682_ContentBits">
    <vt:lpwstr>1</vt:lpwstr>
  </property>
  <property fmtid="{D5CDD505-2E9C-101B-9397-08002B2CF9AE}" pid="14" name="ClassificationContentMarkingFooterShapeIds">
    <vt:lpwstr>47f82e38,169fc484,3e1f891f</vt:lpwstr>
  </property>
  <property fmtid="{D5CDD505-2E9C-101B-9397-08002B2CF9AE}" pid="15" name="ClassificationContentMarkingFooterFontProps">
    <vt:lpwstr>#0078d7,9,Rockwell</vt:lpwstr>
  </property>
  <property fmtid="{D5CDD505-2E9C-101B-9397-08002B2CF9AE}" pid="16" name="ClassificationContentMarkingFooterText">
    <vt:lpwstr>Information Classification: General</vt:lpwstr>
  </property>
  <property fmtid="{D5CDD505-2E9C-101B-9397-08002B2CF9AE}" pid="17" name="MSIP_Label_2bbab825-a111-45e4-86a1-18cee0005896_Enabled">
    <vt:lpwstr>true</vt:lpwstr>
  </property>
  <property fmtid="{D5CDD505-2E9C-101B-9397-08002B2CF9AE}" pid="18" name="MSIP_Label_2bbab825-a111-45e4-86a1-18cee0005896_SetDate">
    <vt:lpwstr>2025-02-11T00:18:36Z</vt:lpwstr>
  </property>
  <property fmtid="{D5CDD505-2E9C-101B-9397-08002B2CF9AE}" pid="19" name="MSIP_Label_2bbab825-a111-45e4-86a1-18cee0005896_Method">
    <vt:lpwstr>Standard</vt:lpwstr>
  </property>
  <property fmtid="{D5CDD505-2E9C-101B-9397-08002B2CF9AE}" pid="20" name="MSIP_Label_2bbab825-a111-45e4-86a1-18cee0005896_Name">
    <vt:lpwstr>2bbab825-a111-45e4-86a1-18cee0005896</vt:lpwstr>
  </property>
  <property fmtid="{D5CDD505-2E9C-101B-9397-08002B2CF9AE}" pid="21" name="MSIP_Label_2bbab825-a111-45e4-86a1-18cee0005896_SiteId">
    <vt:lpwstr>2567d566-604c-408a-8a60-55d0dc9d9d6b</vt:lpwstr>
  </property>
  <property fmtid="{D5CDD505-2E9C-101B-9397-08002B2CF9AE}" pid="22" name="MSIP_Label_2bbab825-a111-45e4-86a1-18cee0005896_ActionId">
    <vt:lpwstr>86626ab2-63f8-44b4-b765-88fe116800b2</vt:lpwstr>
  </property>
  <property fmtid="{D5CDD505-2E9C-101B-9397-08002B2CF9AE}" pid="23" name="MSIP_Label_2bbab825-a111-45e4-86a1-18cee0005896_ContentBits">
    <vt:lpwstr>2</vt:lpwstr>
  </property>
  <property fmtid="{D5CDD505-2E9C-101B-9397-08002B2CF9AE}" pid="24" name="MSIP_Label_2bbab825-a111-45e4-86a1-18cee0005896_Tag">
    <vt:lpwstr>10, 3, 0, 1</vt:lpwstr>
  </property>
</Properties>
</file>