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E1017" w14:textId="77777777" w:rsidR="00BA072A" w:rsidRPr="00BA072A" w:rsidRDefault="00BA072A" w:rsidP="00BA072A">
      <w:pPr>
        <w:rPr>
          <w:lang w:val="en-US"/>
        </w:rPr>
      </w:pPr>
      <w:bookmarkStart w:id="0" w:name="OLE_LINK1"/>
      <w:r w:rsidRPr="00BA072A">
        <w:rPr>
          <w:b/>
          <w:bCs/>
          <w:lang w:val="en-US"/>
        </w:rPr>
        <w:t>Supplementary table 1</w:t>
      </w:r>
      <w:r w:rsidRPr="00BA072A">
        <w:rPr>
          <w:lang w:val="en-US"/>
        </w:rPr>
        <w:t xml:space="preserve"> Results of expert consultation on oral MMPI nursing training course for ICU nurses in the secondary round of Delphi expert consultation.</w:t>
      </w:r>
    </w:p>
    <w:tbl>
      <w:tblPr>
        <w:tblW w:w="8220" w:type="dxa"/>
        <w:tblLayout w:type="fixed"/>
        <w:tblLook w:val="04A0" w:firstRow="1" w:lastRow="0" w:firstColumn="1" w:lastColumn="0" w:noHBand="0" w:noVBand="1"/>
      </w:tblPr>
      <w:tblGrid>
        <w:gridCol w:w="5952"/>
        <w:gridCol w:w="1134"/>
        <w:gridCol w:w="1134"/>
      </w:tblGrid>
      <w:tr w:rsidR="00BA072A" w:rsidRPr="00BA072A" w14:paraId="5FD60536" w14:textId="77777777" w:rsidTr="00BA072A">
        <w:trPr>
          <w:trHeight w:val="452"/>
        </w:trPr>
        <w:tc>
          <w:tcPr>
            <w:tcW w:w="5954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bookmarkEnd w:id="0"/>
          <w:p w14:paraId="782C2914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Items for the primary, secondary and tertiary indicators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5130E5AB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Score of importance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5BE79F45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Coefficient of variation</w:t>
            </w:r>
          </w:p>
        </w:tc>
      </w:tr>
      <w:tr w:rsidR="00BA072A" w:rsidRPr="00BA072A" w14:paraId="1F451D58" w14:textId="77777777" w:rsidTr="00BA072A">
        <w:trPr>
          <w:trHeight w:val="361"/>
        </w:trPr>
        <w:tc>
          <w:tcPr>
            <w:tcW w:w="595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092DF15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rFonts w:ascii="MS Gothic" w:eastAsia="MS Gothic" w:hAnsi="MS Gothic" w:cs="MS Gothic" w:hint="eastAsia"/>
                <w:lang w:val="en-US"/>
              </w:rPr>
              <w:t>Ⅰ</w:t>
            </w:r>
            <w:r w:rsidRPr="00BA072A">
              <w:rPr>
                <w:lang w:val="en-US"/>
              </w:rPr>
              <w:t>-1 Professional Knowledge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4E2C7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3.50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0.52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C9DF9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0.15 </w:t>
            </w:r>
          </w:p>
        </w:tc>
      </w:tr>
      <w:tr w:rsidR="00BA072A" w:rsidRPr="00BA072A" w14:paraId="18E044A2" w14:textId="77777777" w:rsidTr="00BA072A">
        <w:trPr>
          <w:trHeight w:val="424"/>
        </w:trPr>
        <w:tc>
          <w:tcPr>
            <w:tcW w:w="5954" w:type="dxa"/>
            <w:vAlign w:val="center"/>
            <w:hideMark/>
          </w:tcPr>
          <w:p w14:paraId="3983822D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rFonts w:ascii="MS Gothic" w:eastAsia="MS Gothic" w:hAnsi="MS Gothic" w:cs="MS Gothic" w:hint="eastAsia"/>
                <w:lang w:val="en-US"/>
              </w:rPr>
              <w:t>Ⅱ</w:t>
            </w:r>
            <w:r w:rsidRPr="00BA072A">
              <w:rPr>
                <w:lang w:val="en-US"/>
              </w:rPr>
              <w:t>-1 Definition and classification of medical device-related pressure injuries</w:t>
            </w:r>
          </w:p>
        </w:tc>
        <w:tc>
          <w:tcPr>
            <w:tcW w:w="1134" w:type="dxa"/>
            <w:noWrap/>
            <w:vAlign w:val="center"/>
            <w:hideMark/>
          </w:tcPr>
          <w:p w14:paraId="0525BD96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4.42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0.52</w:t>
            </w:r>
          </w:p>
        </w:tc>
        <w:tc>
          <w:tcPr>
            <w:tcW w:w="1134" w:type="dxa"/>
            <w:noWrap/>
            <w:vAlign w:val="center"/>
            <w:hideMark/>
          </w:tcPr>
          <w:p w14:paraId="13E6D0AD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0.12 </w:t>
            </w:r>
          </w:p>
        </w:tc>
      </w:tr>
      <w:tr w:rsidR="00BA072A" w:rsidRPr="00BA072A" w14:paraId="22F12476" w14:textId="77777777" w:rsidTr="00BA072A">
        <w:trPr>
          <w:trHeight w:val="430"/>
        </w:trPr>
        <w:tc>
          <w:tcPr>
            <w:tcW w:w="5954" w:type="dxa"/>
            <w:vAlign w:val="center"/>
            <w:hideMark/>
          </w:tcPr>
          <w:p w14:paraId="6EB5AEC6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rFonts w:ascii="MS Gothic" w:eastAsia="MS Gothic" w:hAnsi="MS Gothic" w:cs="MS Gothic" w:hint="eastAsia"/>
                <w:lang w:val="en-US"/>
              </w:rPr>
              <w:t>Ⅲ</w:t>
            </w:r>
            <w:r w:rsidRPr="00BA072A">
              <w:rPr>
                <w:lang w:val="en-US"/>
              </w:rPr>
              <w:t>-1 Diagnostic criteria and common causes of medical device-related pressure injuries</w:t>
            </w:r>
          </w:p>
        </w:tc>
        <w:tc>
          <w:tcPr>
            <w:tcW w:w="1134" w:type="dxa"/>
            <w:noWrap/>
            <w:vAlign w:val="center"/>
            <w:hideMark/>
          </w:tcPr>
          <w:p w14:paraId="4AFEDD69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3.92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0.79</w:t>
            </w:r>
          </w:p>
        </w:tc>
        <w:tc>
          <w:tcPr>
            <w:tcW w:w="1134" w:type="dxa"/>
            <w:noWrap/>
            <w:vAlign w:val="center"/>
            <w:hideMark/>
          </w:tcPr>
          <w:p w14:paraId="2E80EC2C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0.20 </w:t>
            </w:r>
          </w:p>
        </w:tc>
      </w:tr>
      <w:tr w:rsidR="00BA072A" w:rsidRPr="00BA072A" w14:paraId="600173D5" w14:textId="77777777" w:rsidTr="00BA072A">
        <w:trPr>
          <w:trHeight w:val="369"/>
        </w:trPr>
        <w:tc>
          <w:tcPr>
            <w:tcW w:w="5954" w:type="dxa"/>
            <w:vAlign w:val="center"/>
            <w:hideMark/>
          </w:tcPr>
          <w:p w14:paraId="1810797E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III-2 Clinical staging and evaluation methods of oral MMPI</w:t>
            </w:r>
          </w:p>
        </w:tc>
        <w:tc>
          <w:tcPr>
            <w:tcW w:w="1134" w:type="dxa"/>
            <w:noWrap/>
            <w:vAlign w:val="center"/>
            <w:hideMark/>
          </w:tcPr>
          <w:p w14:paraId="4B119A35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3.67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0.78</w:t>
            </w:r>
          </w:p>
        </w:tc>
        <w:tc>
          <w:tcPr>
            <w:tcW w:w="1134" w:type="dxa"/>
            <w:noWrap/>
            <w:vAlign w:val="center"/>
            <w:hideMark/>
          </w:tcPr>
          <w:p w14:paraId="7D55CF5F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0.21</w:t>
            </w:r>
          </w:p>
        </w:tc>
      </w:tr>
      <w:tr w:rsidR="00BA072A" w:rsidRPr="00BA072A" w14:paraId="02FA09CE" w14:textId="77777777" w:rsidTr="00BA072A">
        <w:trPr>
          <w:trHeight w:val="289"/>
        </w:trPr>
        <w:tc>
          <w:tcPr>
            <w:tcW w:w="5954" w:type="dxa"/>
            <w:vAlign w:val="center"/>
            <w:hideMark/>
          </w:tcPr>
          <w:p w14:paraId="32C5AA31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II-2 Selection and use of medical devices</w:t>
            </w:r>
          </w:p>
        </w:tc>
        <w:tc>
          <w:tcPr>
            <w:tcW w:w="1134" w:type="dxa"/>
            <w:noWrap/>
            <w:vAlign w:val="center"/>
            <w:hideMark/>
          </w:tcPr>
          <w:p w14:paraId="641EDE49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3.92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0.79</w:t>
            </w:r>
          </w:p>
        </w:tc>
        <w:tc>
          <w:tcPr>
            <w:tcW w:w="1134" w:type="dxa"/>
            <w:noWrap/>
            <w:vAlign w:val="center"/>
            <w:hideMark/>
          </w:tcPr>
          <w:p w14:paraId="0F42711C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0.20</w:t>
            </w:r>
          </w:p>
        </w:tc>
      </w:tr>
      <w:tr w:rsidR="00BA072A" w:rsidRPr="00BA072A" w14:paraId="5A5A9F89" w14:textId="77777777" w:rsidTr="00BA072A">
        <w:trPr>
          <w:trHeight w:val="393"/>
        </w:trPr>
        <w:tc>
          <w:tcPr>
            <w:tcW w:w="5954" w:type="dxa"/>
            <w:vAlign w:val="center"/>
            <w:hideMark/>
          </w:tcPr>
          <w:p w14:paraId="4D56D404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III-3 Evaluate the purpose and function of the device and select the appropriate type, material and model of medical device</w:t>
            </w:r>
          </w:p>
        </w:tc>
        <w:tc>
          <w:tcPr>
            <w:tcW w:w="1134" w:type="dxa"/>
            <w:noWrap/>
            <w:vAlign w:val="center"/>
            <w:hideMark/>
          </w:tcPr>
          <w:p w14:paraId="17106F6E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4.00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0.60</w:t>
            </w:r>
          </w:p>
        </w:tc>
        <w:tc>
          <w:tcPr>
            <w:tcW w:w="1134" w:type="dxa"/>
            <w:noWrap/>
            <w:vAlign w:val="center"/>
            <w:hideMark/>
          </w:tcPr>
          <w:p w14:paraId="6C8F8E7F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0.15 </w:t>
            </w:r>
          </w:p>
        </w:tc>
      </w:tr>
      <w:tr w:rsidR="00BA072A" w:rsidRPr="00BA072A" w14:paraId="65BE5AD4" w14:textId="77777777" w:rsidTr="00BA072A">
        <w:trPr>
          <w:trHeight w:val="345"/>
        </w:trPr>
        <w:tc>
          <w:tcPr>
            <w:tcW w:w="5954" w:type="dxa"/>
            <w:vAlign w:val="center"/>
            <w:hideMark/>
          </w:tcPr>
          <w:p w14:paraId="61A73F48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III-4 Select and use preventive dressings</w:t>
            </w:r>
          </w:p>
        </w:tc>
        <w:tc>
          <w:tcPr>
            <w:tcW w:w="1134" w:type="dxa"/>
            <w:noWrap/>
            <w:vAlign w:val="center"/>
            <w:hideMark/>
          </w:tcPr>
          <w:p w14:paraId="6833984D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4.35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0.84</w:t>
            </w:r>
          </w:p>
        </w:tc>
        <w:tc>
          <w:tcPr>
            <w:tcW w:w="1134" w:type="dxa"/>
            <w:noWrap/>
            <w:vAlign w:val="center"/>
            <w:hideMark/>
          </w:tcPr>
          <w:p w14:paraId="1E66B870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0.22 </w:t>
            </w:r>
          </w:p>
        </w:tc>
      </w:tr>
      <w:tr w:rsidR="00BA072A" w:rsidRPr="00BA072A" w14:paraId="1CBECAD4" w14:textId="77777777" w:rsidTr="00BA072A">
        <w:trPr>
          <w:trHeight w:val="567"/>
        </w:trPr>
        <w:tc>
          <w:tcPr>
            <w:tcW w:w="5954" w:type="dxa"/>
            <w:vAlign w:val="center"/>
            <w:hideMark/>
          </w:tcPr>
          <w:p w14:paraId="52AF756B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rFonts w:ascii="MS Gothic" w:eastAsia="MS Gothic" w:hAnsi="MS Gothic" w:cs="MS Gothic" w:hint="eastAsia"/>
                <w:lang w:val="en-US"/>
              </w:rPr>
              <w:t>Ⅲ</w:t>
            </w:r>
            <w:r w:rsidRPr="00BA072A">
              <w:rPr>
                <w:lang w:val="en-US"/>
              </w:rPr>
              <w:t>-5 Correctly wear and fix the medical device with appropriate tightness to avoid excessive pressure</w:t>
            </w:r>
          </w:p>
        </w:tc>
        <w:tc>
          <w:tcPr>
            <w:tcW w:w="1134" w:type="dxa"/>
            <w:noWrap/>
            <w:vAlign w:val="center"/>
            <w:hideMark/>
          </w:tcPr>
          <w:p w14:paraId="3038741F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3.83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0.72</w:t>
            </w:r>
          </w:p>
        </w:tc>
        <w:tc>
          <w:tcPr>
            <w:tcW w:w="1134" w:type="dxa"/>
            <w:noWrap/>
            <w:vAlign w:val="center"/>
            <w:hideMark/>
          </w:tcPr>
          <w:p w14:paraId="00CB9279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0.19 </w:t>
            </w:r>
          </w:p>
        </w:tc>
      </w:tr>
      <w:tr w:rsidR="00BA072A" w:rsidRPr="00BA072A" w14:paraId="71DE1520" w14:textId="77777777" w:rsidTr="00BA072A">
        <w:trPr>
          <w:trHeight w:val="372"/>
        </w:trPr>
        <w:tc>
          <w:tcPr>
            <w:tcW w:w="5954" w:type="dxa"/>
            <w:vAlign w:val="center"/>
            <w:hideMark/>
          </w:tcPr>
          <w:p w14:paraId="5E77FA8F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II-3 Current status and research progress of oral MMPI at home and abroad</w:t>
            </w:r>
          </w:p>
        </w:tc>
        <w:tc>
          <w:tcPr>
            <w:tcW w:w="1134" w:type="dxa"/>
            <w:noWrap/>
            <w:vAlign w:val="center"/>
            <w:hideMark/>
          </w:tcPr>
          <w:p w14:paraId="3BD43999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3.58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0.67</w:t>
            </w:r>
          </w:p>
        </w:tc>
        <w:tc>
          <w:tcPr>
            <w:tcW w:w="1134" w:type="dxa"/>
            <w:noWrap/>
            <w:vAlign w:val="center"/>
            <w:hideMark/>
          </w:tcPr>
          <w:p w14:paraId="57B2651E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0.19 </w:t>
            </w:r>
          </w:p>
        </w:tc>
      </w:tr>
      <w:tr w:rsidR="00BA072A" w:rsidRPr="00BA072A" w14:paraId="06B4E0BE" w14:textId="77777777" w:rsidTr="00BA072A">
        <w:trPr>
          <w:trHeight w:val="279"/>
        </w:trPr>
        <w:tc>
          <w:tcPr>
            <w:tcW w:w="5954" w:type="dxa"/>
            <w:vAlign w:val="center"/>
            <w:hideMark/>
          </w:tcPr>
          <w:p w14:paraId="6FDD55AC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III-6 Interpretation of the updated skin management guidelines</w:t>
            </w:r>
          </w:p>
        </w:tc>
        <w:tc>
          <w:tcPr>
            <w:tcW w:w="1134" w:type="dxa"/>
            <w:noWrap/>
            <w:vAlign w:val="center"/>
            <w:hideMark/>
          </w:tcPr>
          <w:p w14:paraId="192C9ACD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3.83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0.72</w:t>
            </w:r>
          </w:p>
        </w:tc>
        <w:tc>
          <w:tcPr>
            <w:tcW w:w="1134" w:type="dxa"/>
            <w:noWrap/>
            <w:vAlign w:val="center"/>
            <w:hideMark/>
          </w:tcPr>
          <w:p w14:paraId="5F3B72ED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0.19 </w:t>
            </w:r>
          </w:p>
        </w:tc>
      </w:tr>
      <w:tr w:rsidR="00BA072A" w:rsidRPr="00BA072A" w14:paraId="5E5390C6" w14:textId="77777777" w:rsidTr="00BA072A">
        <w:trPr>
          <w:trHeight w:val="397"/>
        </w:trPr>
        <w:tc>
          <w:tcPr>
            <w:tcW w:w="5954" w:type="dxa"/>
            <w:vAlign w:val="center"/>
            <w:hideMark/>
          </w:tcPr>
          <w:p w14:paraId="641E890D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III-7 Interpretation of the management standards for oral MMPI in patients with endotracheal intubation</w:t>
            </w:r>
          </w:p>
        </w:tc>
        <w:tc>
          <w:tcPr>
            <w:tcW w:w="1134" w:type="dxa"/>
            <w:noWrap/>
            <w:vAlign w:val="center"/>
            <w:hideMark/>
          </w:tcPr>
          <w:p w14:paraId="027CA220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3.92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0.67</w:t>
            </w:r>
          </w:p>
        </w:tc>
        <w:tc>
          <w:tcPr>
            <w:tcW w:w="1134" w:type="dxa"/>
            <w:noWrap/>
            <w:vAlign w:val="center"/>
            <w:hideMark/>
          </w:tcPr>
          <w:p w14:paraId="02645668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0.17 </w:t>
            </w:r>
          </w:p>
        </w:tc>
      </w:tr>
      <w:tr w:rsidR="00BA072A" w:rsidRPr="00BA072A" w14:paraId="389E56D3" w14:textId="77777777" w:rsidTr="00BA072A">
        <w:trPr>
          <w:trHeight w:val="193"/>
        </w:trPr>
        <w:tc>
          <w:tcPr>
            <w:tcW w:w="5954" w:type="dxa"/>
            <w:vAlign w:val="center"/>
            <w:hideMark/>
          </w:tcPr>
          <w:p w14:paraId="46E5E739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III-8 Incidence and common sites of oral MMPI</w:t>
            </w:r>
          </w:p>
        </w:tc>
        <w:tc>
          <w:tcPr>
            <w:tcW w:w="1134" w:type="dxa"/>
            <w:noWrap/>
            <w:vAlign w:val="center"/>
            <w:hideMark/>
          </w:tcPr>
          <w:p w14:paraId="7CE44C19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4.25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0.62</w:t>
            </w:r>
          </w:p>
        </w:tc>
        <w:tc>
          <w:tcPr>
            <w:tcW w:w="1134" w:type="dxa"/>
            <w:noWrap/>
            <w:vAlign w:val="center"/>
            <w:hideMark/>
          </w:tcPr>
          <w:p w14:paraId="5D48457B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0.15 </w:t>
            </w:r>
          </w:p>
        </w:tc>
      </w:tr>
      <w:tr w:rsidR="00BA072A" w:rsidRPr="00BA072A" w14:paraId="24C205D0" w14:textId="77777777" w:rsidTr="00BA072A">
        <w:trPr>
          <w:trHeight w:val="567"/>
        </w:trPr>
        <w:tc>
          <w:tcPr>
            <w:tcW w:w="5954" w:type="dxa"/>
            <w:vAlign w:val="center"/>
            <w:hideMark/>
          </w:tcPr>
          <w:p w14:paraId="2D75C002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III-9 Analysis of high-risk populations and influencing factors for oral MMPI</w:t>
            </w:r>
          </w:p>
        </w:tc>
        <w:tc>
          <w:tcPr>
            <w:tcW w:w="1134" w:type="dxa"/>
            <w:noWrap/>
            <w:vAlign w:val="center"/>
            <w:hideMark/>
          </w:tcPr>
          <w:p w14:paraId="1953E106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4.00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0.85</w:t>
            </w:r>
          </w:p>
        </w:tc>
        <w:tc>
          <w:tcPr>
            <w:tcW w:w="1134" w:type="dxa"/>
            <w:noWrap/>
            <w:vAlign w:val="center"/>
            <w:hideMark/>
          </w:tcPr>
          <w:p w14:paraId="41EC63EB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0.21</w:t>
            </w:r>
          </w:p>
        </w:tc>
      </w:tr>
      <w:tr w:rsidR="00BA072A" w:rsidRPr="00BA072A" w14:paraId="11AFD0FB" w14:textId="77777777" w:rsidTr="00BA072A">
        <w:trPr>
          <w:trHeight w:val="291"/>
        </w:trPr>
        <w:tc>
          <w:tcPr>
            <w:tcW w:w="5954" w:type="dxa"/>
            <w:vAlign w:val="center"/>
            <w:hideMark/>
          </w:tcPr>
          <w:p w14:paraId="4265D56D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II-4 Medication management strategy for patients with endotracheal intubation</w:t>
            </w:r>
          </w:p>
        </w:tc>
        <w:tc>
          <w:tcPr>
            <w:tcW w:w="1134" w:type="dxa"/>
            <w:noWrap/>
            <w:vAlign w:val="center"/>
            <w:hideMark/>
          </w:tcPr>
          <w:p w14:paraId="57B9A0C5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3.67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0.78</w:t>
            </w:r>
          </w:p>
        </w:tc>
        <w:tc>
          <w:tcPr>
            <w:tcW w:w="1134" w:type="dxa"/>
            <w:noWrap/>
            <w:vAlign w:val="center"/>
            <w:hideMark/>
          </w:tcPr>
          <w:p w14:paraId="07598E2C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0.21 </w:t>
            </w:r>
          </w:p>
        </w:tc>
      </w:tr>
      <w:tr w:rsidR="00BA072A" w:rsidRPr="00BA072A" w14:paraId="1C28C4DB" w14:textId="77777777" w:rsidTr="00BA072A">
        <w:trPr>
          <w:trHeight w:val="565"/>
        </w:trPr>
        <w:tc>
          <w:tcPr>
            <w:tcW w:w="5954" w:type="dxa"/>
            <w:vAlign w:val="center"/>
            <w:hideMark/>
          </w:tcPr>
          <w:p w14:paraId="20F0D9FE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III-10 Strategies for using sedatives, anticoagulants and vasoactive drugs in patients with endotracheal intubation</w:t>
            </w:r>
          </w:p>
        </w:tc>
        <w:tc>
          <w:tcPr>
            <w:tcW w:w="1134" w:type="dxa"/>
            <w:noWrap/>
            <w:vAlign w:val="center"/>
            <w:hideMark/>
          </w:tcPr>
          <w:p w14:paraId="52E7B093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4.08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0.79</w:t>
            </w:r>
          </w:p>
        </w:tc>
        <w:tc>
          <w:tcPr>
            <w:tcW w:w="1134" w:type="dxa"/>
            <w:noWrap/>
            <w:vAlign w:val="center"/>
            <w:hideMark/>
          </w:tcPr>
          <w:p w14:paraId="1D6DE64C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0.19 </w:t>
            </w:r>
          </w:p>
        </w:tc>
      </w:tr>
      <w:tr w:rsidR="00BA072A" w:rsidRPr="00BA072A" w14:paraId="3013A41D" w14:textId="77777777" w:rsidTr="00BA072A">
        <w:trPr>
          <w:trHeight w:val="219"/>
        </w:trPr>
        <w:tc>
          <w:tcPr>
            <w:tcW w:w="5954" w:type="dxa"/>
            <w:vAlign w:val="center"/>
            <w:hideMark/>
          </w:tcPr>
          <w:p w14:paraId="6314D7D4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lastRenderedPageBreak/>
              <w:t>II-5 Nutrition management strategy for patients with endotracheal intubation</w:t>
            </w:r>
          </w:p>
        </w:tc>
        <w:tc>
          <w:tcPr>
            <w:tcW w:w="1134" w:type="dxa"/>
            <w:noWrap/>
            <w:vAlign w:val="center"/>
            <w:hideMark/>
          </w:tcPr>
          <w:p w14:paraId="31A8CACA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3.67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0.78</w:t>
            </w:r>
          </w:p>
        </w:tc>
        <w:tc>
          <w:tcPr>
            <w:tcW w:w="1134" w:type="dxa"/>
            <w:noWrap/>
            <w:vAlign w:val="center"/>
            <w:hideMark/>
          </w:tcPr>
          <w:p w14:paraId="33787B01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0.21</w:t>
            </w:r>
          </w:p>
        </w:tc>
      </w:tr>
      <w:tr w:rsidR="00BA072A" w:rsidRPr="00BA072A" w14:paraId="576AA169" w14:textId="77777777" w:rsidTr="00BA072A">
        <w:trPr>
          <w:trHeight w:val="567"/>
        </w:trPr>
        <w:tc>
          <w:tcPr>
            <w:tcW w:w="5954" w:type="dxa"/>
            <w:vAlign w:val="center"/>
            <w:hideMark/>
          </w:tcPr>
          <w:p w14:paraId="7C8BC2B3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III-11 Assessment of nutritional status and implementation in patients with endotracheal intubation</w:t>
            </w:r>
          </w:p>
        </w:tc>
        <w:tc>
          <w:tcPr>
            <w:tcW w:w="1134" w:type="dxa"/>
            <w:noWrap/>
            <w:vAlign w:val="center"/>
            <w:hideMark/>
          </w:tcPr>
          <w:p w14:paraId="18B948E3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3.92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0.67</w:t>
            </w:r>
          </w:p>
        </w:tc>
        <w:tc>
          <w:tcPr>
            <w:tcW w:w="1134" w:type="dxa"/>
            <w:noWrap/>
            <w:vAlign w:val="center"/>
            <w:hideMark/>
          </w:tcPr>
          <w:p w14:paraId="172DE9AF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0.17 </w:t>
            </w:r>
          </w:p>
        </w:tc>
      </w:tr>
      <w:tr w:rsidR="00BA072A" w:rsidRPr="00BA072A" w14:paraId="2E053CF5" w14:textId="77777777" w:rsidTr="00BA072A">
        <w:trPr>
          <w:trHeight w:val="274"/>
        </w:trPr>
        <w:tc>
          <w:tcPr>
            <w:tcW w:w="5954" w:type="dxa"/>
            <w:vAlign w:val="center"/>
            <w:hideMark/>
          </w:tcPr>
          <w:p w14:paraId="30BF13E2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II-6 Posture management strategy for patients with endotracheal intubation</w:t>
            </w:r>
          </w:p>
        </w:tc>
        <w:tc>
          <w:tcPr>
            <w:tcW w:w="1134" w:type="dxa"/>
            <w:noWrap/>
            <w:vAlign w:val="center"/>
            <w:hideMark/>
          </w:tcPr>
          <w:p w14:paraId="2D6A9DAB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3.50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0.52</w:t>
            </w:r>
          </w:p>
        </w:tc>
        <w:tc>
          <w:tcPr>
            <w:tcW w:w="1134" w:type="dxa"/>
            <w:noWrap/>
            <w:vAlign w:val="center"/>
            <w:hideMark/>
          </w:tcPr>
          <w:p w14:paraId="6E2F776B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0.15 </w:t>
            </w:r>
          </w:p>
        </w:tc>
      </w:tr>
      <w:tr w:rsidR="00BA072A" w:rsidRPr="00BA072A" w14:paraId="2F349B28" w14:textId="77777777" w:rsidTr="00BA072A">
        <w:trPr>
          <w:trHeight w:val="567"/>
        </w:trPr>
        <w:tc>
          <w:tcPr>
            <w:tcW w:w="5954" w:type="dxa"/>
            <w:vAlign w:val="center"/>
            <w:hideMark/>
          </w:tcPr>
          <w:p w14:paraId="1A004ADD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III-12 Strategies for preventing oral MMPI in patients with endotracheal intubation during ventilation in a prone position</w:t>
            </w:r>
          </w:p>
        </w:tc>
        <w:tc>
          <w:tcPr>
            <w:tcW w:w="1134" w:type="dxa"/>
            <w:noWrap/>
            <w:vAlign w:val="center"/>
            <w:hideMark/>
          </w:tcPr>
          <w:p w14:paraId="1844BB2E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3.67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0.79</w:t>
            </w:r>
          </w:p>
        </w:tc>
        <w:tc>
          <w:tcPr>
            <w:tcW w:w="1134" w:type="dxa"/>
            <w:noWrap/>
            <w:vAlign w:val="center"/>
            <w:hideMark/>
          </w:tcPr>
          <w:p w14:paraId="1FCDA4B6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0.21 </w:t>
            </w:r>
          </w:p>
        </w:tc>
      </w:tr>
      <w:tr w:rsidR="00BA072A" w:rsidRPr="00BA072A" w14:paraId="3DEC5595" w14:textId="77777777" w:rsidTr="00BA072A">
        <w:trPr>
          <w:trHeight w:val="473"/>
        </w:trPr>
        <w:tc>
          <w:tcPr>
            <w:tcW w:w="5954" w:type="dxa"/>
            <w:vAlign w:val="center"/>
            <w:hideMark/>
          </w:tcPr>
          <w:p w14:paraId="10311A7C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II-7 Early withdrawal of mechanical ventilation strategy for patients with endotracheal intubation</w:t>
            </w:r>
          </w:p>
        </w:tc>
        <w:tc>
          <w:tcPr>
            <w:tcW w:w="1134" w:type="dxa"/>
            <w:noWrap/>
            <w:vAlign w:val="center"/>
            <w:hideMark/>
          </w:tcPr>
          <w:p w14:paraId="46D1CF6D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4.08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0.52</w:t>
            </w:r>
          </w:p>
        </w:tc>
        <w:tc>
          <w:tcPr>
            <w:tcW w:w="1134" w:type="dxa"/>
            <w:noWrap/>
            <w:vAlign w:val="center"/>
            <w:hideMark/>
          </w:tcPr>
          <w:p w14:paraId="7A0F7444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0.13 </w:t>
            </w:r>
          </w:p>
        </w:tc>
      </w:tr>
      <w:tr w:rsidR="00BA072A" w:rsidRPr="00BA072A" w14:paraId="51168A6D" w14:textId="77777777" w:rsidTr="00BA072A">
        <w:trPr>
          <w:trHeight w:val="424"/>
        </w:trPr>
        <w:tc>
          <w:tcPr>
            <w:tcW w:w="5954" w:type="dxa"/>
            <w:vAlign w:val="center"/>
            <w:hideMark/>
          </w:tcPr>
          <w:p w14:paraId="2E9BF8CA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rFonts w:ascii="MS Gothic" w:eastAsia="MS Gothic" w:hAnsi="MS Gothic" w:cs="MS Gothic" w:hint="eastAsia"/>
                <w:lang w:val="en-US"/>
              </w:rPr>
              <w:t>Ⅲ</w:t>
            </w:r>
            <w:r w:rsidRPr="00BA072A">
              <w:rPr>
                <w:lang w:val="en-US"/>
              </w:rPr>
              <w:t>-13 Regularly assess the necessity of ventilators and endotracheal intubation, and wean and extubate as soon as possible</w:t>
            </w:r>
          </w:p>
        </w:tc>
        <w:tc>
          <w:tcPr>
            <w:tcW w:w="1134" w:type="dxa"/>
            <w:noWrap/>
            <w:vAlign w:val="center"/>
            <w:hideMark/>
          </w:tcPr>
          <w:p w14:paraId="30A4380C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3.75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0.75</w:t>
            </w:r>
          </w:p>
        </w:tc>
        <w:tc>
          <w:tcPr>
            <w:tcW w:w="1134" w:type="dxa"/>
            <w:noWrap/>
            <w:vAlign w:val="center"/>
            <w:hideMark/>
          </w:tcPr>
          <w:p w14:paraId="2706F5F5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0.20</w:t>
            </w:r>
          </w:p>
        </w:tc>
      </w:tr>
      <w:tr w:rsidR="00BA072A" w:rsidRPr="00BA072A" w14:paraId="3F3BFE83" w14:textId="77777777" w:rsidTr="00BA072A">
        <w:trPr>
          <w:trHeight w:val="221"/>
        </w:trPr>
        <w:tc>
          <w:tcPr>
            <w:tcW w:w="5954" w:type="dxa"/>
            <w:vAlign w:val="center"/>
            <w:hideMark/>
          </w:tcPr>
          <w:p w14:paraId="68C949F1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II-8 Humanistic care strategy for patients with endotracheal intubation</w:t>
            </w:r>
          </w:p>
        </w:tc>
        <w:tc>
          <w:tcPr>
            <w:tcW w:w="1134" w:type="dxa"/>
            <w:noWrap/>
            <w:vAlign w:val="center"/>
            <w:hideMark/>
          </w:tcPr>
          <w:p w14:paraId="0D26944C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3.75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0.75</w:t>
            </w:r>
          </w:p>
        </w:tc>
        <w:tc>
          <w:tcPr>
            <w:tcW w:w="1134" w:type="dxa"/>
            <w:noWrap/>
            <w:vAlign w:val="center"/>
            <w:hideMark/>
          </w:tcPr>
          <w:p w14:paraId="1C13D0BF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0.20 </w:t>
            </w:r>
          </w:p>
        </w:tc>
      </w:tr>
      <w:tr w:rsidR="00BA072A" w:rsidRPr="00BA072A" w14:paraId="687B9F06" w14:textId="77777777" w:rsidTr="00BA072A">
        <w:trPr>
          <w:trHeight w:val="481"/>
        </w:trPr>
        <w:tc>
          <w:tcPr>
            <w:tcW w:w="5954" w:type="dxa"/>
            <w:vAlign w:val="center"/>
            <w:hideMark/>
          </w:tcPr>
          <w:p w14:paraId="7B9FBA3C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III-14 Effective communication and psychological support for patients with endotracheal intubation</w:t>
            </w:r>
          </w:p>
        </w:tc>
        <w:tc>
          <w:tcPr>
            <w:tcW w:w="1134" w:type="dxa"/>
            <w:noWrap/>
            <w:vAlign w:val="center"/>
            <w:hideMark/>
          </w:tcPr>
          <w:p w14:paraId="39B8770C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3.83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0.72</w:t>
            </w:r>
          </w:p>
        </w:tc>
        <w:tc>
          <w:tcPr>
            <w:tcW w:w="1134" w:type="dxa"/>
            <w:noWrap/>
            <w:vAlign w:val="center"/>
            <w:hideMark/>
          </w:tcPr>
          <w:p w14:paraId="74BBECE2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0.19 </w:t>
            </w:r>
          </w:p>
        </w:tc>
      </w:tr>
      <w:tr w:rsidR="00BA072A" w:rsidRPr="00BA072A" w14:paraId="11404B08" w14:textId="77777777" w:rsidTr="00BA072A">
        <w:trPr>
          <w:trHeight w:val="135"/>
        </w:trPr>
        <w:tc>
          <w:tcPr>
            <w:tcW w:w="5954" w:type="dxa"/>
            <w:vAlign w:val="center"/>
            <w:hideMark/>
          </w:tcPr>
          <w:p w14:paraId="69908C02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I-2 Practical Skills</w:t>
            </w:r>
          </w:p>
        </w:tc>
        <w:tc>
          <w:tcPr>
            <w:tcW w:w="1134" w:type="dxa"/>
            <w:noWrap/>
            <w:vAlign w:val="center"/>
            <w:hideMark/>
          </w:tcPr>
          <w:p w14:paraId="695818F8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3.92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0.67</w:t>
            </w:r>
          </w:p>
        </w:tc>
        <w:tc>
          <w:tcPr>
            <w:tcW w:w="1134" w:type="dxa"/>
            <w:noWrap/>
            <w:vAlign w:val="center"/>
            <w:hideMark/>
          </w:tcPr>
          <w:p w14:paraId="73C2BFAD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0.17 </w:t>
            </w:r>
          </w:p>
        </w:tc>
      </w:tr>
      <w:tr w:rsidR="00BA072A" w:rsidRPr="00BA072A" w14:paraId="1A1286AA" w14:textId="77777777" w:rsidTr="00BA072A">
        <w:trPr>
          <w:trHeight w:val="253"/>
        </w:trPr>
        <w:tc>
          <w:tcPr>
            <w:tcW w:w="5954" w:type="dxa"/>
            <w:vAlign w:val="center"/>
            <w:hideMark/>
          </w:tcPr>
          <w:p w14:paraId="6A8B3D0F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II-9 Assessment content, operation purpose and precautions in oral care</w:t>
            </w:r>
          </w:p>
        </w:tc>
        <w:tc>
          <w:tcPr>
            <w:tcW w:w="1134" w:type="dxa"/>
            <w:noWrap/>
            <w:vAlign w:val="center"/>
            <w:hideMark/>
          </w:tcPr>
          <w:p w14:paraId="7AB24967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3.75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0.75</w:t>
            </w:r>
          </w:p>
        </w:tc>
        <w:tc>
          <w:tcPr>
            <w:tcW w:w="1134" w:type="dxa"/>
            <w:noWrap/>
            <w:vAlign w:val="center"/>
            <w:hideMark/>
          </w:tcPr>
          <w:p w14:paraId="24B6F645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0.20 </w:t>
            </w:r>
          </w:p>
        </w:tc>
      </w:tr>
      <w:tr w:rsidR="00BA072A" w:rsidRPr="00BA072A" w14:paraId="18DDC784" w14:textId="77777777" w:rsidTr="00BA072A">
        <w:trPr>
          <w:trHeight w:val="567"/>
        </w:trPr>
        <w:tc>
          <w:tcPr>
            <w:tcW w:w="5954" w:type="dxa"/>
            <w:vAlign w:val="center"/>
            <w:hideMark/>
          </w:tcPr>
          <w:p w14:paraId="53C4FA2E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III-15 Master the standard operation process of oral care</w:t>
            </w:r>
          </w:p>
        </w:tc>
        <w:tc>
          <w:tcPr>
            <w:tcW w:w="1134" w:type="dxa"/>
            <w:noWrap/>
            <w:vAlign w:val="center"/>
            <w:hideMark/>
          </w:tcPr>
          <w:p w14:paraId="46BE890F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4.08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0.90</w:t>
            </w:r>
          </w:p>
        </w:tc>
        <w:tc>
          <w:tcPr>
            <w:tcW w:w="1134" w:type="dxa"/>
            <w:noWrap/>
            <w:vAlign w:val="center"/>
            <w:hideMark/>
          </w:tcPr>
          <w:p w14:paraId="169CCFD4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0.22 </w:t>
            </w:r>
          </w:p>
        </w:tc>
      </w:tr>
      <w:tr w:rsidR="00BA072A" w:rsidRPr="00BA072A" w14:paraId="4B07A692" w14:textId="77777777" w:rsidTr="00BA072A">
        <w:trPr>
          <w:trHeight w:val="284"/>
        </w:trPr>
        <w:tc>
          <w:tcPr>
            <w:tcW w:w="5954" w:type="dxa"/>
            <w:vAlign w:val="center"/>
            <w:hideMark/>
          </w:tcPr>
          <w:p w14:paraId="0F3BE215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II-10 Selection and function of oral care solution.</w:t>
            </w:r>
          </w:p>
        </w:tc>
        <w:tc>
          <w:tcPr>
            <w:tcW w:w="1134" w:type="dxa"/>
            <w:noWrap/>
            <w:vAlign w:val="center"/>
            <w:hideMark/>
          </w:tcPr>
          <w:p w14:paraId="075CEBEA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3.75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0.62</w:t>
            </w:r>
          </w:p>
        </w:tc>
        <w:tc>
          <w:tcPr>
            <w:tcW w:w="1134" w:type="dxa"/>
            <w:noWrap/>
            <w:vAlign w:val="center"/>
            <w:hideMark/>
          </w:tcPr>
          <w:p w14:paraId="12D330E6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0.17 </w:t>
            </w:r>
          </w:p>
        </w:tc>
      </w:tr>
      <w:tr w:rsidR="00BA072A" w:rsidRPr="00BA072A" w14:paraId="12AE86EE" w14:textId="77777777" w:rsidTr="00BA072A">
        <w:trPr>
          <w:trHeight w:val="260"/>
        </w:trPr>
        <w:tc>
          <w:tcPr>
            <w:tcW w:w="5954" w:type="dxa"/>
            <w:vAlign w:val="center"/>
            <w:hideMark/>
          </w:tcPr>
          <w:p w14:paraId="7F8DFFA9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III-16 Be familiar with the role and application of oral care solutions</w:t>
            </w:r>
          </w:p>
        </w:tc>
        <w:tc>
          <w:tcPr>
            <w:tcW w:w="1134" w:type="dxa"/>
            <w:noWrap/>
            <w:vAlign w:val="center"/>
            <w:hideMark/>
          </w:tcPr>
          <w:p w14:paraId="0595E152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3.67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0.79</w:t>
            </w:r>
          </w:p>
        </w:tc>
        <w:tc>
          <w:tcPr>
            <w:tcW w:w="1134" w:type="dxa"/>
            <w:noWrap/>
            <w:vAlign w:val="center"/>
            <w:hideMark/>
          </w:tcPr>
          <w:p w14:paraId="61F1C20E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0.21 </w:t>
            </w:r>
          </w:p>
        </w:tc>
      </w:tr>
      <w:tr w:rsidR="00BA072A" w:rsidRPr="00BA072A" w14:paraId="56B2843A" w14:textId="77777777" w:rsidTr="00BA072A">
        <w:trPr>
          <w:trHeight w:val="222"/>
        </w:trPr>
        <w:tc>
          <w:tcPr>
            <w:tcW w:w="5954" w:type="dxa"/>
            <w:vAlign w:val="center"/>
            <w:hideMark/>
          </w:tcPr>
          <w:p w14:paraId="4C7B04E5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III-17 Correctly select and use oral cleaning utensils</w:t>
            </w:r>
          </w:p>
        </w:tc>
        <w:tc>
          <w:tcPr>
            <w:tcW w:w="1134" w:type="dxa"/>
            <w:noWrap/>
            <w:vAlign w:val="center"/>
            <w:hideMark/>
          </w:tcPr>
          <w:p w14:paraId="26779405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4.25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0.75</w:t>
            </w:r>
          </w:p>
        </w:tc>
        <w:tc>
          <w:tcPr>
            <w:tcW w:w="1134" w:type="dxa"/>
            <w:noWrap/>
            <w:vAlign w:val="center"/>
            <w:hideMark/>
          </w:tcPr>
          <w:p w14:paraId="54763A97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0.18 </w:t>
            </w:r>
          </w:p>
        </w:tc>
      </w:tr>
      <w:tr w:rsidR="00BA072A" w:rsidRPr="00BA072A" w14:paraId="70F5B965" w14:textId="77777777" w:rsidTr="00BA072A">
        <w:trPr>
          <w:trHeight w:val="199"/>
        </w:trPr>
        <w:tc>
          <w:tcPr>
            <w:tcW w:w="5954" w:type="dxa"/>
            <w:vAlign w:val="center"/>
            <w:hideMark/>
          </w:tcPr>
          <w:p w14:paraId="198788F4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II-11 Material and size selection of endotracheal tube</w:t>
            </w:r>
          </w:p>
        </w:tc>
        <w:tc>
          <w:tcPr>
            <w:tcW w:w="1134" w:type="dxa"/>
            <w:noWrap/>
            <w:vAlign w:val="center"/>
            <w:hideMark/>
          </w:tcPr>
          <w:p w14:paraId="7F9DB0FC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3.50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0.80</w:t>
            </w:r>
          </w:p>
        </w:tc>
        <w:tc>
          <w:tcPr>
            <w:tcW w:w="1134" w:type="dxa"/>
            <w:noWrap/>
            <w:vAlign w:val="center"/>
            <w:hideMark/>
          </w:tcPr>
          <w:p w14:paraId="5F9BA42A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0.22 </w:t>
            </w:r>
          </w:p>
        </w:tc>
      </w:tr>
      <w:tr w:rsidR="00BA072A" w:rsidRPr="00BA072A" w14:paraId="3519AC5E" w14:textId="77777777" w:rsidTr="00BA072A">
        <w:trPr>
          <w:trHeight w:val="316"/>
        </w:trPr>
        <w:tc>
          <w:tcPr>
            <w:tcW w:w="5954" w:type="dxa"/>
            <w:vAlign w:val="center"/>
            <w:hideMark/>
          </w:tcPr>
          <w:p w14:paraId="1DD6453D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III-18 Measurement method of endotracheal tube length and material selection.</w:t>
            </w:r>
          </w:p>
        </w:tc>
        <w:tc>
          <w:tcPr>
            <w:tcW w:w="1134" w:type="dxa"/>
            <w:noWrap/>
            <w:vAlign w:val="center"/>
            <w:hideMark/>
          </w:tcPr>
          <w:p w14:paraId="402AFE37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4.25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0.62</w:t>
            </w:r>
          </w:p>
        </w:tc>
        <w:tc>
          <w:tcPr>
            <w:tcW w:w="1134" w:type="dxa"/>
            <w:noWrap/>
            <w:vAlign w:val="center"/>
            <w:hideMark/>
          </w:tcPr>
          <w:p w14:paraId="4C6761A4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0.15 </w:t>
            </w:r>
          </w:p>
        </w:tc>
      </w:tr>
      <w:tr w:rsidR="00BA072A" w:rsidRPr="00BA072A" w14:paraId="050F5CA7" w14:textId="77777777" w:rsidTr="00BA072A">
        <w:trPr>
          <w:trHeight w:val="136"/>
        </w:trPr>
        <w:tc>
          <w:tcPr>
            <w:tcW w:w="5954" w:type="dxa"/>
            <w:vAlign w:val="center"/>
            <w:hideMark/>
          </w:tcPr>
          <w:p w14:paraId="34F6592E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II-12 Methods of securing the endotracheal tube</w:t>
            </w:r>
          </w:p>
        </w:tc>
        <w:tc>
          <w:tcPr>
            <w:tcW w:w="1134" w:type="dxa"/>
            <w:noWrap/>
            <w:vAlign w:val="center"/>
            <w:hideMark/>
          </w:tcPr>
          <w:p w14:paraId="69C81B0A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4.42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0.67</w:t>
            </w:r>
          </w:p>
        </w:tc>
        <w:tc>
          <w:tcPr>
            <w:tcW w:w="1134" w:type="dxa"/>
            <w:noWrap/>
            <w:vAlign w:val="center"/>
            <w:hideMark/>
          </w:tcPr>
          <w:p w14:paraId="3CC24CF6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0.15 </w:t>
            </w:r>
          </w:p>
        </w:tc>
      </w:tr>
      <w:tr w:rsidR="00BA072A" w:rsidRPr="00BA072A" w14:paraId="289B9076" w14:textId="77777777" w:rsidTr="00BA072A">
        <w:trPr>
          <w:trHeight w:val="253"/>
        </w:trPr>
        <w:tc>
          <w:tcPr>
            <w:tcW w:w="5954" w:type="dxa"/>
            <w:vAlign w:val="center"/>
            <w:hideMark/>
          </w:tcPr>
          <w:p w14:paraId="396219A2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lastRenderedPageBreak/>
              <w:t>III-19 Tips for fixing the endotracheal tube with a modified dental pad</w:t>
            </w:r>
          </w:p>
        </w:tc>
        <w:tc>
          <w:tcPr>
            <w:tcW w:w="1134" w:type="dxa"/>
            <w:noWrap/>
            <w:vAlign w:val="center"/>
            <w:hideMark/>
          </w:tcPr>
          <w:p w14:paraId="037E20B7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4.33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0.65</w:t>
            </w:r>
          </w:p>
        </w:tc>
        <w:tc>
          <w:tcPr>
            <w:tcW w:w="1134" w:type="dxa"/>
            <w:noWrap/>
            <w:vAlign w:val="center"/>
            <w:hideMark/>
          </w:tcPr>
          <w:p w14:paraId="18B9BD30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0.15 </w:t>
            </w:r>
          </w:p>
        </w:tc>
      </w:tr>
      <w:tr w:rsidR="00BA072A" w:rsidRPr="00BA072A" w14:paraId="610BCB27" w14:textId="77777777" w:rsidTr="00BA072A">
        <w:trPr>
          <w:trHeight w:val="215"/>
        </w:trPr>
        <w:tc>
          <w:tcPr>
            <w:tcW w:w="5954" w:type="dxa"/>
            <w:vAlign w:val="center"/>
            <w:hideMark/>
          </w:tcPr>
          <w:p w14:paraId="7301D748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III-20 Regularly adjust the endotracheal tube position and dental pad in the oral cavity</w:t>
            </w:r>
          </w:p>
        </w:tc>
        <w:tc>
          <w:tcPr>
            <w:tcW w:w="1134" w:type="dxa"/>
            <w:noWrap/>
            <w:vAlign w:val="center"/>
            <w:hideMark/>
          </w:tcPr>
          <w:p w14:paraId="28ACCBE2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4.00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0.85</w:t>
            </w:r>
          </w:p>
        </w:tc>
        <w:tc>
          <w:tcPr>
            <w:tcW w:w="1134" w:type="dxa"/>
            <w:noWrap/>
            <w:vAlign w:val="center"/>
            <w:hideMark/>
          </w:tcPr>
          <w:p w14:paraId="08167825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0.21 </w:t>
            </w:r>
          </w:p>
        </w:tc>
      </w:tr>
      <w:tr w:rsidR="00BA072A" w:rsidRPr="00BA072A" w14:paraId="68B33C9E" w14:textId="77777777" w:rsidTr="00BA072A">
        <w:trPr>
          <w:trHeight w:val="57"/>
        </w:trPr>
        <w:tc>
          <w:tcPr>
            <w:tcW w:w="5954" w:type="dxa"/>
            <w:vAlign w:val="center"/>
            <w:hideMark/>
          </w:tcPr>
          <w:p w14:paraId="1C7D7B59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I-3 Professionalism</w:t>
            </w:r>
          </w:p>
        </w:tc>
        <w:tc>
          <w:tcPr>
            <w:tcW w:w="1134" w:type="dxa"/>
            <w:noWrap/>
            <w:vAlign w:val="center"/>
            <w:hideMark/>
          </w:tcPr>
          <w:p w14:paraId="14F1D98E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3.67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0.65</w:t>
            </w:r>
          </w:p>
        </w:tc>
        <w:tc>
          <w:tcPr>
            <w:tcW w:w="1134" w:type="dxa"/>
            <w:noWrap/>
            <w:vAlign w:val="center"/>
            <w:hideMark/>
          </w:tcPr>
          <w:p w14:paraId="1D33D65C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0.18 </w:t>
            </w:r>
          </w:p>
        </w:tc>
      </w:tr>
      <w:tr w:rsidR="00BA072A" w:rsidRPr="00BA072A" w14:paraId="2F8D47F6" w14:textId="77777777" w:rsidTr="00BA072A">
        <w:trPr>
          <w:trHeight w:val="143"/>
        </w:trPr>
        <w:tc>
          <w:tcPr>
            <w:tcW w:w="5954" w:type="dxa"/>
            <w:vAlign w:val="center"/>
            <w:hideMark/>
          </w:tcPr>
          <w:p w14:paraId="3F297841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II-13 Methods and techniques of literature retrieval</w:t>
            </w:r>
          </w:p>
        </w:tc>
        <w:tc>
          <w:tcPr>
            <w:tcW w:w="1134" w:type="dxa"/>
            <w:noWrap/>
            <w:vAlign w:val="center"/>
            <w:hideMark/>
          </w:tcPr>
          <w:p w14:paraId="34F71CF2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3.75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0.75</w:t>
            </w:r>
          </w:p>
        </w:tc>
        <w:tc>
          <w:tcPr>
            <w:tcW w:w="1134" w:type="dxa"/>
            <w:noWrap/>
            <w:vAlign w:val="center"/>
            <w:hideMark/>
          </w:tcPr>
          <w:p w14:paraId="071E46C2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0.20 </w:t>
            </w:r>
          </w:p>
        </w:tc>
      </w:tr>
      <w:tr w:rsidR="00BA072A" w:rsidRPr="00BA072A" w14:paraId="04C38480" w14:textId="77777777" w:rsidTr="00BA072A">
        <w:trPr>
          <w:trHeight w:val="389"/>
        </w:trPr>
        <w:tc>
          <w:tcPr>
            <w:tcW w:w="5954" w:type="dxa"/>
            <w:vAlign w:val="center"/>
            <w:hideMark/>
          </w:tcPr>
          <w:p w14:paraId="5A0E66C8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III-21 Master the search methods of commonly used Chinese and English databases</w:t>
            </w:r>
          </w:p>
        </w:tc>
        <w:tc>
          <w:tcPr>
            <w:tcW w:w="1134" w:type="dxa"/>
            <w:noWrap/>
            <w:vAlign w:val="center"/>
            <w:hideMark/>
          </w:tcPr>
          <w:p w14:paraId="7589EC42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3.67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0.65</w:t>
            </w:r>
          </w:p>
        </w:tc>
        <w:tc>
          <w:tcPr>
            <w:tcW w:w="1134" w:type="dxa"/>
            <w:noWrap/>
            <w:vAlign w:val="center"/>
            <w:hideMark/>
          </w:tcPr>
          <w:p w14:paraId="47398581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0.18</w:t>
            </w:r>
          </w:p>
        </w:tc>
      </w:tr>
      <w:tr w:rsidR="00BA072A" w:rsidRPr="00BA072A" w14:paraId="0506D445" w14:textId="77777777" w:rsidTr="00BA072A">
        <w:trPr>
          <w:trHeight w:val="341"/>
        </w:trPr>
        <w:tc>
          <w:tcPr>
            <w:tcW w:w="5954" w:type="dxa"/>
            <w:vAlign w:val="center"/>
            <w:hideMark/>
          </w:tcPr>
          <w:p w14:paraId="5BBEE5C9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III-22 Understand the commonly used Chinese and English databases in nursing and their characteristics</w:t>
            </w:r>
          </w:p>
        </w:tc>
        <w:tc>
          <w:tcPr>
            <w:tcW w:w="1134" w:type="dxa"/>
            <w:noWrap/>
            <w:vAlign w:val="center"/>
            <w:hideMark/>
          </w:tcPr>
          <w:p w14:paraId="45822E34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4.08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0.67</w:t>
            </w:r>
          </w:p>
        </w:tc>
        <w:tc>
          <w:tcPr>
            <w:tcW w:w="1134" w:type="dxa"/>
            <w:noWrap/>
            <w:vAlign w:val="center"/>
            <w:hideMark/>
          </w:tcPr>
          <w:p w14:paraId="2E336718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0.16</w:t>
            </w:r>
          </w:p>
        </w:tc>
      </w:tr>
      <w:tr w:rsidR="00BA072A" w:rsidRPr="00BA072A" w14:paraId="298E4790" w14:textId="77777777" w:rsidTr="00BA072A">
        <w:trPr>
          <w:trHeight w:val="137"/>
        </w:trPr>
        <w:tc>
          <w:tcPr>
            <w:tcW w:w="5954" w:type="dxa"/>
            <w:vAlign w:val="center"/>
            <w:hideMark/>
          </w:tcPr>
          <w:p w14:paraId="720A18A8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III-23 Be familiar with the purpose, function, and method of literature retrieval</w:t>
            </w:r>
          </w:p>
        </w:tc>
        <w:tc>
          <w:tcPr>
            <w:tcW w:w="1134" w:type="dxa"/>
            <w:noWrap/>
            <w:vAlign w:val="center"/>
            <w:hideMark/>
          </w:tcPr>
          <w:p w14:paraId="0860CAB6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3.92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0.79</w:t>
            </w:r>
          </w:p>
        </w:tc>
        <w:tc>
          <w:tcPr>
            <w:tcW w:w="1134" w:type="dxa"/>
            <w:noWrap/>
            <w:vAlign w:val="center"/>
            <w:hideMark/>
          </w:tcPr>
          <w:p w14:paraId="044D6E54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0.20 </w:t>
            </w:r>
          </w:p>
        </w:tc>
      </w:tr>
      <w:tr w:rsidR="00BA072A" w:rsidRPr="00BA072A" w14:paraId="356AB756" w14:textId="77777777" w:rsidTr="00BA072A">
        <w:trPr>
          <w:trHeight w:val="255"/>
        </w:trPr>
        <w:tc>
          <w:tcPr>
            <w:tcW w:w="5954" w:type="dxa"/>
            <w:vAlign w:val="center"/>
            <w:hideMark/>
          </w:tcPr>
          <w:p w14:paraId="525C17E2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II-14 Ways to obtain the latest guidelines and expert consensus</w:t>
            </w:r>
          </w:p>
        </w:tc>
        <w:tc>
          <w:tcPr>
            <w:tcW w:w="1134" w:type="dxa"/>
            <w:noWrap/>
            <w:vAlign w:val="center"/>
            <w:hideMark/>
          </w:tcPr>
          <w:p w14:paraId="320D1843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3.58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0.52</w:t>
            </w:r>
          </w:p>
        </w:tc>
        <w:tc>
          <w:tcPr>
            <w:tcW w:w="1134" w:type="dxa"/>
            <w:noWrap/>
            <w:vAlign w:val="center"/>
            <w:hideMark/>
          </w:tcPr>
          <w:p w14:paraId="3B68900B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0.14 </w:t>
            </w:r>
          </w:p>
        </w:tc>
      </w:tr>
      <w:tr w:rsidR="00BA072A" w:rsidRPr="00BA072A" w14:paraId="3473FCC0" w14:textId="77777777" w:rsidTr="00BA072A">
        <w:trPr>
          <w:trHeight w:val="217"/>
        </w:trPr>
        <w:tc>
          <w:tcPr>
            <w:tcW w:w="5954" w:type="dxa"/>
            <w:vAlign w:val="center"/>
            <w:hideMark/>
          </w:tcPr>
          <w:p w14:paraId="5A0820B4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III-24 Search strategy for Yimaitong Guideline</w:t>
            </w:r>
          </w:p>
        </w:tc>
        <w:tc>
          <w:tcPr>
            <w:tcW w:w="1134" w:type="dxa"/>
            <w:noWrap/>
            <w:vAlign w:val="center"/>
            <w:hideMark/>
          </w:tcPr>
          <w:p w14:paraId="04DB77A8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4.00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0.85</w:t>
            </w:r>
          </w:p>
        </w:tc>
        <w:tc>
          <w:tcPr>
            <w:tcW w:w="1134" w:type="dxa"/>
            <w:noWrap/>
            <w:vAlign w:val="center"/>
            <w:hideMark/>
          </w:tcPr>
          <w:p w14:paraId="728A0879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0.21 </w:t>
            </w:r>
          </w:p>
        </w:tc>
      </w:tr>
      <w:tr w:rsidR="00BA072A" w:rsidRPr="00BA072A" w14:paraId="32508232" w14:textId="77777777" w:rsidTr="00BA072A">
        <w:trPr>
          <w:trHeight w:val="335"/>
        </w:trPr>
        <w:tc>
          <w:tcPr>
            <w:tcW w:w="5954" w:type="dxa"/>
            <w:vAlign w:val="center"/>
            <w:hideMark/>
          </w:tcPr>
          <w:p w14:paraId="60B40FB7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II-15 Application of critical thinking in clinical practice</w:t>
            </w:r>
          </w:p>
        </w:tc>
        <w:tc>
          <w:tcPr>
            <w:tcW w:w="1134" w:type="dxa"/>
            <w:noWrap/>
            <w:vAlign w:val="center"/>
            <w:hideMark/>
          </w:tcPr>
          <w:p w14:paraId="76CBC1A2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3.50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0.67</w:t>
            </w:r>
          </w:p>
        </w:tc>
        <w:tc>
          <w:tcPr>
            <w:tcW w:w="1134" w:type="dxa"/>
            <w:noWrap/>
            <w:vAlign w:val="center"/>
            <w:hideMark/>
          </w:tcPr>
          <w:p w14:paraId="01D0621C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0.19</w:t>
            </w:r>
          </w:p>
        </w:tc>
      </w:tr>
      <w:tr w:rsidR="00BA072A" w:rsidRPr="00BA072A" w14:paraId="0EF5E634" w14:textId="77777777" w:rsidTr="00BA072A">
        <w:trPr>
          <w:trHeight w:val="282"/>
        </w:trPr>
        <w:tc>
          <w:tcPr>
            <w:tcW w:w="5954" w:type="dxa"/>
            <w:vAlign w:val="center"/>
            <w:hideMark/>
          </w:tcPr>
          <w:p w14:paraId="559F9095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III-25 Critical thinking helps ICU nurses make effective decisions</w:t>
            </w:r>
          </w:p>
        </w:tc>
        <w:tc>
          <w:tcPr>
            <w:tcW w:w="1134" w:type="dxa"/>
            <w:noWrap/>
            <w:vAlign w:val="center"/>
            <w:hideMark/>
          </w:tcPr>
          <w:p w14:paraId="657A7B7E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4.00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0.85</w:t>
            </w:r>
          </w:p>
        </w:tc>
        <w:tc>
          <w:tcPr>
            <w:tcW w:w="1134" w:type="dxa"/>
            <w:noWrap/>
            <w:vAlign w:val="center"/>
            <w:hideMark/>
          </w:tcPr>
          <w:p w14:paraId="26E08909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 xml:space="preserve">0.21 </w:t>
            </w:r>
          </w:p>
        </w:tc>
      </w:tr>
      <w:tr w:rsidR="00BA072A" w:rsidRPr="00BA072A" w14:paraId="4F4E105E" w14:textId="77777777" w:rsidTr="00BA072A">
        <w:trPr>
          <w:trHeight w:val="259"/>
        </w:trPr>
        <w:tc>
          <w:tcPr>
            <w:tcW w:w="5954" w:type="dxa"/>
            <w:vAlign w:val="center"/>
            <w:hideMark/>
          </w:tcPr>
          <w:p w14:paraId="0A8D1AC2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II-16 Communication strategies for multidisciplinary teams</w:t>
            </w:r>
          </w:p>
        </w:tc>
        <w:tc>
          <w:tcPr>
            <w:tcW w:w="1134" w:type="dxa"/>
            <w:noWrap/>
            <w:vAlign w:val="center"/>
            <w:hideMark/>
          </w:tcPr>
          <w:p w14:paraId="62482AFD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3.58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0.79</w:t>
            </w:r>
          </w:p>
        </w:tc>
        <w:tc>
          <w:tcPr>
            <w:tcW w:w="1134" w:type="dxa"/>
            <w:noWrap/>
            <w:vAlign w:val="center"/>
            <w:hideMark/>
          </w:tcPr>
          <w:p w14:paraId="05A613B1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0.22</w:t>
            </w:r>
          </w:p>
        </w:tc>
      </w:tr>
      <w:tr w:rsidR="00BA072A" w:rsidRPr="00BA072A" w14:paraId="4714EFD1" w14:textId="77777777" w:rsidTr="00BA072A">
        <w:trPr>
          <w:trHeight w:val="363"/>
        </w:trPr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0D6C04B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III-26 ICU nurses' Roles and functions in the multidisciplinary skin management team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99B9E10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3.92</w:t>
            </w:r>
            <w:r w:rsidRPr="00BA072A">
              <w:rPr>
                <w:rFonts w:hint="eastAsia"/>
                <w:lang w:val="en-US"/>
              </w:rPr>
              <w:t>±</w:t>
            </w:r>
            <w:r w:rsidRPr="00BA072A">
              <w:rPr>
                <w:lang w:val="en-US"/>
              </w:rPr>
              <w:t>0.67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20BBB14" w14:textId="77777777" w:rsidR="00BA072A" w:rsidRPr="00BA072A" w:rsidRDefault="00BA072A" w:rsidP="00BA072A">
            <w:pPr>
              <w:rPr>
                <w:lang w:val="en-US"/>
              </w:rPr>
            </w:pPr>
            <w:r w:rsidRPr="00BA072A">
              <w:rPr>
                <w:lang w:val="en-US"/>
              </w:rPr>
              <w:t>0.17</w:t>
            </w:r>
          </w:p>
        </w:tc>
      </w:tr>
    </w:tbl>
    <w:p w14:paraId="6FBD3AD4" w14:textId="09410104" w:rsidR="00FE2847" w:rsidRDefault="00BA072A">
      <w:r w:rsidRPr="00BA072A">
        <w:rPr>
          <w:lang w:val="en-US"/>
        </w:rPr>
        <w:t>Note: MMPI: mucosal membrane pressure injury; ICU: intensive care unit</w:t>
      </w:r>
    </w:p>
    <w:sectPr w:rsidR="00FE2847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CA107" w14:textId="77777777" w:rsidR="00BA072A" w:rsidRDefault="00BA072A" w:rsidP="00BA072A">
      <w:pPr>
        <w:spacing w:after="0" w:line="240" w:lineRule="auto"/>
      </w:pPr>
      <w:r>
        <w:separator/>
      </w:r>
    </w:p>
  </w:endnote>
  <w:endnote w:type="continuationSeparator" w:id="0">
    <w:p w14:paraId="4DE6855C" w14:textId="77777777" w:rsidR="00BA072A" w:rsidRDefault="00BA072A" w:rsidP="00BA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DD75C" w14:textId="59AB62BB" w:rsidR="00BA072A" w:rsidRDefault="00BA07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F78C5B" wp14:editId="4D55B8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77702039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4FEC1" w14:textId="11EE06DC" w:rsidR="00BA072A" w:rsidRPr="00BA072A" w:rsidRDefault="00BA072A" w:rsidP="00BA072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A072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78C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044FEC1" w14:textId="11EE06DC" w:rsidR="00BA072A" w:rsidRPr="00BA072A" w:rsidRDefault="00BA072A" w:rsidP="00BA072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A072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7966E" w14:textId="12636189" w:rsidR="00BA072A" w:rsidRDefault="00BA07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A17AA6" wp14:editId="69D489DF">
              <wp:simplePos x="914400" y="1007533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2631929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CD352" w14:textId="5803BEF0" w:rsidR="00BA072A" w:rsidRPr="00BA072A" w:rsidRDefault="00BA072A" w:rsidP="00BA072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A072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17A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5BCD352" w14:textId="5803BEF0" w:rsidR="00BA072A" w:rsidRPr="00BA072A" w:rsidRDefault="00BA072A" w:rsidP="00BA072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A072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AD82F" w14:textId="78431BBF" w:rsidR="00BA072A" w:rsidRDefault="00BA07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8C6081" wp14:editId="7C192B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4771824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1E053" w14:textId="10077FE3" w:rsidR="00BA072A" w:rsidRPr="00BA072A" w:rsidRDefault="00BA072A" w:rsidP="00BA072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A072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C60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101E053" w14:textId="10077FE3" w:rsidR="00BA072A" w:rsidRPr="00BA072A" w:rsidRDefault="00BA072A" w:rsidP="00BA072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A072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E81B0" w14:textId="77777777" w:rsidR="00BA072A" w:rsidRDefault="00BA072A" w:rsidP="00BA072A">
      <w:pPr>
        <w:spacing w:after="0" w:line="240" w:lineRule="auto"/>
      </w:pPr>
      <w:r>
        <w:separator/>
      </w:r>
    </w:p>
  </w:footnote>
  <w:footnote w:type="continuationSeparator" w:id="0">
    <w:p w14:paraId="5D5445C8" w14:textId="77777777" w:rsidR="00BA072A" w:rsidRDefault="00BA072A" w:rsidP="00BA0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2A"/>
    <w:rsid w:val="00611E73"/>
    <w:rsid w:val="00BA072A"/>
    <w:rsid w:val="00F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FC153"/>
  <w15:chartTrackingRefBased/>
  <w15:docId w15:val="{9F1C58DC-78FF-4C66-86BB-20C0E54B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72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A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Bartle, Claudia</dc:creator>
  <cp:keywords/>
  <dc:description/>
  <cp:lastModifiedBy>Bartle, Claudia</cp:lastModifiedBy>
  <cp:revision>1</cp:revision>
  <dcterms:created xsi:type="dcterms:W3CDTF">2025-01-07T21:36:00Z</dcterms:created>
  <dcterms:modified xsi:type="dcterms:W3CDTF">2025-01-07T21:36:00Z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20a58462,2e5063eb,60efa9c1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2025-01-07T21:36:33Z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98a95bde-8eed-4bd8-9ae2-d418fec1df0a</vt:lpwstr>
  </property>
  <property fmtid="{D5CDD505-2E9C-101B-9397-08002B2CF9AE}" pid="11" name="MSIP_Label_2bbab825-a111-45e4-86a1-18cee0005896_ContentBits">
    <vt:lpwstr>2</vt:lpwstr>
  </property>
</Properties>
</file>