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20EBB" w14:textId="0B86CF96" w:rsidR="004C6EA7" w:rsidRPr="003F47EF" w:rsidRDefault="007B70F7" w:rsidP="005B58DA">
      <w:pPr>
        <w:spacing w:line="480" w:lineRule="auto"/>
        <w:jc w:val="center"/>
        <w:rPr>
          <w:rFonts w:ascii="Arial" w:hAnsi="Arial" w:cs="Arial"/>
          <w:b/>
          <w:bCs/>
          <w:color w:val="000000"/>
          <w:sz w:val="28"/>
          <w:szCs w:val="28"/>
        </w:rPr>
      </w:pPr>
      <w:r w:rsidRPr="003F47EF">
        <w:rPr>
          <w:rFonts w:ascii="Arial" w:hAnsi="Arial" w:cs="Arial"/>
          <w:b/>
          <w:bCs/>
          <w:color w:val="000000"/>
          <w:sz w:val="28"/>
          <w:szCs w:val="28"/>
        </w:rPr>
        <w:t>-Supplementary Materials-</w:t>
      </w:r>
    </w:p>
    <w:p w14:paraId="6839A701" w14:textId="31C97752" w:rsidR="004C6EA7" w:rsidRDefault="004C6EA7" w:rsidP="005B58DA">
      <w:pPr>
        <w:spacing w:line="480" w:lineRule="auto"/>
        <w:jc w:val="both"/>
        <w:rPr>
          <w:rFonts w:ascii="Arial" w:eastAsia="Times New Roman" w:hAnsi="Arial" w:cs="Arial"/>
          <w:b/>
          <w:bCs/>
          <w:color w:val="000000"/>
          <w:kern w:val="32"/>
          <w:sz w:val="32"/>
          <w:szCs w:val="32"/>
          <w14:ligatures w14:val="none"/>
        </w:rPr>
      </w:pPr>
    </w:p>
    <w:p w14:paraId="4B4B7A9E" w14:textId="77777777" w:rsidR="000024E0" w:rsidRDefault="000024E0" w:rsidP="005B58DA">
      <w:pPr>
        <w:spacing w:line="480" w:lineRule="auto"/>
        <w:jc w:val="both"/>
        <w:rPr>
          <w:rFonts w:ascii="Arial" w:eastAsia="Times New Roman" w:hAnsi="Arial" w:cs="Arial"/>
          <w:b/>
          <w:bCs/>
          <w:color w:val="000000"/>
          <w:kern w:val="32"/>
          <w:sz w:val="32"/>
          <w:szCs w:val="32"/>
          <w14:ligatures w14:val="none"/>
        </w:rPr>
      </w:pPr>
    </w:p>
    <w:p w14:paraId="40E4E8E4" w14:textId="77777777" w:rsidR="000024E0" w:rsidRDefault="000024E0" w:rsidP="005B58DA">
      <w:pPr>
        <w:spacing w:line="480" w:lineRule="auto"/>
        <w:jc w:val="both"/>
        <w:rPr>
          <w:rFonts w:ascii="Arial" w:eastAsia="Times New Roman" w:hAnsi="Arial" w:cs="Arial"/>
          <w:b/>
          <w:bCs/>
          <w:color w:val="000000"/>
          <w:kern w:val="32"/>
          <w:sz w:val="32"/>
          <w:szCs w:val="32"/>
          <w14:ligatures w14:val="none"/>
        </w:rPr>
      </w:pPr>
    </w:p>
    <w:p w14:paraId="02FFD4D6" w14:textId="77777777" w:rsidR="000024E0" w:rsidRDefault="000024E0" w:rsidP="005B58DA">
      <w:pPr>
        <w:spacing w:line="480" w:lineRule="auto"/>
        <w:jc w:val="both"/>
        <w:rPr>
          <w:rFonts w:ascii="Arial" w:eastAsia="Times New Roman" w:hAnsi="Arial" w:cs="Arial"/>
          <w:b/>
          <w:bCs/>
          <w:color w:val="000000"/>
          <w:kern w:val="32"/>
          <w:sz w:val="32"/>
          <w:szCs w:val="32"/>
          <w14:ligatures w14:val="none"/>
        </w:rPr>
      </w:pPr>
    </w:p>
    <w:p w14:paraId="0770CA14" w14:textId="77777777" w:rsidR="000024E0" w:rsidRPr="003F47EF" w:rsidRDefault="000024E0" w:rsidP="005B58DA">
      <w:pPr>
        <w:spacing w:line="480" w:lineRule="auto"/>
        <w:jc w:val="both"/>
        <w:rPr>
          <w:rFonts w:ascii="Arial" w:hAnsi="Arial" w:cs="Arial"/>
          <w:color w:val="000000"/>
          <w:sz w:val="20"/>
          <w:szCs w:val="20"/>
        </w:rPr>
      </w:pPr>
    </w:p>
    <w:tbl>
      <w:tblPr>
        <w:tblStyle w:val="TableGrid"/>
        <w:tblpPr w:leftFromText="181" w:rightFromText="181" w:vertAnchor="page" w:horzAnchor="margin" w:tblpY="2054"/>
        <w:tblOverlap w:val="never"/>
        <w:tblW w:w="0" w:type="auto"/>
        <w:tblLook w:val="04A0" w:firstRow="1" w:lastRow="0" w:firstColumn="1" w:lastColumn="0" w:noHBand="0" w:noVBand="1"/>
      </w:tblPr>
      <w:tblGrid>
        <w:gridCol w:w="1888"/>
        <w:gridCol w:w="4155"/>
        <w:gridCol w:w="3425"/>
      </w:tblGrid>
      <w:tr w:rsidR="00AF2EB3" w:rsidRPr="003F47EF" w14:paraId="536042FB" w14:textId="77777777" w:rsidTr="00B24D3C">
        <w:trPr>
          <w:trHeight w:val="784"/>
        </w:trPr>
        <w:tc>
          <w:tcPr>
            <w:tcW w:w="9468" w:type="dxa"/>
            <w:gridSpan w:val="3"/>
            <w:tcBorders>
              <w:top w:val="nil"/>
              <w:left w:val="nil"/>
              <w:right w:val="nil"/>
            </w:tcBorders>
          </w:tcPr>
          <w:p w14:paraId="0060C750" w14:textId="77777777" w:rsidR="00AF2EB3" w:rsidRPr="003F47EF" w:rsidRDefault="00AF2EB3" w:rsidP="00B24D3C">
            <w:pPr>
              <w:jc w:val="both"/>
              <w:rPr>
                <w:rFonts w:ascii="Arial" w:hAnsi="Arial" w:cs="Arial"/>
                <w:color w:val="000000"/>
                <w:sz w:val="20"/>
                <w:szCs w:val="20"/>
              </w:rPr>
            </w:pPr>
            <w:r w:rsidRPr="003F47EF">
              <w:rPr>
                <w:rFonts w:ascii="Arial" w:hAnsi="Arial" w:cs="Arial"/>
                <w:b/>
                <w:bCs/>
                <w:color w:val="000000"/>
                <w:sz w:val="20"/>
                <w:szCs w:val="20"/>
              </w:rPr>
              <w:lastRenderedPageBreak/>
              <w:t>Supplementary Table S1.</w:t>
            </w:r>
            <w:r w:rsidRPr="003F47EF">
              <w:rPr>
                <w:rFonts w:ascii="Arial" w:hAnsi="Arial" w:cs="Arial"/>
                <w:color w:val="000000"/>
                <w:sz w:val="20"/>
                <w:szCs w:val="20"/>
              </w:rPr>
              <w:t xml:space="preserve"> List of primers used in this study.</w:t>
            </w:r>
          </w:p>
          <w:p w14:paraId="1BCAEFDA" w14:textId="77777777" w:rsidR="00AF2EB3" w:rsidRPr="003F47EF" w:rsidRDefault="00AF2EB3" w:rsidP="00B24D3C">
            <w:pPr>
              <w:jc w:val="both"/>
              <w:rPr>
                <w:rFonts w:ascii="Arial" w:hAnsi="Arial" w:cs="Arial"/>
                <w:color w:val="000000"/>
                <w:sz w:val="20"/>
                <w:szCs w:val="20"/>
              </w:rPr>
            </w:pPr>
          </w:p>
        </w:tc>
      </w:tr>
      <w:tr w:rsidR="00AF2EB3" w:rsidRPr="003F47EF" w14:paraId="05B78D4B" w14:textId="77777777" w:rsidTr="00B24D3C">
        <w:trPr>
          <w:trHeight w:val="257"/>
        </w:trPr>
        <w:tc>
          <w:tcPr>
            <w:tcW w:w="1888" w:type="dxa"/>
          </w:tcPr>
          <w:p w14:paraId="2EF675AB" w14:textId="77777777" w:rsidR="00AF2EB3" w:rsidRPr="003F47EF" w:rsidRDefault="00AF2EB3" w:rsidP="00B24D3C">
            <w:pPr>
              <w:jc w:val="center"/>
              <w:rPr>
                <w:rFonts w:ascii="Arial" w:hAnsi="Arial" w:cs="Arial"/>
                <w:color w:val="000000"/>
                <w:sz w:val="20"/>
                <w:szCs w:val="20"/>
              </w:rPr>
            </w:pPr>
            <w:r w:rsidRPr="003F47EF">
              <w:rPr>
                <w:rFonts w:ascii="Arial" w:eastAsia="Times New Roman" w:hAnsi="Arial" w:cs="Arial"/>
                <w:b/>
                <w:bCs/>
                <w:color w:val="000000"/>
                <w:sz w:val="20"/>
                <w:szCs w:val="20"/>
              </w:rPr>
              <w:t>Primer name</w:t>
            </w:r>
          </w:p>
        </w:tc>
        <w:tc>
          <w:tcPr>
            <w:tcW w:w="4155" w:type="dxa"/>
          </w:tcPr>
          <w:p w14:paraId="400CFCD5" w14:textId="77777777" w:rsidR="00AF2EB3" w:rsidRPr="003F47EF" w:rsidRDefault="00AF2EB3" w:rsidP="00B24D3C">
            <w:pPr>
              <w:jc w:val="center"/>
              <w:rPr>
                <w:rFonts w:ascii="Arial" w:hAnsi="Arial" w:cs="Arial"/>
                <w:color w:val="000000"/>
                <w:sz w:val="20"/>
                <w:szCs w:val="20"/>
              </w:rPr>
            </w:pPr>
            <w:r w:rsidRPr="003F47EF">
              <w:rPr>
                <w:rFonts w:ascii="Arial" w:eastAsia="Times New Roman" w:hAnsi="Arial" w:cs="Arial"/>
                <w:b/>
                <w:bCs/>
                <w:color w:val="000000"/>
                <w:sz w:val="20"/>
                <w:szCs w:val="20"/>
              </w:rPr>
              <w:t>Primer sequence 5ʹ–3ʹ</w:t>
            </w:r>
          </w:p>
        </w:tc>
        <w:tc>
          <w:tcPr>
            <w:tcW w:w="3425" w:type="dxa"/>
          </w:tcPr>
          <w:p w14:paraId="4D4C5DCE" w14:textId="77777777" w:rsidR="00AF2EB3" w:rsidRPr="003F47EF" w:rsidRDefault="00AF2EB3" w:rsidP="00B24D3C">
            <w:pPr>
              <w:jc w:val="center"/>
              <w:rPr>
                <w:rFonts w:ascii="Arial" w:hAnsi="Arial" w:cs="Arial"/>
                <w:color w:val="000000"/>
                <w:sz w:val="20"/>
                <w:szCs w:val="20"/>
              </w:rPr>
            </w:pPr>
            <w:r w:rsidRPr="003F47EF">
              <w:rPr>
                <w:rFonts w:ascii="Arial" w:eastAsia="Times New Roman" w:hAnsi="Arial" w:cs="Arial"/>
                <w:b/>
                <w:bCs/>
                <w:color w:val="000000"/>
                <w:sz w:val="20"/>
                <w:szCs w:val="20"/>
              </w:rPr>
              <w:t>Reference</w:t>
            </w:r>
          </w:p>
        </w:tc>
      </w:tr>
      <w:tr w:rsidR="00AF2EB3" w:rsidRPr="003F47EF" w14:paraId="67D42E21" w14:textId="77777777" w:rsidTr="00B24D3C">
        <w:trPr>
          <w:trHeight w:val="526"/>
        </w:trPr>
        <w:tc>
          <w:tcPr>
            <w:tcW w:w="1888" w:type="dxa"/>
          </w:tcPr>
          <w:p w14:paraId="6DB42779" w14:textId="77777777" w:rsidR="00AF2EB3" w:rsidRPr="003F47EF" w:rsidRDefault="00AF2EB3" w:rsidP="00B24D3C">
            <w:pPr>
              <w:rPr>
                <w:rFonts w:ascii="Arial" w:hAnsi="Arial" w:cs="Arial"/>
                <w:color w:val="000000"/>
                <w:sz w:val="20"/>
                <w:szCs w:val="20"/>
              </w:rPr>
            </w:pPr>
            <w:proofErr w:type="spellStart"/>
            <w:r w:rsidRPr="003F47EF">
              <w:rPr>
                <w:rFonts w:ascii="Arial" w:hAnsi="Arial" w:cs="Arial"/>
                <w:i/>
                <w:iCs/>
                <w:color w:val="000000"/>
                <w:sz w:val="20"/>
                <w:szCs w:val="20"/>
              </w:rPr>
              <w:t>Actb</w:t>
            </w:r>
            <w:proofErr w:type="spellEnd"/>
            <w:r w:rsidRPr="003F47EF">
              <w:rPr>
                <w:rFonts w:ascii="Arial" w:hAnsi="Arial" w:cs="Arial"/>
                <w:color w:val="000000"/>
                <w:sz w:val="20"/>
                <w:szCs w:val="20"/>
              </w:rPr>
              <w:t xml:space="preserve"> Forward</w:t>
            </w:r>
          </w:p>
        </w:tc>
        <w:tc>
          <w:tcPr>
            <w:tcW w:w="4155" w:type="dxa"/>
          </w:tcPr>
          <w:p w14:paraId="335B33C2"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AGCCATGTACGTAGCCATCC</w:t>
            </w:r>
          </w:p>
        </w:tc>
        <w:tc>
          <w:tcPr>
            <w:tcW w:w="3425" w:type="dxa"/>
            <w:vMerge w:val="restart"/>
          </w:tcPr>
          <w:p w14:paraId="4CDD7B68" w14:textId="662B410C" w:rsidR="00AF2EB3" w:rsidRPr="003F47EF" w:rsidRDefault="00AF2EB3" w:rsidP="00B24D3C">
            <w:pPr>
              <w:jc w:val="center"/>
              <w:rPr>
                <w:rFonts w:ascii="Arial" w:hAnsi="Arial" w:cs="Arial"/>
                <w:color w:val="000000"/>
                <w:sz w:val="20"/>
                <w:szCs w:val="20"/>
              </w:rPr>
            </w:pPr>
            <w:r w:rsidRPr="003F47EF">
              <w:rPr>
                <w:rFonts w:ascii="Arial" w:hAnsi="Arial" w:cs="Arial"/>
                <w:color w:val="000000"/>
                <w:sz w:val="20"/>
                <w:szCs w:val="20"/>
              </w:rPr>
              <w:t xml:space="preserve">Manuscript reference </w:t>
            </w:r>
            <w:r w:rsidR="005B4319" w:rsidRPr="003F47EF">
              <w:rPr>
                <w:rFonts w:ascii="Arial" w:hAnsi="Arial" w:cs="Arial"/>
                <w:color w:val="000000"/>
                <w:sz w:val="20"/>
                <w:szCs w:val="20"/>
                <w:vertAlign w:val="superscript"/>
              </w:rPr>
              <w:t>3</w:t>
            </w:r>
            <w:r w:rsidR="000A32D8" w:rsidRPr="003F47EF">
              <w:rPr>
                <w:rFonts w:ascii="Arial" w:hAnsi="Arial" w:cs="Arial"/>
                <w:color w:val="000000"/>
                <w:sz w:val="20"/>
                <w:szCs w:val="20"/>
                <w:vertAlign w:val="superscript"/>
              </w:rPr>
              <w:t>9</w:t>
            </w:r>
          </w:p>
        </w:tc>
      </w:tr>
      <w:tr w:rsidR="00AF2EB3" w:rsidRPr="003F47EF" w14:paraId="24416CE4" w14:textId="77777777" w:rsidTr="00B24D3C">
        <w:trPr>
          <w:trHeight w:val="526"/>
        </w:trPr>
        <w:tc>
          <w:tcPr>
            <w:tcW w:w="1888" w:type="dxa"/>
          </w:tcPr>
          <w:p w14:paraId="51FA90AA" w14:textId="77777777" w:rsidR="00AF2EB3" w:rsidRPr="003F47EF" w:rsidRDefault="00AF2EB3" w:rsidP="00B24D3C">
            <w:pPr>
              <w:rPr>
                <w:rFonts w:ascii="Arial" w:hAnsi="Arial" w:cs="Arial"/>
                <w:color w:val="000000"/>
                <w:sz w:val="20"/>
                <w:szCs w:val="20"/>
              </w:rPr>
            </w:pPr>
            <w:proofErr w:type="spellStart"/>
            <w:r w:rsidRPr="003F47EF">
              <w:rPr>
                <w:rFonts w:ascii="Arial" w:hAnsi="Arial" w:cs="Arial"/>
                <w:i/>
                <w:iCs/>
                <w:color w:val="000000"/>
                <w:sz w:val="20"/>
                <w:szCs w:val="20"/>
              </w:rPr>
              <w:t>Actb</w:t>
            </w:r>
            <w:proofErr w:type="spellEnd"/>
            <w:r w:rsidRPr="003F47EF">
              <w:rPr>
                <w:rFonts w:ascii="Arial" w:hAnsi="Arial" w:cs="Arial"/>
                <w:color w:val="000000"/>
                <w:sz w:val="20"/>
                <w:szCs w:val="20"/>
              </w:rPr>
              <w:t xml:space="preserve"> Reverse</w:t>
            </w:r>
          </w:p>
        </w:tc>
        <w:tc>
          <w:tcPr>
            <w:tcW w:w="4155" w:type="dxa"/>
          </w:tcPr>
          <w:p w14:paraId="148C9A15"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CTCTCAGCTGTGGTGGTGAA</w:t>
            </w:r>
          </w:p>
        </w:tc>
        <w:tc>
          <w:tcPr>
            <w:tcW w:w="3425" w:type="dxa"/>
            <w:vMerge/>
          </w:tcPr>
          <w:p w14:paraId="70FFE6AD" w14:textId="77777777" w:rsidR="00AF2EB3" w:rsidRPr="003F47EF" w:rsidRDefault="00AF2EB3" w:rsidP="00B24D3C">
            <w:pPr>
              <w:jc w:val="center"/>
              <w:rPr>
                <w:rFonts w:ascii="Arial" w:hAnsi="Arial" w:cs="Arial"/>
                <w:color w:val="000000"/>
                <w:sz w:val="20"/>
                <w:szCs w:val="20"/>
              </w:rPr>
            </w:pPr>
          </w:p>
        </w:tc>
      </w:tr>
      <w:tr w:rsidR="00AF2EB3" w:rsidRPr="003F47EF" w14:paraId="544B5EB8" w14:textId="77777777" w:rsidTr="00B24D3C">
        <w:trPr>
          <w:trHeight w:val="515"/>
        </w:trPr>
        <w:tc>
          <w:tcPr>
            <w:tcW w:w="1888" w:type="dxa"/>
          </w:tcPr>
          <w:p w14:paraId="7CFB2BFC" w14:textId="77777777" w:rsidR="00AF2EB3" w:rsidRPr="003F47EF" w:rsidRDefault="00AF2EB3" w:rsidP="00B24D3C">
            <w:pPr>
              <w:rPr>
                <w:rFonts w:ascii="Arial" w:hAnsi="Arial" w:cs="Arial"/>
                <w:color w:val="000000"/>
                <w:sz w:val="20"/>
                <w:szCs w:val="20"/>
              </w:rPr>
            </w:pPr>
            <w:r w:rsidRPr="003F47EF">
              <w:rPr>
                <w:rFonts w:ascii="Arial" w:hAnsi="Arial" w:cs="Arial"/>
                <w:i/>
                <w:iCs/>
                <w:color w:val="000000"/>
                <w:sz w:val="20"/>
                <w:szCs w:val="20"/>
              </w:rPr>
              <w:t>Cldn5</w:t>
            </w:r>
            <w:r w:rsidRPr="003F47EF">
              <w:rPr>
                <w:rFonts w:ascii="Arial" w:hAnsi="Arial" w:cs="Arial"/>
                <w:color w:val="000000"/>
                <w:sz w:val="20"/>
                <w:szCs w:val="20"/>
              </w:rPr>
              <w:t xml:space="preserve"> Forward</w:t>
            </w:r>
          </w:p>
        </w:tc>
        <w:tc>
          <w:tcPr>
            <w:tcW w:w="4155" w:type="dxa"/>
          </w:tcPr>
          <w:p w14:paraId="4AD3557D"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GAACTACGTCTAAGGGCGGG</w:t>
            </w:r>
          </w:p>
        </w:tc>
        <w:tc>
          <w:tcPr>
            <w:tcW w:w="3425" w:type="dxa"/>
            <w:vMerge w:val="restart"/>
          </w:tcPr>
          <w:p w14:paraId="28836877" w14:textId="0A0504C6" w:rsidR="00AF2EB3" w:rsidRPr="003F47EF" w:rsidRDefault="00AF2EB3" w:rsidP="00B24D3C">
            <w:pPr>
              <w:jc w:val="center"/>
              <w:rPr>
                <w:rFonts w:ascii="Arial" w:hAnsi="Arial" w:cs="Arial"/>
                <w:color w:val="000000"/>
                <w:sz w:val="20"/>
                <w:szCs w:val="20"/>
              </w:rPr>
            </w:pPr>
            <w:r w:rsidRPr="003F47EF">
              <w:rPr>
                <w:rFonts w:ascii="Arial" w:hAnsi="Arial" w:cs="Arial"/>
                <w:color w:val="000000"/>
                <w:sz w:val="20"/>
                <w:szCs w:val="20"/>
              </w:rPr>
              <w:t xml:space="preserve">Manuscript reference </w:t>
            </w:r>
            <w:r w:rsidR="005B4319" w:rsidRPr="003F47EF">
              <w:rPr>
                <w:rFonts w:ascii="Arial" w:hAnsi="Arial" w:cs="Arial"/>
                <w:color w:val="000000"/>
                <w:sz w:val="20"/>
                <w:szCs w:val="20"/>
                <w:vertAlign w:val="superscript"/>
              </w:rPr>
              <w:t>3</w:t>
            </w:r>
            <w:r w:rsidR="000A32D8" w:rsidRPr="003F47EF">
              <w:rPr>
                <w:rFonts w:ascii="Arial" w:hAnsi="Arial" w:cs="Arial"/>
                <w:color w:val="000000"/>
                <w:sz w:val="20"/>
                <w:szCs w:val="20"/>
                <w:vertAlign w:val="superscript"/>
              </w:rPr>
              <w:t>9</w:t>
            </w:r>
          </w:p>
        </w:tc>
      </w:tr>
      <w:tr w:rsidR="00AF2EB3" w:rsidRPr="003F47EF" w14:paraId="7FE7578A" w14:textId="77777777" w:rsidTr="00B24D3C">
        <w:trPr>
          <w:trHeight w:val="526"/>
        </w:trPr>
        <w:tc>
          <w:tcPr>
            <w:tcW w:w="1888" w:type="dxa"/>
          </w:tcPr>
          <w:p w14:paraId="6A7D893D" w14:textId="77777777" w:rsidR="00AF2EB3" w:rsidRPr="003F47EF" w:rsidRDefault="00AF2EB3" w:rsidP="00B24D3C">
            <w:pPr>
              <w:rPr>
                <w:rFonts w:ascii="Arial" w:hAnsi="Arial" w:cs="Arial"/>
                <w:color w:val="000000"/>
                <w:sz w:val="20"/>
                <w:szCs w:val="20"/>
              </w:rPr>
            </w:pPr>
            <w:r w:rsidRPr="003F47EF">
              <w:rPr>
                <w:rFonts w:ascii="Arial" w:hAnsi="Arial" w:cs="Arial"/>
                <w:i/>
                <w:iCs/>
                <w:color w:val="000000"/>
                <w:sz w:val="20"/>
                <w:szCs w:val="20"/>
              </w:rPr>
              <w:t>Cldn5</w:t>
            </w:r>
            <w:r w:rsidRPr="003F47EF">
              <w:rPr>
                <w:rFonts w:ascii="Arial" w:hAnsi="Arial" w:cs="Arial"/>
                <w:color w:val="000000"/>
                <w:sz w:val="20"/>
                <w:szCs w:val="20"/>
              </w:rPr>
              <w:t xml:space="preserve"> Reverse</w:t>
            </w:r>
          </w:p>
        </w:tc>
        <w:tc>
          <w:tcPr>
            <w:tcW w:w="4155" w:type="dxa"/>
          </w:tcPr>
          <w:p w14:paraId="6D06E58A"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ACCCAACCTAACTTGCCTCG</w:t>
            </w:r>
          </w:p>
        </w:tc>
        <w:tc>
          <w:tcPr>
            <w:tcW w:w="3425" w:type="dxa"/>
            <w:vMerge/>
          </w:tcPr>
          <w:p w14:paraId="3CA0CD0E" w14:textId="77777777" w:rsidR="00AF2EB3" w:rsidRPr="003F47EF" w:rsidRDefault="00AF2EB3" w:rsidP="00B24D3C">
            <w:pPr>
              <w:jc w:val="center"/>
              <w:rPr>
                <w:rFonts w:ascii="Arial" w:hAnsi="Arial" w:cs="Arial"/>
                <w:color w:val="000000"/>
                <w:sz w:val="20"/>
                <w:szCs w:val="20"/>
              </w:rPr>
            </w:pPr>
          </w:p>
        </w:tc>
      </w:tr>
      <w:tr w:rsidR="00AF2EB3" w:rsidRPr="003F47EF" w14:paraId="2677C59A" w14:textId="77777777" w:rsidTr="00B24D3C">
        <w:trPr>
          <w:trHeight w:val="526"/>
        </w:trPr>
        <w:tc>
          <w:tcPr>
            <w:tcW w:w="1888" w:type="dxa"/>
          </w:tcPr>
          <w:p w14:paraId="691657F2" w14:textId="77777777" w:rsidR="00AF2EB3" w:rsidRPr="003F47EF" w:rsidRDefault="00AF2EB3" w:rsidP="00B24D3C">
            <w:pPr>
              <w:rPr>
                <w:rFonts w:ascii="Arial" w:hAnsi="Arial" w:cs="Arial"/>
                <w:color w:val="000000"/>
                <w:sz w:val="20"/>
                <w:szCs w:val="20"/>
              </w:rPr>
            </w:pPr>
            <w:proofErr w:type="spellStart"/>
            <w:r w:rsidRPr="003F47EF">
              <w:rPr>
                <w:rFonts w:ascii="Arial" w:hAnsi="Arial" w:cs="Arial"/>
                <w:i/>
                <w:iCs/>
                <w:color w:val="000000"/>
                <w:sz w:val="20"/>
                <w:szCs w:val="20"/>
              </w:rPr>
              <w:t>Ocln</w:t>
            </w:r>
            <w:proofErr w:type="spellEnd"/>
            <w:r w:rsidRPr="003F47EF">
              <w:rPr>
                <w:rFonts w:ascii="Arial" w:hAnsi="Arial" w:cs="Arial"/>
                <w:color w:val="000000"/>
                <w:sz w:val="20"/>
                <w:szCs w:val="20"/>
              </w:rPr>
              <w:t xml:space="preserve"> Forward</w:t>
            </w:r>
          </w:p>
        </w:tc>
        <w:tc>
          <w:tcPr>
            <w:tcW w:w="4155" w:type="dxa"/>
          </w:tcPr>
          <w:p w14:paraId="1938C0D9"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TCATGCCTTGGGGATTGAGC</w:t>
            </w:r>
          </w:p>
        </w:tc>
        <w:tc>
          <w:tcPr>
            <w:tcW w:w="3425" w:type="dxa"/>
            <w:vMerge w:val="restart"/>
          </w:tcPr>
          <w:p w14:paraId="314B07D2" w14:textId="36F1C80B" w:rsidR="00AF2EB3" w:rsidRPr="003F47EF" w:rsidRDefault="00AF2EB3" w:rsidP="00B24D3C">
            <w:pPr>
              <w:jc w:val="center"/>
              <w:rPr>
                <w:rFonts w:ascii="Arial" w:hAnsi="Arial" w:cs="Arial"/>
                <w:color w:val="000000"/>
                <w:sz w:val="20"/>
                <w:szCs w:val="20"/>
              </w:rPr>
            </w:pPr>
            <w:r w:rsidRPr="003F47EF">
              <w:rPr>
                <w:rFonts w:ascii="Arial" w:hAnsi="Arial" w:cs="Arial"/>
                <w:color w:val="000000"/>
                <w:sz w:val="20"/>
                <w:szCs w:val="20"/>
              </w:rPr>
              <w:t xml:space="preserve">Manuscript reference </w:t>
            </w:r>
            <w:r w:rsidR="005B4319" w:rsidRPr="003F47EF">
              <w:rPr>
                <w:rFonts w:ascii="Arial" w:hAnsi="Arial" w:cs="Arial"/>
                <w:color w:val="000000"/>
                <w:sz w:val="20"/>
                <w:szCs w:val="20"/>
                <w:vertAlign w:val="superscript"/>
              </w:rPr>
              <w:t>3</w:t>
            </w:r>
            <w:r w:rsidR="000A32D8" w:rsidRPr="003F47EF">
              <w:rPr>
                <w:rFonts w:ascii="Arial" w:hAnsi="Arial" w:cs="Arial"/>
                <w:color w:val="000000"/>
                <w:sz w:val="20"/>
                <w:szCs w:val="20"/>
                <w:vertAlign w:val="superscript"/>
              </w:rPr>
              <w:t>9</w:t>
            </w:r>
          </w:p>
        </w:tc>
      </w:tr>
      <w:tr w:rsidR="00AF2EB3" w:rsidRPr="003F47EF" w14:paraId="6D7FF3C6" w14:textId="77777777" w:rsidTr="00B24D3C">
        <w:trPr>
          <w:trHeight w:val="515"/>
        </w:trPr>
        <w:tc>
          <w:tcPr>
            <w:tcW w:w="1888" w:type="dxa"/>
          </w:tcPr>
          <w:p w14:paraId="5BE47544" w14:textId="77777777" w:rsidR="00AF2EB3" w:rsidRPr="003F47EF" w:rsidRDefault="00AF2EB3" w:rsidP="00B24D3C">
            <w:pPr>
              <w:rPr>
                <w:rFonts w:ascii="Arial" w:hAnsi="Arial" w:cs="Arial"/>
                <w:color w:val="000000"/>
                <w:sz w:val="20"/>
                <w:szCs w:val="20"/>
              </w:rPr>
            </w:pPr>
            <w:proofErr w:type="spellStart"/>
            <w:r w:rsidRPr="003F47EF">
              <w:rPr>
                <w:rFonts w:ascii="Arial" w:hAnsi="Arial" w:cs="Arial"/>
                <w:i/>
                <w:iCs/>
                <w:color w:val="000000"/>
                <w:sz w:val="20"/>
                <w:szCs w:val="20"/>
              </w:rPr>
              <w:t>Ocln</w:t>
            </w:r>
            <w:proofErr w:type="spellEnd"/>
            <w:r w:rsidRPr="003F47EF">
              <w:rPr>
                <w:rFonts w:ascii="Arial" w:hAnsi="Arial" w:cs="Arial"/>
                <w:color w:val="000000"/>
                <w:sz w:val="20"/>
                <w:szCs w:val="20"/>
              </w:rPr>
              <w:t xml:space="preserve"> Reverse</w:t>
            </w:r>
          </w:p>
        </w:tc>
        <w:tc>
          <w:tcPr>
            <w:tcW w:w="4155" w:type="dxa"/>
          </w:tcPr>
          <w:p w14:paraId="6673A71D"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AGGACTTCCCAGAGTGCAGA</w:t>
            </w:r>
          </w:p>
        </w:tc>
        <w:tc>
          <w:tcPr>
            <w:tcW w:w="3425" w:type="dxa"/>
            <w:vMerge/>
          </w:tcPr>
          <w:p w14:paraId="7DDEF593" w14:textId="77777777" w:rsidR="00AF2EB3" w:rsidRPr="003F47EF" w:rsidRDefault="00AF2EB3" w:rsidP="00B24D3C">
            <w:pPr>
              <w:rPr>
                <w:rFonts w:ascii="Arial" w:hAnsi="Arial" w:cs="Arial"/>
                <w:color w:val="000000"/>
                <w:sz w:val="20"/>
                <w:szCs w:val="20"/>
              </w:rPr>
            </w:pPr>
          </w:p>
        </w:tc>
      </w:tr>
      <w:tr w:rsidR="00AF2EB3" w:rsidRPr="003F47EF" w14:paraId="311A8BC1" w14:textId="77777777" w:rsidTr="00B24D3C">
        <w:trPr>
          <w:trHeight w:val="526"/>
        </w:trPr>
        <w:tc>
          <w:tcPr>
            <w:tcW w:w="1888" w:type="dxa"/>
          </w:tcPr>
          <w:p w14:paraId="60B7D802" w14:textId="77777777" w:rsidR="00AF2EB3" w:rsidRPr="003F47EF" w:rsidRDefault="00AF2EB3" w:rsidP="00B24D3C">
            <w:pPr>
              <w:rPr>
                <w:rFonts w:ascii="Arial" w:hAnsi="Arial" w:cs="Arial"/>
                <w:i/>
                <w:iCs/>
                <w:color w:val="000000"/>
                <w:sz w:val="20"/>
                <w:szCs w:val="20"/>
              </w:rPr>
            </w:pPr>
            <w:proofErr w:type="spellStart"/>
            <w:r w:rsidRPr="003F47EF">
              <w:rPr>
                <w:rFonts w:ascii="Arial" w:hAnsi="Arial" w:cs="Arial"/>
                <w:i/>
                <w:iCs/>
                <w:color w:val="000000"/>
                <w:sz w:val="20"/>
                <w:szCs w:val="20"/>
              </w:rPr>
              <w:t>Tnf</w:t>
            </w:r>
            <w:proofErr w:type="spellEnd"/>
            <w:r w:rsidRPr="003F47EF">
              <w:rPr>
                <w:rFonts w:ascii="Arial" w:hAnsi="Arial" w:cs="Arial"/>
                <w:color w:val="000000"/>
                <w:sz w:val="20"/>
                <w:szCs w:val="20"/>
              </w:rPr>
              <w:t xml:space="preserve"> Forward</w:t>
            </w:r>
          </w:p>
        </w:tc>
        <w:tc>
          <w:tcPr>
            <w:tcW w:w="4155" w:type="dxa"/>
          </w:tcPr>
          <w:p w14:paraId="07E69FEB"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GGGTGATTGGTCCCAACAAG</w:t>
            </w:r>
          </w:p>
        </w:tc>
        <w:tc>
          <w:tcPr>
            <w:tcW w:w="3425" w:type="dxa"/>
            <w:vMerge w:val="restart"/>
          </w:tcPr>
          <w:p w14:paraId="3591B005" w14:textId="77777777" w:rsidR="00AF2EB3" w:rsidRPr="003F47EF" w:rsidRDefault="00AF2EB3" w:rsidP="00B24D3C">
            <w:pPr>
              <w:jc w:val="center"/>
              <w:rPr>
                <w:rFonts w:ascii="Arial" w:hAnsi="Arial" w:cs="Arial"/>
                <w:color w:val="000000"/>
                <w:sz w:val="20"/>
                <w:szCs w:val="20"/>
              </w:rPr>
            </w:pPr>
            <w:r w:rsidRPr="003F47EF">
              <w:rPr>
                <w:rFonts w:ascii="Arial" w:hAnsi="Arial" w:cs="Arial"/>
                <w:color w:val="000000"/>
                <w:sz w:val="20"/>
                <w:szCs w:val="20"/>
              </w:rPr>
              <w:t>This work</w:t>
            </w:r>
          </w:p>
        </w:tc>
      </w:tr>
      <w:tr w:rsidR="00AF2EB3" w:rsidRPr="003F47EF" w14:paraId="66F8D72F" w14:textId="77777777" w:rsidTr="00B24D3C">
        <w:trPr>
          <w:trHeight w:val="526"/>
        </w:trPr>
        <w:tc>
          <w:tcPr>
            <w:tcW w:w="1888" w:type="dxa"/>
          </w:tcPr>
          <w:p w14:paraId="62704015" w14:textId="77777777" w:rsidR="00AF2EB3" w:rsidRPr="003F47EF" w:rsidRDefault="00AF2EB3" w:rsidP="00B24D3C">
            <w:pPr>
              <w:rPr>
                <w:rFonts w:ascii="Arial" w:hAnsi="Arial" w:cs="Arial"/>
                <w:i/>
                <w:iCs/>
                <w:color w:val="000000"/>
                <w:sz w:val="20"/>
                <w:szCs w:val="20"/>
              </w:rPr>
            </w:pPr>
            <w:proofErr w:type="spellStart"/>
            <w:r w:rsidRPr="003F47EF">
              <w:rPr>
                <w:rFonts w:ascii="Arial" w:hAnsi="Arial" w:cs="Arial"/>
                <w:i/>
                <w:iCs/>
                <w:color w:val="000000"/>
                <w:sz w:val="20"/>
                <w:szCs w:val="20"/>
              </w:rPr>
              <w:t>Tnf</w:t>
            </w:r>
            <w:proofErr w:type="spellEnd"/>
            <w:r w:rsidRPr="003F47EF">
              <w:rPr>
                <w:rFonts w:ascii="Arial" w:hAnsi="Arial" w:cs="Arial"/>
                <w:color w:val="000000"/>
                <w:sz w:val="20"/>
                <w:szCs w:val="20"/>
              </w:rPr>
              <w:t xml:space="preserve"> Reverse</w:t>
            </w:r>
          </w:p>
        </w:tc>
        <w:tc>
          <w:tcPr>
            <w:tcW w:w="4155" w:type="dxa"/>
          </w:tcPr>
          <w:p w14:paraId="07573EB9"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GGGTCTGGGCCATGGAA</w:t>
            </w:r>
          </w:p>
        </w:tc>
        <w:tc>
          <w:tcPr>
            <w:tcW w:w="3425" w:type="dxa"/>
            <w:vMerge/>
          </w:tcPr>
          <w:p w14:paraId="390DF18F" w14:textId="77777777" w:rsidR="00AF2EB3" w:rsidRPr="003F47EF" w:rsidRDefault="00AF2EB3" w:rsidP="00B24D3C">
            <w:pPr>
              <w:rPr>
                <w:rFonts w:ascii="Arial" w:hAnsi="Arial" w:cs="Arial"/>
                <w:color w:val="000000"/>
                <w:sz w:val="20"/>
                <w:szCs w:val="20"/>
              </w:rPr>
            </w:pPr>
          </w:p>
        </w:tc>
      </w:tr>
      <w:tr w:rsidR="00AF2EB3" w:rsidRPr="003F47EF" w14:paraId="1175194B" w14:textId="77777777" w:rsidTr="00B24D3C">
        <w:trPr>
          <w:trHeight w:val="515"/>
        </w:trPr>
        <w:tc>
          <w:tcPr>
            <w:tcW w:w="1888" w:type="dxa"/>
          </w:tcPr>
          <w:p w14:paraId="736416EA"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SFB Forward</w:t>
            </w:r>
          </w:p>
        </w:tc>
        <w:tc>
          <w:tcPr>
            <w:tcW w:w="4155" w:type="dxa"/>
          </w:tcPr>
          <w:p w14:paraId="61CFFDFA"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AGGAGGAGTCTGCGGCACATTAGC</w:t>
            </w:r>
          </w:p>
        </w:tc>
        <w:tc>
          <w:tcPr>
            <w:tcW w:w="3425" w:type="dxa"/>
            <w:vMerge w:val="restart"/>
          </w:tcPr>
          <w:p w14:paraId="034F3A1D" w14:textId="4A5B5DD3" w:rsidR="00AF2EB3" w:rsidRPr="003F47EF" w:rsidRDefault="00AF2EB3" w:rsidP="00B24D3C">
            <w:pPr>
              <w:jc w:val="center"/>
              <w:rPr>
                <w:rFonts w:ascii="Arial" w:hAnsi="Arial" w:cs="Arial"/>
                <w:color w:val="000000"/>
                <w:sz w:val="20"/>
                <w:szCs w:val="20"/>
              </w:rPr>
            </w:pPr>
            <w:r w:rsidRPr="003F47EF">
              <w:rPr>
                <w:rFonts w:ascii="Arial" w:hAnsi="Arial" w:cs="Arial"/>
                <w:color w:val="000000"/>
                <w:sz w:val="20"/>
                <w:szCs w:val="20"/>
              </w:rPr>
              <w:t xml:space="preserve">Manuscript reference </w:t>
            </w:r>
            <w:r w:rsidR="005B4319" w:rsidRPr="003F47EF">
              <w:rPr>
                <w:rFonts w:ascii="Arial" w:hAnsi="Arial" w:cs="Arial"/>
                <w:color w:val="000000"/>
                <w:sz w:val="20"/>
                <w:szCs w:val="20"/>
                <w:vertAlign w:val="superscript"/>
              </w:rPr>
              <w:t>3</w:t>
            </w:r>
            <w:r w:rsidR="000A32D8" w:rsidRPr="003F47EF">
              <w:rPr>
                <w:rFonts w:ascii="Arial" w:hAnsi="Arial" w:cs="Arial"/>
                <w:color w:val="000000"/>
                <w:sz w:val="20"/>
                <w:szCs w:val="20"/>
                <w:vertAlign w:val="superscript"/>
              </w:rPr>
              <w:t>9</w:t>
            </w:r>
          </w:p>
        </w:tc>
      </w:tr>
      <w:tr w:rsidR="00AF2EB3" w:rsidRPr="003F47EF" w14:paraId="26C10056" w14:textId="77777777" w:rsidTr="00B24D3C">
        <w:trPr>
          <w:trHeight w:val="526"/>
        </w:trPr>
        <w:tc>
          <w:tcPr>
            <w:tcW w:w="1888" w:type="dxa"/>
          </w:tcPr>
          <w:p w14:paraId="545812E9"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SFB Reverse</w:t>
            </w:r>
          </w:p>
        </w:tc>
        <w:tc>
          <w:tcPr>
            <w:tcW w:w="4155" w:type="dxa"/>
          </w:tcPr>
          <w:p w14:paraId="51DA5C1F"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TCCCCACTGCTGCCTCCCGTAG</w:t>
            </w:r>
          </w:p>
        </w:tc>
        <w:tc>
          <w:tcPr>
            <w:tcW w:w="3425" w:type="dxa"/>
            <w:vMerge/>
          </w:tcPr>
          <w:p w14:paraId="410CE52F" w14:textId="77777777" w:rsidR="00AF2EB3" w:rsidRPr="003F47EF" w:rsidRDefault="00AF2EB3" w:rsidP="00B24D3C">
            <w:pPr>
              <w:rPr>
                <w:rFonts w:ascii="Arial" w:hAnsi="Arial" w:cs="Arial"/>
                <w:color w:val="000000"/>
                <w:sz w:val="20"/>
                <w:szCs w:val="20"/>
              </w:rPr>
            </w:pPr>
          </w:p>
        </w:tc>
      </w:tr>
      <w:tr w:rsidR="00AF2EB3" w:rsidRPr="003F47EF" w14:paraId="6635D195" w14:textId="77777777" w:rsidTr="00B24D3C">
        <w:trPr>
          <w:trHeight w:val="672"/>
        </w:trPr>
        <w:tc>
          <w:tcPr>
            <w:tcW w:w="1888" w:type="dxa"/>
          </w:tcPr>
          <w:p w14:paraId="5536A8ED"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Total bacteria Forward</w:t>
            </w:r>
          </w:p>
        </w:tc>
        <w:tc>
          <w:tcPr>
            <w:tcW w:w="4155" w:type="dxa"/>
          </w:tcPr>
          <w:p w14:paraId="2CFB6317" w14:textId="77777777" w:rsidR="00AF2EB3" w:rsidRPr="003F47EF" w:rsidRDefault="00AF2EB3" w:rsidP="00B24D3C">
            <w:pPr>
              <w:rPr>
                <w:rFonts w:ascii="Arial" w:hAnsi="Arial" w:cs="Arial"/>
                <w:color w:val="000000"/>
                <w:sz w:val="20"/>
                <w:szCs w:val="20"/>
              </w:rPr>
            </w:pPr>
          </w:p>
          <w:p w14:paraId="43153EC6"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CGGTGAATACGTTCCCGG</w:t>
            </w:r>
          </w:p>
        </w:tc>
        <w:tc>
          <w:tcPr>
            <w:tcW w:w="3425" w:type="dxa"/>
            <w:vMerge w:val="restart"/>
          </w:tcPr>
          <w:p w14:paraId="21160E78" w14:textId="7E423C3A" w:rsidR="00AF2EB3" w:rsidRPr="003F47EF" w:rsidRDefault="005B4319" w:rsidP="00B24D3C">
            <w:pPr>
              <w:jc w:val="center"/>
              <w:rPr>
                <w:rFonts w:ascii="Arial" w:hAnsi="Arial" w:cs="Arial"/>
                <w:color w:val="000000"/>
                <w:sz w:val="20"/>
                <w:szCs w:val="20"/>
              </w:rPr>
            </w:pPr>
            <w:r w:rsidRPr="003F47EF">
              <w:rPr>
                <w:rFonts w:ascii="Arial" w:hAnsi="Arial" w:cs="Arial"/>
                <w:color w:val="000000"/>
                <w:sz w:val="20"/>
                <w:szCs w:val="20"/>
              </w:rPr>
              <w:t xml:space="preserve">Supplement reference </w:t>
            </w:r>
            <w:r w:rsidR="00AF2EB3" w:rsidRPr="003F47EF">
              <w:rPr>
                <w:rFonts w:ascii="Arial" w:hAnsi="Arial" w:cs="Arial"/>
                <w:color w:val="000000"/>
                <w:sz w:val="20"/>
                <w:szCs w:val="20"/>
              </w:rPr>
              <w:fldChar w:fldCharType="begin"/>
            </w:r>
            <w:r w:rsidRPr="003F47EF">
              <w:rPr>
                <w:rFonts w:ascii="Arial" w:hAnsi="Arial" w:cs="Arial"/>
                <w:color w:val="000000"/>
                <w:sz w:val="20"/>
                <w:szCs w:val="20"/>
              </w:rPr>
              <w:instrText xml:space="preserve"> ADDIN ZOTERO_ITEM CSL_CITATION {"citationID":"xfd4XZRD","properties":{"formattedCitation":"\\super 1\\nosupersub{}","plainCitation":"1","noteIndex":0},"citationItems":[{"id":4629,"uris":["http://zotero.org/users/9587830/items/FW6AF5RN"],"itemData":{"id":4629,"type":"article-journal","abstract":"The metabolic pathways encoded by the human gut microbiome constantly interact with host gene products through numerous bioactive molecules1. Primary bile acids (BAs) are synthesized within hepatocytes and released into the duodenum to facilitate absorption of lipids or fat-soluble vitamins2. Some BAs (approximately 5%) escape into the colon, where gut commensal bacteria convert them into various intestinal BAs2 that are important hormones that regulate host cholesterol metabolism and energy balance via several nuclear receptors and/or G-protein-coupled receptors3,4. These receptors have pivotal roles in shaping host innate immune responses1,5. However, the effect of this host–microorganism biliary network on the adaptive immune system remains poorly characterized. Here we report that both dietary and microbial factors influence the composition of the gut BA pool and modulate an important population of colonic FOXP3+ regulatory T (Treg) cells expressing the transcription factor RORγ. Genetic abolition of BA metabolic pathways in individual gut symbionts significantly decreases this Treg cell population. Restoration of the intestinal BA pool increases colonic RORγ+ Treg cell counts and ameliorates host susceptibility to inflammatory colitis via BA nuclear receptors. Thus, a pan-genomic biliary network interaction between hosts and their bacterial symbionts can control host immunological homeostasis via the resulting metabolites.","container-title":"Nature","DOI":"10.1038/s41586-019-1865-0","ISSN":"1476-4687","issue":"7790","language":"en","license":"2019 The Author(s), under exclusive licence to Springer Nature Limited","note":"publisher: Nature Publishing Group","page":"410-415","source":"www.nature.com","title":"Microbial bile acid metabolites modulate gut RORγ+ regulatory T cell homeostasis","volume":"577","author":[{"family":"Song","given":"Xinyang"},{"family":"Sun","given":"Ximei"},{"family":"Oh","given":"Sungwhan F."},{"family":"Wu","given":"Meng"},{"family":"Zhang","given":"Yanbo"},{"family":"Zheng","given":"Wen"},{"family":"Geva-Zatorsky","given":"Naama"},{"family":"Jupp","given":"Ray"},{"family":"Mathis","given":"Diane"},{"family":"Benoist","given":"Christophe"},{"family":"Kasper","given":"Dennis L."}],"issued":{"date-parts":[["2020",1]]}}}],"schema":"https://github.com/citation-style-language/schema/raw/master/csl-citation.json"} </w:instrText>
            </w:r>
            <w:r w:rsidR="00AF2EB3" w:rsidRPr="003F47EF">
              <w:rPr>
                <w:rFonts w:ascii="Arial" w:hAnsi="Arial" w:cs="Arial"/>
                <w:color w:val="000000"/>
                <w:sz w:val="20"/>
                <w:szCs w:val="20"/>
              </w:rPr>
              <w:fldChar w:fldCharType="separate"/>
            </w:r>
            <w:r w:rsidRPr="003F47EF">
              <w:rPr>
                <w:rFonts w:ascii="Arial" w:hAnsi="Arial" w:cs="Arial"/>
                <w:color w:val="000000"/>
                <w:sz w:val="20"/>
                <w:vertAlign w:val="superscript"/>
              </w:rPr>
              <w:t>1</w:t>
            </w:r>
            <w:r w:rsidR="00AF2EB3" w:rsidRPr="003F47EF">
              <w:rPr>
                <w:rFonts w:ascii="Arial" w:hAnsi="Arial" w:cs="Arial"/>
                <w:color w:val="000000"/>
                <w:sz w:val="20"/>
                <w:szCs w:val="20"/>
              </w:rPr>
              <w:fldChar w:fldCharType="end"/>
            </w:r>
          </w:p>
        </w:tc>
      </w:tr>
      <w:tr w:rsidR="00AF2EB3" w:rsidRPr="003F47EF" w14:paraId="38CE440C" w14:textId="77777777" w:rsidTr="00B24D3C">
        <w:trPr>
          <w:trHeight w:val="696"/>
        </w:trPr>
        <w:tc>
          <w:tcPr>
            <w:tcW w:w="1888" w:type="dxa"/>
          </w:tcPr>
          <w:p w14:paraId="39B61F9D"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Total bacteria Reverse</w:t>
            </w:r>
          </w:p>
        </w:tc>
        <w:tc>
          <w:tcPr>
            <w:tcW w:w="4155" w:type="dxa"/>
          </w:tcPr>
          <w:p w14:paraId="1AE7A5C0" w14:textId="77777777" w:rsidR="00AF2EB3" w:rsidRPr="003F47EF" w:rsidRDefault="00AF2EB3" w:rsidP="00B24D3C">
            <w:pPr>
              <w:rPr>
                <w:rFonts w:ascii="Arial" w:hAnsi="Arial" w:cs="Arial"/>
                <w:color w:val="000000"/>
                <w:sz w:val="20"/>
                <w:szCs w:val="20"/>
              </w:rPr>
            </w:pPr>
          </w:p>
          <w:p w14:paraId="43CE76D0" w14:textId="77777777" w:rsidR="00AF2EB3" w:rsidRPr="003F47EF" w:rsidRDefault="00AF2EB3" w:rsidP="00B24D3C">
            <w:pPr>
              <w:rPr>
                <w:rFonts w:ascii="Arial" w:hAnsi="Arial" w:cs="Arial"/>
                <w:color w:val="000000"/>
                <w:sz w:val="20"/>
                <w:szCs w:val="20"/>
              </w:rPr>
            </w:pPr>
            <w:r w:rsidRPr="003F47EF">
              <w:rPr>
                <w:rFonts w:ascii="Arial" w:hAnsi="Arial" w:cs="Arial"/>
                <w:color w:val="000000"/>
                <w:sz w:val="20"/>
                <w:szCs w:val="20"/>
              </w:rPr>
              <w:t>TACGGCTACCTTGTTACGACTT</w:t>
            </w:r>
          </w:p>
        </w:tc>
        <w:tc>
          <w:tcPr>
            <w:tcW w:w="3425" w:type="dxa"/>
            <w:vMerge/>
          </w:tcPr>
          <w:p w14:paraId="62B0EF03" w14:textId="77777777" w:rsidR="00AF2EB3" w:rsidRPr="003F47EF" w:rsidRDefault="00AF2EB3" w:rsidP="00B24D3C">
            <w:pPr>
              <w:spacing w:line="480" w:lineRule="auto"/>
              <w:rPr>
                <w:rFonts w:ascii="Arial" w:hAnsi="Arial" w:cs="Arial"/>
                <w:color w:val="000000"/>
                <w:sz w:val="20"/>
                <w:szCs w:val="20"/>
              </w:rPr>
            </w:pPr>
          </w:p>
        </w:tc>
      </w:tr>
    </w:tbl>
    <w:p w14:paraId="33F63304" w14:textId="77777777" w:rsidR="007B70F7" w:rsidRPr="003F47EF" w:rsidRDefault="007B70F7" w:rsidP="005B58DA">
      <w:pPr>
        <w:spacing w:line="480" w:lineRule="auto"/>
        <w:jc w:val="center"/>
        <w:rPr>
          <w:rFonts w:ascii="Arial" w:hAnsi="Arial" w:cs="Arial"/>
          <w:b/>
          <w:bCs/>
          <w:color w:val="000000"/>
          <w:sz w:val="20"/>
          <w:szCs w:val="20"/>
        </w:rPr>
      </w:pPr>
    </w:p>
    <w:p w14:paraId="651EA80A" w14:textId="77777777" w:rsidR="004C6EA7" w:rsidRPr="003F47EF" w:rsidRDefault="004C6EA7" w:rsidP="005B58DA">
      <w:pPr>
        <w:spacing w:line="480" w:lineRule="auto"/>
        <w:jc w:val="center"/>
        <w:rPr>
          <w:rFonts w:ascii="Arial" w:hAnsi="Arial" w:cs="Arial"/>
          <w:b/>
          <w:bCs/>
          <w:color w:val="000000"/>
          <w:sz w:val="20"/>
          <w:szCs w:val="20"/>
        </w:rPr>
      </w:pPr>
    </w:p>
    <w:p w14:paraId="746AD9AA" w14:textId="77777777" w:rsidR="004C6EA7" w:rsidRPr="003F47EF" w:rsidRDefault="004C6EA7" w:rsidP="005B58DA">
      <w:pPr>
        <w:spacing w:line="480" w:lineRule="auto"/>
        <w:jc w:val="center"/>
        <w:rPr>
          <w:rFonts w:ascii="Arial" w:hAnsi="Arial" w:cs="Arial"/>
          <w:b/>
          <w:bCs/>
          <w:color w:val="000000"/>
          <w:sz w:val="20"/>
          <w:szCs w:val="20"/>
        </w:rPr>
      </w:pPr>
    </w:p>
    <w:p w14:paraId="062387DE" w14:textId="77777777" w:rsidR="00D5574F" w:rsidRPr="003F47EF" w:rsidRDefault="00D5574F" w:rsidP="005B58DA">
      <w:pPr>
        <w:spacing w:line="480" w:lineRule="auto"/>
        <w:rPr>
          <w:rFonts w:ascii="Arial" w:hAnsi="Arial" w:cs="Arial"/>
          <w:b/>
          <w:bCs/>
          <w:color w:val="000000"/>
          <w:sz w:val="20"/>
          <w:szCs w:val="20"/>
        </w:rPr>
      </w:pPr>
    </w:p>
    <w:p w14:paraId="6F9A26E8" w14:textId="77777777" w:rsidR="005B58DA" w:rsidRPr="003F47EF" w:rsidRDefault="005B58DA" w:rsidP="005B58DA">
      <w:pPr>
        <w:spacing w:line="480" w:lineRule="auto"/>
        <w:rPr>
          <w:rFonts w:ascii="Arial" w:hAnsi="Arial" w:cs="Arial"/>
          <w:b/>
          <w:bCs/>
          <w:color w:val="000000"/>
          <w:sz w:val="20"/>
          <w:szCs w:val="20"/>
        </w:rPr>
      </w:pPr>
    </w:p>
    <w:p w14:paraId="2CC31690" w14:textId="77777777" w:rsidR="00D5574F" w:rsidRPr="003F47EF" w:rsidRDefault="00D5574F" w:rsidP="005B58DA">
      <w:pPr>
        <w:spacing w:line="480" w:lineRule="auto"/>
        <w:rPr>
          <w:rFonts w:ascii="Arial" w:hAnsi="Arial" w:cs="Arial"/>
          <w:b/>
          <w:bCs/>
          <w:color w:val="000000"/>
          <w:sz w:val="20"/>
          <w:szCs w:val="20"/>
        </w:rPr>
      </w:pPr>
    </w:p>
    <w:p w14:paraId="5CFF7EC0" w14:textId="33420FED" w:rsidR="00A57714" w:rsidRPr="003F47EF" w:rsidRDefault="001F57E5" w:rsidP="005B58DA">
      <w:pPr>
        <w:spacing w:line="480" w:lineRule="auto"/>
        <w:jc w:val="center"/>
        <w:rPr>
          <w:rFonts w:ascii="Arial" w:hAnsi="Arial" w:cs="Arial"/>
          <w:b/>
          <w:bCs/>
          <w:color w:val="000000"/>
          <w:sz w:val="20"/>
          <w:szCs w:val="20"/>
        </w:rPr>
      </w:pPr>
      <w:r w:rsidRPr="003F47EF">
        <w:rPr>
          <w:noProof/>
          <w:color w:val="000000"/>
        </w:rPr>
        <w:lastRenderedPageBreak/>
        <w:drawing>
          <wp:inline distT="0" distB="0" distL="0" distR="0" wp14:anchorId="2528A98C" wp14:editId="48F73F70">
            <wp:extent cx="5402580" cy="5966460"/>
            <wp:effectExtent l="0" t="0" r="0" b="0"/>
            <wp:docPr id="1976010841" name="Picture 2"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10841" name="Picture 2" descr="A collage of images of cell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2580" cy="5966460"/>
                    </a:xfrm>
                    <a:prstGeom prst="rect">
                      <a:avLst/>
                    </a:prstGeom>
                    <a:noFill/>
                    <a:ln>
                      <a:noFill/>
                    </a:ln>
                  </pic:spPr>
                </pic:pic>
              </a:graphicData>
            </a:graphic>
          </wp:inline>
        </w:drawing>
      </w:r>
    </w:p>
    <w:p w14:paraId="03DF8C97" w14:textId="0965EA25" w:rsidR="00A57714" w:rsidRPr="003F47EF" w:rsidRDefault="00A57714" w:rsidP="00E8340E">
      <w:pPr>
        <w:spacing w:line="480" w:lineRule="auto"/>
        <w:rPr>
          <w:rFonts w:ascii="Arial" w:hAnsi="Arial" w:cs="Arial"/>
          <w:color w:val="000000"/>
          <w:sz w:val="20"/>
          <w:szCs w:val="20"/>
        </w:rPr>
      </w:pPr>
      <w:r w:rsidRPr="003F47EF">
        <w:rPr>
          <w:rFonts w:ascii="Arial" w:hAnsi="Arial" w:cs="Arial"/>
          <w:b/>
          <w:bCs/>
          <w:color w:val="000000"/>
          <w:sz w:val="20"/>
          <w:szCs w:val="20"/>
        </w:rPr>
        <w:t>Supplement</w:t>
      </w:r>
      <w:r w:rsidR="00EB022B" w:rsidRPr="003F47EF">
        <w:rPr>
          <w:rFonts w:ascii="Arial" w:hAnsi="Arial" w:cs="Arial"/>
          <w:b/>
          <w:bCs/>
          <w:color w:val="000000"/>
          <w:sz w:val="20"/>
          <w:szCs w:val="20"/>
        </w:rPr>
        <w:t>ary</w:t>
      </w:r>
      <w:r w:rsidRPr="003F47EF">
        <w:rPr>
          <w:rFonts w:ascii="Arial" w:hAnsi="Arial" w:cs="Arial"/>
          <w:b/>
          <w:bCs/>
          <w:color w:val="000000"/>
          <w:sz w:val="20"/>
          <w:szCs w:val="20"/>
        </w:rPr>
        <w:t xml:space="preserve"> Figure S1. PLGA/ESL1 release in the peri-implant </w:t>
      </w:r>
      <w:r w:rsidR="00120B86" w:rsidRPr="003F47EF">
        <w:rPr>
          <w:rFonts w:ascii="Arial" w:hAnsi="Arial" w:cs="Arial"/>
          <w:b/>
          <w:bCs/>
          <w:color w:val="000000"/>
          <w:sz w:val="20"/>
          <w:szCs w:val="20"/>
        </w:rPr>
        <w:t>cell infiltrate</w:t>
      </w:r>
      <w:r w:rsidRPr="003F47EF">
        <w:rPr>
          <w:rFonts w:ascii="Arial" w:hAnsi="Arial" w:cs="Arial"/>
          <w:b/>
          <w:bCs/>
          <w:color w:val="000000"/>
          <w:sz w:val="20"/>
          <w:szCs w:val="20"/>
        </w:rPr>
        <w:t>.</w:t>
      </w:r>
      <w:r w:rsidR="00072074" w:rsidRPr="003F47EF">
        <w:rPr>
          <w:rFonts w:ascii="Arial" w:hAnsi="Arial" w:cs="Arial"/>
          <w:b/>
          <w:bCs/>
          <w:color w:val="000000"/>
          <w:sz w:val="20"/>
          <w:szCs w:val="20"/>
        </w:rPr>
        <w:t xml:space="preserve"> </w:t>
      </w:r>
      <w:r w:rsidR="007A0196" w:rsidRPr="003F47EF">
        <w:rPr>
          <w:rFonts w:ascii="Arial" w:hAnsi="Arial" w:cs="Arial"/>
          <w:b/>
          <w:bCs/>
          <w:color w:val="000000"/>
          <w:sz w:val="20"/>
          <w:szCs w:val="20"/>
        </w:rPr>
        <w:t>A)</w:t>
      </w:r>
      <w:r w:rsidR="007A0196" w:rsidRPr="003F47EF">
        <w:rPr>
          <w:rFonts w:ascii="Arial" w:hAnsi="Arial" w:cs="Arial"/>
          <w:color w:val="000000"/>
          <w:sz w:val="20"/>
          <w:szCs w:val="20"/>
        </w:rPr>
        <w:t xml:space="preserve"> H&amp;E staining of skin and subcutaneous tissue of control animals and animals with implanted PLGA/ESL1 in suprascapular region for 4 days, are shown under 10x or 20x times magnification, as indicated. *-immune </w:t>
      </w:r>
      <w:proofErr w:type="gramStart"/>
      <w:r w:rsidR="007A0196" w:rsidRPr="003F47EF">
        <w:rPr>
          <w:rFonts w:ascii="Arial" w:hAnsi="Arial" w:cs="Arial"/>
          <w:color w:val="000000"/>
          <w:sz w:val="20"/>
          <w:szCs w:val="20"/>
        </w:rPr>
        <w:t>cell</w:t>
      </w:r>
      <w:proofErr w:type="gramEnd"/>
      <w:r w:rsidR="007A0196" w:rsidRPr="003F47EF">
        <w:rPr>
          <w:rFonts w:ascii="Arial" w:hAnsi="Arial" w:cs="Arial"/>
          <w:color w:val="000000"/>
          <w:sz w:val="20"/>
          <w:szCs w:val="20"/>
        </w:rPr>
        <w:t xml:space="preserve"> infiltrate #- giant macrophages. </w:t>
      </w:r>
      <w:r w:rsidR="007A0196" w:rsidRPr="003F47EF">
        <w:rPr>
          <w:rFonts w:ascii="Arial" w:hAnsi="Arial" w:cs="Arial"/>
          <w:b/>
          <w:bCs/>
          <w:color w:val="000000"/>
          <w:sz w:val="20"/>
          <w:szCs w:val="20"/>
        </w:rPr>
        <w:t xml:space="preserve">B) </w:t>
      </w:r>
      <w:r w:rsidRPr="003F47EF">
        <w:rPr>
          <w:rFonts w:ascii="Arial" w:hAnsi="Arial" w:cs="Arial"/>
          <w:color w:val="000000"/>
          <w:sz w:val="20"/>
          <w:szCs w:val="20"/>
        </w:rPr>
        <w:t xml:space="preserve">Epi-fluorescent microscopy analyses are shown of the peri-implant region collected 4 days after the implantation of PLGA/ESL1-FITC. The samples were stained with DAPI and with anti-FITC-biotin antibody, followed by streptavidin Alexa Fluor (AF) 546 staining (red) (upper row). Control samples from PLGA/ESL1-FITC animals were stained PBS, following streptavidin AF546 </w:t>
      </w:r>
      <w:r w:rsidRPr="003F47EF">
        <w:rPr>
          <w:rFonts w:ascii="Arial" w:hAnsi="Arial" w:cs="Arial"/>
          <w:color w:val="000000"/>
          <w:sz w:val="20"/>
          <w:szCs w:val="20"/>
        </w:rPr>
        <w:lastRenderedPageBreak/>
        <w:t>(middle row), and additional controls for the staining were the samples isolated from PLGA/ESL1 animals (non-labelled), and stained with anti-FITC-biotin and streptavidin AF546 (lower row).</w:t>
      </w:r>
    </w:p>
    <w:p w14:paraId="3221283D" w14:textId="52B3E16A" w:rsidR="00A57714" w:rsidRPr="003F47EF" w:rsidRDefault="00A57714" w:rsidP="005B58DA">
      <w:pPr>
        <w:spacing w:line="480" w:lineRule="auto"/>
        <w:jc w:val="center"/>
        <w:rPr>
          <w:rFonts w:ascii="Arial" w:hAnsi="Arial" w:cs="Arial"/>
          <w:color w:val="000000"/>
          <w:sz w:val="20"/>
          <w:szCs w:val="20"/>
        </w:rPr>
      </w:pPr>
      <w:r w:rsidRPr="003F47EF">
        <w:rPr>
          <w:rFonts w:ascii="Arial" w:hAnsi="Arial" w:cs="Arial"/>
          <w:noProof/>
          <w:color w:val="000000"/>
          <w:sz w:val="20"/>
          <w:szCs w:val="20"/>
        </w:rPr>
        <w:drawing>
          <wp:inline distT="0" distB="0" distL="0" distR="0" wp14:anchorId="6631237C" wp14:editId="2B6D19CC">
            <wp:extent cx="5258753" cy="7482810"/>
            <wp:effectExtent l="0" t="0" r="0" b="0"/>
            <wp:docPr id="1300310172" name="Picture 2"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10172" name="Picture 2" descr="A screenshot of a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8277" cy="7496362"/>
                    </a:xfrm>
                    <a:prstGeom prst="rect">
                      <a:avLst/>
                    </a:prstGeom>
                    <a:noFill/>
                    <a:ln>
                      <a:noFill/>
                    </a:ln>
                  </pic:spPr>
                </pic:pic>
              </a:graphicData>
            </a:graphic>
          </wp:inline>
        </w:drawing>
      </w:r>
    </w:p>
    <w:p w14:paraId="3D118C85" w14:textId="5201FECC" w:rsidR="00A57714" w:rsidRPr="003F47EF" w:rsidRDefault="00A57714" w:rsidP="005B4319">
      <w:pPr>
        <w:spacing w:line="480" w:lineRule="auto"/>
        <w:rPr>
          <w:rFonts w:ascii="Arial" w:hAnsi="Arial" w:cs="Arial"/>
          <w:color w:val="000000"/>
          <w:sz w:val="20"/>
          <w:szCs w:val="20"/>
        </w:rPr>
      </w:pPr>
      <w:r w:rsidRPr="003F47EF">
        <w:rPr>
          <w:rFonts w:ascii="Arial" w:hAnsi="Arial" w:cs="Arial"/>
          <w:b/>
          <w:bCs/>
          <w:color w:val="000000"/>
          <w:sz w:val="20"/>
          <w:szCs w:val="20"/>
        </w:rPr>
        <w:lastRenderedPageBreak/>
        <w:t>Supplement</w:t>
      </w:r>
      <w:r w:rsidR="00EB022B" w:rsidRPr="003F47EF">
        <w:rPr>
          <w:rFonts w:ascii="Arial" w:hAnsi="Arial" w:cs="Arial"/>
          <w:b/>
          <w:bCs/>
          <w:color w:val="000000"/>
          <w:sz w:val="20"/>
          <w:szCs w:val="20"/>
        </w:rPr>
        <w:t>ary</w:t>
      </w:r>
      <w:r w:rsidRPr="003F47EF">
        <w:rPr>
          <w:rFonts w:ascii="Arial" w:hAnsi="Arial" w:cs="Arial"/>
          <w:b/>
          <w:bCs/>
          <w:color w:val="000000"/>
          <w:sz w:val="20"/>
          <w:szCs w:val="20"/>
        </w:rPr>
        <w:t xml:space="preserve"> Figure S2. In vivo tracking of ESL1-FITC release from PLGA. </w:t>
      </w:r>
      <w:r w:rsidRPr="003F47EF">
        <w:rPr>
          <w:rFonts w:ascii="Arial" w:hAnsi="Arial" w:cs="Arial"/>
          <w:color w:val="000000"/>
          <w:sz w:val="20"/>
          <w:szCs w:val="20"/>
        </w:rPr>
        <w:t>ESL1-FTIC was monitored in vivo within myeloid (CD11b</w:t>
      </w:r>
      <w:r w:rsidRPr="003F47EF">
        <w:rPr>
          <w:rFonts w:ascii="Arial" w:hAnsi="Arial" w:cs="Arial"/>
          <w:color w:val="000000"/>
          <w:sz w:val="20"/>
          <w:szCs w:val="20"/>
          <w:vertAlign w:val="superscript"/>
        </w:rPr>
        <w:t>+</w:t>
      </w:r>
      <w:r w:rsidRPr="003F47EF">
        <w:rPr>
          <w:rFonts w:ascii="Arial" w:hAnsi="Arial" w:cs="Arial"/>
          <w:color w:val="000000"/>
          <w:sz w:val="20"/>
          <w:szCs w:val="20"/>
        </w:rPr>
        <w:t>I-A</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cells isolated from cervical, axillar, inguinal lymph nodes, spleen, Payer’s patches and spinal cord. The organs were collected either 7 days after the implantation, or 14 days after the implantation in immunised (EAE) or non-immunized (healthy) animals, as described. </w:t>
      </w:r>
      <w:r w:rsidRPr="003F47EF">
        <w:rPr>
          <w:rFonts w:ascii="Arial" w:hAnsi="Arial" w:cs="Arial"/>
          <w:b/>
          <w:bCs/>
          <w:color w:val="000000"/>
          <w:sz w:val="20"/>
          <w:szCs w:val="20"/>
        </w:rPr>
        <w:t xml:space="preserve">A) </w:t>
      </w:r>
      <w:r w:rsidRPr="003F47EF">
        <w:rPr>
          <w:rFonts w:ascii="Arial" w:hAnsi="Arial" w:cs="Arial"/>
          <w:color w:val="000000"/>
          <w:sz w:val="20"/>
          <w:szCs w:val="20"/>
        </w:rPr>
        <w:t>A</w:t>
      </w:r>
      <w:r w:rsidRPr="003F47EF">
        <w:rPr>
          <w:rFonts w:ascii="Arial" w:hAnsi="Arial" w:cs="Arial"/>
          <w:b/>
          <w:bCs/>
          <w:color w:val="000000"/>
          <w:sz w:val="20"/>
          <w:szCs w:val="20"/>
        </w:rPr>
        <w:t xml:space="preserve"> </w:t>
      </w:r>
      <w:r w:rsidRPr="003F47EF">
        <w:rPr>
          <w:rFonts w:ascii="Arial" w:hAnsi="Arial" w:cs="Arial"/>
          <w:color w:val="000000"/>
          <w:sz w:val="20"/>
          <w:szCs w:val="20"/>
        </w:rPr>
        <w:t xml:space="preserve">standard gating strategy for monitoring ESL1-FITC within myeloid cells is shown, in which single live cells were gated, and the specific CD11b+ MHC class II (I-A) region </w:t>
      </w:r>
      <w:proofErr w:type="gramStart"/>
      <w:r w:rsidRPr="003F47EF">
        <w:rPr>
          <w:rFonts w:ascii="Arial" w:hAnsi="Arial" w:cs="Arial"/>
          <w:color w:val="000000"/>
          <w:sz w:val="20"/>
          <w:szCs w:val="20"/>
        </w:rPr>
        <w:t>were</w:t>
      </w:r>
      <w:proofErr w:type="gramEnd"/>
      <w:r w:rsidRPr="003F47EF">
        <w:rPr>
          <w:rFonts w:ascii="Arial" w:hAnsi="Arial" w:cs="Arial"/>
          <w:color w:val="000000"/>
          <w:sz w:val="20"/>
          <w:szCs w:val="20"/>
        </w:rPr>
        <w:t xml:space="preserve"> defined according to FMO controls with isotype Abs staining. </w:t>
      </w:r>
      <w:r w:rsidRPr="003F47EF">
        <w:rPr>
          <w:rFonts w:ascii="Arial" w:hAnsi="Arial" w:cs="Arial"/>
          <w:b/>
          <w:bCs/>
          <w:color w:val="000000"/>
          <w:sz w:val="20"/>
          <w:szCs w:val="20"/>
        </w:rPr>
        <w:t xml:space="preserve">B) </w:t>
      </w:r>
      <w:r w:rsidRPr="003F47EF">
        <w:rPr>
          <w:rFonts w:ascii="Arial" w:hAnsi="Arial" w:cs="Arial"/>
          <w:color w:val="000000"/>
          <w:sz w:val="20"/>
          <w:szCs w:val="20"/>
        </w:rPr>
        <w:t xml:space="preserve">Control samples of Cervical lymph nodes (CLN), spleen and spinal cord are shown, after the isolation form animals implanted with non-labelled ESL1-FITC and immunised for EAE, 7 days before the organs collection (14 days after the implantation). This strategy was used to determine specific detection of ESL1-FITC within myeloid (CD11b+I-A+ cells). </w:t>
      </w:r>
      <w:r w:rsidRPr="003F47EF">
        <w:rPr>
          <w:rFonts w:ascii="Arial" w:hAnsi="Arial" w:cs="Arial"/>
          <w:b/>
          <w:bCs/>
          <w:color w:val="000000"/>
          <w:sz w:val="20"/>
          <w:szCs w:val="20"/>
        </w:rPr>
        <w:t>C</w:t>
      </w:r>
      <w:proofErr w:type="gramStart"/>
      <w:r w:rsidRPr="003F47EF">
        <w:rPr>
          <w:rFonts w:ascii="Arial" w:hAnsi="Arial" w:cs="Arial"/>
          <w:b/>
          <w:bCs/>
          <w:color w:val="000000"/>
          <w:sz w:val="20"/>
          <w:szCs w:val="20"/>
        </w:rPr>
        <w:t>)</w:t>
      </w:r>
      <w:r w:rsidRPr="003F47EF">
        <w:rPr>
          <w:rFonts w:ascii="Arial" w:hAnsi="Arial" w:cs="Arial"/>
          <w:color w:val="000000"/>
          <w:sz w:val="20"/>
          <w:szCs w:val="20"/>
        </w:rPr>
        <w:t xml:space="preserve"> A representative</w:t>
      </w:r>
      <w:proofErr w:type="gramEnd"/>
      <w:r w:rsidRPr="003F47EF">
        <w:rPr>
          <w:rFonts w:ascii="Arial" w:hAnsi="Arial" w:cs="Arial"/>
          <w:color w:val="000000"/>
          <w:sz w:val="20"/>
          <w:szCs w:val="20"/>
        </w:rPr>
        <w:t xml:space="preserve"> data on each organ collected either 7 days after the implantation, or 14 days after the implantation in immunised or non-immunised (healthy) animals. The number of spinal cord cells from non-immunized animals was too low for reliable analysis, as demonstrated in samples collected on day 7 post implantation.</w:t>
      </w:r>
    </w:p>
    <w:p w14:paraId="6F080A01" w14:textId="77777777" w:rsidR="003A22D6" w:rsidRPr="003F47EF" w:rsidRDefault="003A22D6" w:rsidP="005B4319">
      <w:pPr>
        <w:spacing w:line="480" w:lineRule="auto"/>
        <w:rPr>
          <w:rFonts w:ascii="Arial" w:hAnsi="Arial" w:cs="Arial"/>
          <w:color w:val="000000"/>
          <w:sz w:val="20"/>
          <w:szCs w:val="20"/>
        </w:rPr>
      </w:pPr>
    </w:p>
    <w:p w14:paraId="142F3FF4" w14:textId="77777777" w:rsidR="003A22D6" w:rsidRPr="003F47EF" w:rsidRDefault="003A22D6" w:rsidP="005B4319">
      <w:pPr>
        <w:spacing w:line="480" w:lineRule="auto"/>
        <w:rPr>
          <w:rFonts w:ascii="Arial" w:hAnsi="Arial" w:cs="Arial"/>
          <w:color w:val="000000"/>
          <w:sz w:val="20"/>
          <w:szCs w:val="20"/>
        </w:rPr>
      </w:pPr>
    </w:p>
    <w:p w14:paraId="64C0E123" w14:textId="77777777" w:rsidR="003A22D6" w:rsidRPr="003F47EF" w:rsidRDefault="003A22D6" w:rsidP="005B4319">
      <w:pPr>
        <w:spacing w:line="480" w:lineRule="auto"/>
        <w:rPr>
          <w:rFonts w:ascii="Arial" w:hAnsi="Arial" w:cs="Arial"/>
          <w:color w:val="000000"/>
          <w:sz w:val="20"/>
          <w:szCs w:val="20"/>
        </w:rPr>
      </w:pPr>
    </w:p>
    <w:p w14:paraId="6595134F" w14:textId="022BB706" w:rsidR="000A32D8" w:rsidRPr="003F47EF" w:rsidRDefault="00DA6C42" w:rsidP="00DA6C42">
      <w:pPr>
        <w:spacing w:line="480" w:lineRule="auto"/>
        <w:jc w:val="center"/>
        <w:rPr>
          <w:rFonts w:ascii="Arial" w:hAnsi="Arial" w:cs="Arial"/>
          <w:color w:val="000000"/>
          <w:sz w:val="20"/>
          <w:szCs w:val="20"/>
        </w:rPr>
      </w:pPr>
      <w:r w:rsidRPr="003F47EF">
        <w:rPr>
          <w:noProof/>
          <w:color w:val="000000"/>
        </w:rPr>
        <w:lastRenderedPageBreak/>
        <w:drawing>
          <wp:inline distT="0" distB="0" distL="0" distR="0" wp14:anchorId="2173F192" wp14:editId="394E02E3">
            <wp:extent cx="4907280" cy="3355929"/>
            <wp:effectExtent l="0" t="0" r="0" b="0"/>
            <wp:docPr id="622792277" name="Picture 3" descr="A graph of different types of patc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92277" name="Picture 3" descr="A graph of different types of patch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0755" cy="3358305"/>
                    </a:xfrm>
                    <a:prstGeom prst="rect">
                      <a:avLst/>
                    </a:prstGeom>
                    <a:noFill/>
                    <a:ln>
                      <a:noFill/>
                    </a:ln>
                  </pic:spPr>
                </pic:pic>
              </a:graphicData>
            </a:graphic>
          </wp:inline>
        </w:drawing>
      </w:r>
    </w:p>
    <w:p w14:paraId="6C403767" w14:textId="77777777" w:rsidR="00C03C67" w:rsidRPr="003F47EF" w:rsidRDefault="00C03C67" w:rsidP="00C03C67">
      <w:pPr>
        <w:spacing w:line="480" w:lineRule="auto"/>
        <w:rPr>
          <w:rFonts w:ascii="Arial" w:hAnsi="Arial" w:cs="Arial"/>
          <w:color w:val="000000"/>
          <w:sz w:val="20"/>
          <w:szCs w:val="20"/>
        </w:rPr>
      </w:pPr>
      <w:r w:rsidRPr="003F47EF">
        <w:rPr>
          <w:rFonts w:ascii="Arial" w:hAnsi="Arial" w:cs="Arial"/>
          <w:b/>
          <w:bCs/>
          <w:color w:val="000000"/>
          <w:sz w:val="20"/>
          <w:szCs w:val="20"/>
        </w:rPr>
        <w:t xml:space="preserve">Supplementary Figure S3. In vivo tracking of free ESL1-FITC. </w:t>
      </w:r>
      <w:r w:rsidRPr="003F47EF">
        <w:rPr>
          <w:rFonts w:ascii="Arial" w:hAnsi="Arial" w:cs="Arial"/>
          <w:color w:val="000000"/>
          <w:sz w:val="20"/>
          <w:szCs w:val="20"/>
        </w:rPr>
        <w:t xml:space="preserve">ESL1-FTIC or non-labelled ESL1 (both at 350 </w:t>
      </w:r>
      <w:proofErr w:type="spellStart"/>
      <w:r w:rsidRPr="003F47EF">
        <w:rPr>
          <w:rFonts w:ascii="Times New Roman" w:hAnsi="Times New Roman" w:cs="Times New Roman"/>
          <w:color w:val="000000"/>
          <w:sz w:val="20"/>
          <w:szCs w:val="20"/>
        </w:rPr>
        <w:t>μ</w:t>
      </w:r>
      <w:r w:rsidRPr="003F47EF">
        <w:rPr>
          <w:rFonts w:ascii="Arial" w:hAnsi="Arial" w:cs="Arial"/>
          <w:color w:val="000000"/>
          <w:sz w:val="20"/>
          <w:szCs w:val="20"/>
        </w:rPr>
        <w:t>g</w:t>
      </w:r>
      <w:proofErr w:type="spellEnd"/>
      <w:r w:rsidRPr="003F47EF">
        <w:rPr>
          <w:rFonts w:ascii="Arial" w:hAnsi="Arial" w:cs="Arial"/>
          <w:color w:val="000000"/>
          <w:sz w:val="20"/>
          <w:szCs w:val="20"/>
        </w:rPr>
        <w:t xml:space="preserve">/ 200 </w:t>
      </w:r>
      <w:proofErr w:type="spellStart"/>
      <w:r w:rsidRPr="003F47EF">
        <w:rPr>
          <w:rFonts w:ascii="Times New Roman" w:hAnsi="Times New Roman" w:cs="Times New Roman"/>
          <w:color w:val="000000"/>
          <w:sz w:val="20"/>
          <w:szCs w:val="20"/>
        </w:rPr>
        <w:t>μ</w:t>
      </w:r>
      <w:r w:rsidRPr="003F47EF">
        <w:rPr>
          <w:rFonts w:ascii="Arial" w:hAnsi="Arial" w:cs="Arial"/>
          <w:color w:val="000000"/>
          <w:sz w:val="20"/>
          <w:szCs w:val="20"/>
        </w:rPr>
        <w:t>l</w:t>
      </w:r>
      <w:proofErr w:type="spellEnd"/>
      <w:r w:rsidRPr="003F47EF">
        <w:rPr>
          <w:rFonts w:ascii="Arial" w:hAnsi="Arial" w:cs="Arial"/>
          <w:color w:val="000000"/>
          <w:sz w:val="20"/>
          <w:szCs w:val="20"/>
        </w:rPr>
        <w:t>/ animal) were injected subcutaneously into suprascapular region and after 3, 7, or 14 days. The presence of ESL1-FITC was monitored in vivo within myeloid (CD11b</w:t>
      </w:r>
      <w:r w:rsidRPr="003F47EF">
        <w:rPr>
          <w:rFonts w:ascii="Arial" w:hAnsi="Arial" w:cs="Arial"/>
          <w:color w:val="000000"/>
          <w:sz w:val="20"/>
          <w:szCs w:val="20"/>
          <w:vertAlign w:val="superscript"/>
        </w:rPr>
        <w:t>+</w:t>
      </w:r>
      <w:r w:rsidRPr="003F47EF">
        <w:rPr>
          <w:rFonts w:ascii="Arial" w:hAnsi="Arial" w:cs="Arial"/>
          <w:color w:val="000000"/>
          <w:sz w:val="20"/>
          <w:szCs w:val="20"/>
        </w:rPr>
        <w:t>I-A</w:t>
      </w:r>
      <w:r w:rsidRPr="003F47EF">
        <w:rPr>
          <w:rFonts w:ascii="Arial" w:hAnsi="Arial" w:cs="Arial"/>
          <w:color w:val="000000"/>
          <w:sz w:val="20"/>
          <w:szCs w:val="20"/>
          <w:vertAlign w:val="superscript"/>
        </w:rPr>
        <w:t>+</w:t>
      </w:r>
      <w:r w:rsidRPr="003F47EF">
        <w:rPr>
          <w:rFonts w:ascii="Arial" w:hAnsi="Arial" w:cs="Arial"/>
          <w:color w:val="000000"/>
          <w:sz w:val="20"/>
          <w:szCs w:val="20"/>
        </w:rPr>
        <w:t>) cells isolated from cervical (CLN), axillar (AxLN), inguinal lymph nodes (IngLN), spleen and Payer’s patches in comparison to control ESL1-treated animals. The gating strategy for the analysis is shown in Supplementary Figure S2.</w:t>
      </w:r>
    </w:p>
    <w:p w14:paraId="035C672D" w14:textId="77777777" w:rsidR="00C03C67" w:rsidRPr="003F47EF" w:rsidRDefault="00C03C67" w:rsidP="00DA6C42">
      <w:pPr>
        <w:spacing w:line="480" w:lineRule="auto"/>
        <w:jc w:val="center"/>
        <w:rPr>
          <w:rFonts w:ascii="Arial" w:hAnsi="Arial" w:cs="Arial"/>
          <w:color w:val="000000"/>
          <w:sz w:val="20"/>
          <w:szCs w:val="20"/>
        </w:rPr>
      </w:pPr>
    </w:p>
    <w:p w14:paraId="6548946B" w14:textId="1C87034A" w:rsidR="00A57714" w:rsidRPr="003F47EF" w:rsidRDefault="0086625A" w:rsidP="005B58DA">
      <w:pPr>
        <w:spacing w:line="480" w:lineRule="auto"/>
        <w:jc w:val="center"/>
        <w:rPr>
          <w:rFonts w:ascii="Arial" w:hAnsi="Arial" w:cs="Arial"/>
          <w:color w:val="000000"/>
          <w:sz w:val="20"/>
          <w:szCs w:val="20"/>
        </w:rPr>
      </w:pPr>
      <w:r w:rsidRPr="003F47EF">
        <w:rPr>
          <w:rFonts w:ascii="Arial" w:hAnsi="Arial" w:cs="Arial"/>
          <w:noProof/>
          <w:color w:val="000000"/>
          <w:sz w:val="20"/>
          <w:szCs w:val="20"/>
        </w:rPr>
        <w:lastRenderedPageBreak/>
        <w:drawing>
          <wp:inline distT="0" distB="0" distL="0" distR="0" wp14:anchorId="56C40A5B" wp14:editId="1AE18C62">
            <wp:extent cx="5547360" cy="4135628"/>
            <wp:effectExtent l="0" t="0" r="0" b="0"/>
            <wp:docPr id="2028067006" name="Picture 3" descr="A collage of diagrams an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67006" name="Picture 3" descr="A collage of diagrams and graph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50276" cy="4137802"/>
                    </a:xfrm>
                    <a:prstGeom prst="rect">
                      <a:avLst/>
                    </a:prstGeom>
                    <a:noFill/>
                    <a:ln>
                      <a:noFill/>
                    </a:ln>
                  </pic:spPr>
                </pic:pic>
              </a:graphicData>
            </a:graphic>
          </wp:inline>
        </w:drawing>
      </w:r>
    </w:p>
    <w:p w14:paraId="2C72BF5D" w14:textId="38CEFABB" w:rsidR="00A57714" w:rsidRPr="003F47EF" w:rsidRDefault="00A57714" w:rsidP="005B4319">
      <w:pPr>
        <w:spacing w:line="480" w:lineRule="auto"/>
        <w:rPr>
          <w:rFonts w:ascii="Arial" w:hAnsi="Arial" w:cs="Arial"/>
          <w:color w:val="000000"/>
          <w:sz w:val="20"/>
          <w:szCs w:val="20"/>
        </w:rPr>
      </w:pPr>
      <w:r w:rsidRPr="003F47EF">
        <w:rPr>
          <w:rFonts w:ascii="Arial" w:hAnsi="Arial" w:cs="Arial"/>
          <w:b/>
          <w:bCs/>
          <w:color w:val="000000"/>
          <w:sz w:val="20"/>
          <w:szCs w:val="20"/>
        </w:rPr>
        <w:t>Supplement</w:t>
      </w:r>
      <w:r w:rsidR="00EB022B" w:rsidRPr="003F47EF">
        <w:rPr>
          <w:rFonts w:ascii="Arial" w:hAnsi="Arial" w:cs="Arial"/>
          <w:b/>
          <w:bCs/>
          <w:color w:val="000000"/>
          <w:sz w:val="20"/>
          <w:szCs w:val="20"/>
        </w:rPr>
        <w:t>ary</w:t>
      </w:r>
      <w:r w:rsidRPr="003F47EF">
        <w:rPr>
          <w:rFonts w:ascii="Arial" w:hAnsi="Arial" w:cs="Arial"/>
          <w:b/>
          <w:bCs/>
          <w:color w:val="000000"/>
          <w:sz w:val="20"/>
          <w:szCs w:val="20"/>
        </w:rPr>
        <w:t xml:space="preserve"> Figure </w:t>
      </w:r>
      <w:r w:rsidR="00644F5C" w:rsidRPr="003F47EF">
        <w:rPr>
          <w:rFonts w:ascii="Arial" w:hAnsi="Arial" w:cs="Arial"/>
          <w:b/>
          <w:bCs/>
          <w:color w:val="000000"/>
          <w:sz w:val="20"/>
          <w:szCs w:val="20"/>
        </w:rPr>
        <w:t>S4</w:t>
      </w:r>
      <w:r w:rsidRPr="003F47EF">
        <w:rPr>
          <w:rFonts w:ascii="Arial" w:hAnsi="Arial" w:cs="Arial"/>
          <w:b/>
          <w:bCs/>
          <w:color w:val="000000"/>
          <w:sz w:val="20"/>
          <w:szCs w:val="20"/>
        </w:rPr>
        <w:t xml:space="preserve">. Gating strategy for immune cell analysis in EAE. </w:t>
      </w:r>
      <w:r w:rsidRPr="003F47EF">
        <w:rPr>
          <w:rFonts w:ascii="Arial" w:hAnsi="Arial" w:cs="Arial"/>
          <w:color w:val="000000"/>
          <w:sz w:val="20"/>
          <w:szCs w:val="20"/>
        </w:rPr>
        <w:t xml:space="preserve">A representative analysis of the splenocytes isolated at the EAE peak is shown. Upon exclusion of doublets and dead cells (not shown), all leukocytes were </w:t>
      </w:r>
      <w:proofErr w:type="spellStart"/>
      <w:r w:rsidRPr="003F47EF">
        <w:rPr>
          <w:rFonts w:ascii="Arial" w:hAnsi="Arial" w:cs="Arial"/>
          <w:color w:val="000000"/>
          <w:sz w:val="20"/>
          <w:szCs w:val="20"/>
        </w:rPr>
        <w:t>analysed</w:t>
      </w:r>
      <w:proofErr w:type="spellEnd"/>
      <w:r w:rsidRPr="003F47EF">
        <w:rPr>
          <w:rFonts w:ascii="Arial" w:hAnsi="Arial" w:cs="Arial"/>
          <w:color w:val="000000"/>
          <w:sz w:val="20"/>
          <w:szCs w:val="20"/>
        </w:rPr>
        <w:t xml:space="preserve"> for % of NK (C161</w:t>
      </w:r>
      <w:r w:rsidRPr="003F47EF">
        <w:rPr>
          <w:rFonts w:ascii="Arial" w:hAnsi="Arial" w:cs="Arial"/>
          <w:color w:val="000000"/>
          <w:sz w:val="20"/>
          <w:szCs w:val="20"/>
          <w:vertAlign w:val="superscript"/>
        </w:rPr>
        <w:t>+</w:t>
      </w:r>
      <w:r w:rsidRPr="003F47EF">
        <w:rPr>
          <w:rFonts w:ascii="Arial" w:hAnsi="Arial" w:cs="Arial"/>
          <w:color w:val="000000"/>
          <w:sz w:val="20"/>
          <w:szCs w:val="20"/>
        </w:rPr>
        <w:t>CD3</w:t>
      </w:r>
      <w:r w:rsidRPr="003F47EF">
        <w:rPr>
          <w:rFonts w:ascii="Arial" w:hAnsi="Arial" w:cs="Arial"/>
          <w:color w:val="000000"/>
          <w:sz w:val="20"/>
          <w:szCs w:val="20"/>
          <w:vertAlign w:val="superscript"/>
        </w:rPr>
        <w:t>-</w:t>
      </w:r>
      <w:r w:rsidRPr="003F47EF">
        <w:rPr>
          <w:rFonts w:ascii="Arial" w:hAnsi="Arial" w:cs="Arial"/>
          <w:color w:val="000000"/>
          <w:sz w:val="20"/>
          <w:szCs w:val="20"/>
        </w:rPr>
        <w:t>), T cells (CD161</w:t>
      </w:r>
      <w:r w:rsidRPr="003F47EF">
        <w:rPr>
          <w:rFonts w:ascii="Arial" w:hAnsi="Arial" w:cs="Arial"/>
          <w:color w:val="000000"/>
          <w:sz w:val="20"/>
          <w:szCs w:val="20"/>
          <w:vertAlign w:val="superscript"/>
        </w:rPr>
        <w:t>-</w:t>
      </w:r>
      <w:r w:rsidRPr="003F47EF">
        <w:rPr>
          <w:rFonts w:ascii="Arial" w:hAnsi="Arial" w:cs="Arial"/>
          <w:color w:val="000000"/>
          <w:sz w:val="20"/>
          <w:szCs w:val="20"/>
        </w:rPr>
        <w:t>CD3</w:t>
      </w:r>
      <w:r w:rsidRPr="003F47EF">
        <w:rPr>
          <w:rFonts w:ascii="Arial" w:hAnsi="Arial" w:cs="Arial"/>
          <w:color w:val="000000"/>
          <w:sz w:val="20"/>
          <w:szCs w:val="20"/>
          <w:vertAlign w:val="superscript"/>
        </w:rPr>
        <w:t>+</w:t>
      </w:r>
      <w:r w:rsidRPr="003F47EF">
        <w:rPr>
          <w:rFonts w:ascii="Arial" w:hAnsi="Arial" w:cs="Arial"/>
          <w:color w:val="000000"/>
          <w:sz w:val="20"/>
          <w:szCs w:val="20"/>
        </w:rPr>
        <w:t>), CD4+T cells (CD3</w:t>
      </w:r>
      <w:r w:rsidRPr="003F47EF">
        <w:rPr>
          <w:rFonts w:ascii="Arial" w:hAnsi="Arial" w:cs="Arial"/>
          <w:color w:val="000000"/>
          <w:sz w:val="20"/>
          <w:szCs w:val="20"/>
          <w:vertAlign w:val="superscript"/>
        </w:rPr>
        <w:t>+</w:t>
      </w:r>
      <w:r w:rsidRPr="003F47EF">
        <w:rPr>
          <w:rFonts w:ascii="Arial" w:hAnsi="Arial" w:cs="Arial"/>
          <w:color w:val="000000"/>
          <w:sz w:val="20"/>
          <w:szCs w:val="20"/>
        </w:rPr>
        <w:t>CD4</w:t>
      </w:r>
      <w:r w:rsidRPr="003F47EF">
        <w:rPr>
          <w:rFonts w:ascii="Arial" w:hAnsi="Arial" w:cs="Arial"/>
          <w:color w:val="000000"/>
          <w:sz w:val="20"/>
          <w:szCs w:val="20"/>
          <w:vertAlign w:val="superscript"/>
        </w:rPr>
        <w:t>+</w:t>
      </w:r>
      <w:r w:rsidRPr="003F47EF">
        <w:rPr>
          <w:rFonts w:ascii="Arial" w:hAnsi="Arial" w:cs="Arial"/>
          <w:color w:val="000000"/>
          <w:sz w:val="20"/>
          <w:szCs w:val="20"/>
        </w:rPr>
        <w:t>CD8</w:t>
      </w:r>
      <w:r w:rsidRPr="003F47EF">
        <w:rPr>
          <w:rFonts w:ascii="Arial" w:hAnsi="Arial" w:cs="Arial"/>
          <w:color w:val="000000"/>
          <w:sz w:val="20"/>
          <w:szCs w:val="20"/>
          <w:vertAlign w:val="superscript"/>
        </w:rPr>
        <w:t>-</w:t>
      </w:r>
      <w:r w:rsidRPr="003F47EF">
        <w:rPr>
          <w:rFonts w:ascii="Arial" w:hAnsi="Arial" w:cs="Arial"/>
          <w:color w:val="000000"/>
          <w:sz w:val="20"/>
          <w:szCs w:val="20"/>
        </w:rPr>
        <w:t>), CD8</w:t>
      </w:r>
      <w:r w:rsidRPr="003F47EF">
        <w:rPr>
          <w:rFonts w:ascii="Arial" w:hAnsi="Arial" w:cs="Arial"/>
          <w:color w:val="000000"/>
          <w:sz w:val="20"/>
          <w:szCs w:val="20"/>
          <w:vertAlign w:val="superscript"/>
        </w:rPr>
        <w:t>+</w:t>
      </w:r>
      <w:r w:rsidR="0086625A" w:rsidRPr="003F47EF">
        <w:rPr>
          <w:rFonts w:ascii="Arial" w:hAnsi="Arial" w:cs="Arial"/>
          <w:color w:val="000000"/>
          <w:sz w:val="20"/>
          <w:szCs w:val="20"/>
        </w:rPr>
        <w:t xml:space="preserve"> </w:t>
      </w:r>
      <w:r w:rsidRPr="003F47EF">
        <w:rPr>
          <w:rFonts w:ascii="Arial" w:hAnsi="Arial" w:cs="Arial"/>
          <w:color w:val="000000"/>
          <w:sz w:val="20"/>
          <w:szCs w:val="20"/>
        </w:rPr>
        <w:t>T cells (CD3</w:t>
      </w:r>
      <w:r w:rsidRPr="003F47EF">
        <w:rPr>
          <w:rFonts w:ascii="Arial" w:hAnsi="Arial" w:cs="Arial"/>
          <w:color w:val="000000"/>
          <w:sz w:val="20"/>
          <w:szCs w:val="20"/>
          <w:vertAlign w:val="superscript"/>
        </w:rPr>
        <w:t>+</w:t>
      </w:r>
      <w:r w:rsidRPr="003F47EF">
        <w:rPr>
          <w:rFonts w:ascii="Arial" w:hAnsi="Arial" w:cs="Arial"/>
          <w:color w:val="000000"/>
          <w:sz w:val="20"/>
          <w:szCs w:val="20"/>
        </w:rPr>
        <w:t>CD4</w:t>
      </w:r>
      <w:r w:rsidRPr="003F47EF">
        <w:rPr>
          <w:rFonts w:ascii="Arial" w:hAnsi="Arial" w:cs="Arial"/>
          <w:color w:val="000000"/>
          <w:sz w:val="20"/>
          <w:szCs w:val="20"/>
          <w:vertAlign w:val="superscript"/>
        </w:rPr>
        <w:t>-</w:t>
      </w:r>
      <w:r w:rsidRPr="003F47EF">
        <w:rPr>
          <w:rFonts w:ascii="Arial" w:hAnsi="Arial" w:cs="Arial"/>
          <w:color w:val="000000"/>
          <w:sz w:val="20"/>
          <w:szCs w:val="20"/>
        </w:rPr>
        <w:t>CD8</w:t>
      </w:r>
      <w:r w:rsidRPr="003F47EF">
        <w:rPr>
          <w:rFonts w:ascii="Arial" w:hAnsi="Arial" w:cs="Arial"/>
          <w:color w:val="000000"/>
          <w:sz w:val="20"/>
          <w:szCs w:val="20"/>
          <w:vertAlign w:val="superscript"/>
        </w:rPr>
        <w:t>+</w:t>
      </w:r>
      <w:r w:rsidRPr="003F47EF">
        <w:rPr>
          <w:rFonts w:ascii="Arial" w:hAnsi="Arial" w:cs="Arial"/>
          <w:color w:val="000000"/>
          <w:sz w:val="20"/>
          <w:szCs w:val="20"/>
        </w:rPr>
        <w:t>), B cells (CD45R</w:t>
      </w:r>
      <w:r w:rsidRPr="003F47EF">
        <w:rPr>
          <w:rFonts w:ascii="Arial" w:hAnsi="Arial" w:cs="Arial"/>
          <w:color w:val="000000"/>
          <w:sz w:val="20"/>
          <w:szCs w:val="20"/>
          <w:vertAlign w:val="superscript"/>
        </w:rPr>
        <w:t>+</w:t>
      </w:r>
      <w:r w:rsidRPr="003F47EF">
        <w:rPr>
          <w:rFonts w:ascii="Arial" w:hAnsi="Arial" w:cs="Arial"/>
          <w:color w:val="000000"/>
          <w:sz w:val="20"/>
          <w:szCs w:val="20"/>
        </w:rPr>
        <w:t>), DCs (MHC class II</w:t>
      </w:r>
      <w:r w:rsidR="0086625A" w:rsidRPr="003F47EF">
        <w:rPr>
          <w:rFonts w:ascii="Arial" w:hAnsi="Arial" w:cs="Arial"/>
          <w:color w:val="000000"/>
          <w:sz w:val="20"/>
          <w:szCs w:val="20"/>
        </w:rPr>
        <w:t xml:space="preserve"> (I-A)</w:t>
      </w:r>
      <w:r w:rsidRPr="003F47EF">
        <w:rPr>
          <w:rFonts w:ascii="Arial" w:hAnsi="Arial" w:cs="Arial"/>
          <w:color w:val="000000"/>
          <w:sz w:val="20"/>
          <w:szCs w:val="20"/>
          <w:vertAlign w:val="superscript"/>
        </w:rPr>
        <w:t>high</w:t>
      </w:r>
      <w:r w:rsidRPr="003F47EF">
        <w:rPr>
          <w:rFonts w:ascii="Arial" w:hAnsi="Arial" w:cs="Arial"/>
          <w:b/>
          <w:bCs/>
          <w:color w:val="000000"/>
          <w:sz w:val="20"/>
          <w:szCs w:val="20"/>
        </w:rPr>
        <w:t xml:space="preserve"> </w:t>
      </w:r>
      <w:r w:rsidRPr="003F47EF">
        <w:rPr>
          <w:rFonts w:ascii="Arial" w:hAnsi="Arial" w:cs="Arial"/>
          <w:color w:val="000000"/>
          <w:sz w:val="20"/>
          <w:szCs w:val="20"/>
        </w:rPr>
        <w:t>OX62</w:t>
      </w:r>
      <w:r w:rsidRPr="003F47EF">
        <w:rPr>
          <w:rFonts w:ascii="Arial" w:hAnsi="Arial" w:cs="Arial"/>
          <w:color w:val="000000"/>
          <w:sz w:val="20"/>
          <w:szCs w:val="20"/>
          <w:vertAlign w:val="superscript"/>
        </w:rPr>
        <w:t>+</w:t>
      </w:r>
      <w:r w:rsidRPr="003F47EF">
        <w:rPr>
          <w:rFonts w:ascii="Arial" w:hAnsi="Arial" w:cs="Arial"/>
          <w:color w:val="000000"/>
          <w:sz w:val="20"/>
          <w:szCs w:val="20"/>
        </w:rPr>
        <w:t>) and macrophages (MHC class II</w:t>
      </w:r>
      <w:r w:rsidR="0086625A" w:rsidRPr="003F47EF">
        <w:rPr>
          <w:rFonts w:ascii="Arial" w:hAnsi="Arial" w:cs="Arial"/>
          <w:color w:val="000000"/>
          <w:sz w:val="20"/>
          <w:szCs w:val="20"/>
        </w:rPr>
        <w:t>(I-A)</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CD68</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The expression of CD86 (blue histograms) was </w:t>
      </w:r>
      <w:proofErr w:type="spellStart"/>
      <w:r w:rsidRPr="003F47EF">
        <w:rPr>
          <w:rFonts w:ascii="Arial" w:hAnsi="Arial" w:cs="Arial"/>
          <w:color w:val="000000"/>
          <w:sz w:val="20"/>
          <w:szCs w:val="20"/>
        </w:rPr>
        <w:t>analysed</w:t>
      </w:r>
      <w:proofErr w:type="spellEnd"/>
      <w:r w:rsidRPr="003F47EF">
        <w:rPr>
          <w:rFonts w:ascii="Arial" w:hAnsi="Arial" w:cs="Arial"/>
          <w:color w:val="000000"/>
          <w:sz w:val="20"/>
          <w:szCs w:val="20"/>
        </w:rPr>
        <w:t xml:space="preserve"> within the population of macrophages and dendritic cells, according to FMO controls (red histograms). A representative analysis of </w:t>
      </w:r>
      <w:r w:rsidR="005B4319" w:rsidRPr="003F47EF">
        <w:rPr>
          <w:rFonts w:ascii="Arial" w:hAnsi="Arial" w:cs="Arial"/>
          <w:color w:val="000000"/>
          <w:sz w:val="20"/>
          <w:szCs w:val="20"/>
        </w:rPr>
        <w:t>IL-10-production</w:t>
      </w:r>
      <w:r w:rsidRPr="003F47EF">
        <w:rPr>
          <w:rFonts w:ascii="Arial" w:hAnsi="Arial" w:cs="Arial"/>
          <w:color w:val="000000"/>
          <w:sz w:val="20"/>
          <w:szCs w:val="20"/>
        </w:rPr>
        <w:t xml:space="preserve"> within total myeloid (CD11b</w:t>
      </w:r>
      <w:r w:rsidRPr="003F47EF">
        <w:rPr>
          <w:rFonts w:ascii="Arial" w:hAnsi="Arial" w:cs="Arial"/>
          <w:color w:val="000000"/>
          <w:sz w:val="20"/>
          <w:szCs w:val="20"/>
          <w:vertAlign w:val="superscript"/>
        </w:rPr>
        <w:t>+</w:t>
      </w:r>
      <w:r w:rsidRPr="003F47EF">
        <w:rPr>
          <w:rFonts w:ascii="Arial" w:hAnsi="Arial" w:cs="Arial"/>
          <w:color w:val="000000"/>
          <w:sz w:val="20"/>
          <w:szCs w:val="20"/>
        </w:rPr>
        <w:t>) cells is shown. A similar gating strategy within CD45+ cells was used for the analysis of immune cells in the spinal cords.</w:t>
      </w:r>
    </w:p>
    <w:p w14:paraId="49241B3E" w14:textId="11B8579D" w:rsidR="00A57714" w:rsidRPr="003F47EF" w:rsidRDefault="0086625A" w:rsidP="005B58DA">
      <w:pPr>
        <w:spacing w:line="480" w:lineRule="auto"/>
        <w:jc w:val="both"/>
        <w:rPr>
          <w:rFonts w:ascii="Arial" w:hAnsi="Arial" w:cs="Arial"/>
          <w:color w:val="000000"/>
          <w:sz w:val="20"/>
          <w:szCs w:val="20"/>
        </w:rPr>
      </w:pPr>
      <w:r w:rsidRPr="003F47EF">
        <w:rPr>
          <w:rFonts w:ascii="Arial" w:hAnsi="Arial" w:cs="Arial"/>
          <w:noProof/>
          <w:color w:val="000000"/>
          <w:sz w:val="20"/>
          <w:szCs w:val="20"/>
        </w:rPr>
        <w:lastRenderedPageBreak/>
        <w:drawing>
          <wp:inline distT="0" distB="0" distL="0" distR="0" wp14:anchorId="522EEB80" wp14:editId="1DE2A506">
            <wp:extent cx="5943600" cy="4624705"/>
            <wp:effectExtent l="0" t="0" r="0" b="0"/>
            <wp:docPr id="1254046406" name="Picture 4" descr="A collage of different colore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46406" name="Picture 4" descr="A collage of different colored graph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624705"/>
                    </a:xfrm>
                    <a:prstGeom prst="rect">
                      <a:avLst/>
                    </a:prstGeom>
                    <a:noFill/>
                    <a:ln>
                      <a:noFill/>
                    </a:ln>
                  </pic:spPr>
                </pic:pic>
              </a:graphicData>
            </a:graphic>
          </wp:inline>
        </w:drawing>
      </w:r>
    </w:p>
    <w:p w14:paraId="69AF6670" w14:textId="7775B4C4" w:rsidR="0086625A" w:rsidRPr="003F47EF" w:rsidRDefault="00A57714" w:rsidP="005B4319">
      <w:pPr>
        <w:spacing w:line="480" w:lineRule="auto"/>
        <w:rPr>
          <w:rFonts w:ascii="Arial" w:hAnsi="Arial" w:cs="Arial"/>
          <w:color w:val="000000"/>
          <w:sz w:val="20"/>
          <w:szCs w:val="20"/>
        </w:rPr>
      </w:pPr>
      <w:r w:rsidRPr="003F47EF">
        <w:rPr>
          <w:rFonts w:ascii="Arial" w:hAnsi="Arial" w:cs="Arial"/>
          <w:b/>
          <w:bCs/>
          <w:color w:val="000000"/>
          <w:sz w:val="20"/>
          <w:szCs w:val="20"/>
        </w:rPr>
        <w:t>Supplement</w:t>
      </w:r>
      <w:r w:rsidR="00EB022B" w:rsidRPr="003F47EF">
        <w:rPr>
          <w:rFonts w:ascii="Arial" w:hAnsi="Arial" w:cs="Arial"/>
          <w:b/>
          <w:bCs/>
          <w:color w:val="000000"/>
          <w:sz w:val="20"/>
          <w:szCs w:val="20"/>
        </w:rPr>
        <w:t>ary</w:t>
      </w:r>
      <w:r w:rsidRPr="003F47EF">
        <w:rPr>
          <w:rFonts w:ascii="Arial" w:hAnsi="Arial" w:cs="Arial"/>
          <w:b/>
          <w:bCs/>
          <w:color w:val="000000"/>
          <w:sz w:val="20"/>
          <w:szCs w:val="20"/>
        </w:rPr>
        <w:t xml:space="preserve"> Figure </w:t>
      </w:r>
      <w:r w:rsidR="00644F5C" w:rsidRPr="003F47EF">
        <w:rPr>
          <w:rFonts w:ascii="Arial" w:hAnsi="Arial" w:cs="Arial"/>
          <w:b/>
          <w:bCs/>
          <w:color w:val="000000"/>
          <w:sz w:val="20"/>
          <w:szCs w:val="20"/>
        </w:rPr>
        <w:t>S5</w:t>
      </w:r>
      <w:r w:rsidRPr="003F47EF">
        <w:rPr>
          <w:rFonts w:ascii="Arial" w:hAnsi="Arial" w:cs="Arial"/>
          <w:b/>
          <w:bCs/>
          <w:color w:val="000000"/>
          <w:sz w:val="20"/>
          <w:szCs w:val="20"/>
        </w:rPr>
        <w:t xml:space="preserve">. Immune cell subsets in the spleen during EAE.  </w:t>
      </w:r>
      <w:r w:rsidRPr="003F47EF">
        <w:rPr>
          <w:rFonts w:ascii="Arial" w:hAnsi="Arial" w:cs="Arial"/>
          <w:color w:val="000000"/>
          <w:sz w:val="20"/>
          <w:szCs w:val="20"/>
        </w:rPr>
        <w:t xml:space="preserve">DA rats were implanted with PLGA/ESL1 (350µg ESL1 / 7 cm2 PLGA) subcutaneously (EAE_PLGA/ESL1), or just sham-operated (EAE_ctrl), and after 7 days immunised with spinal cord homogenate in CFA. Splenocytes were collected from animals at the peak of EAE (day 14), or in the recovery phase (day 20), and </w:t>
      </w:r>
      <w:proofErr w:type="spellStart"/>
      <w:r w:rsidRPr="003F47EF">
        <w:rPr>
          <w:rFonts w:ascii="Arial" w:hAnsi="Arial" w:cs="Arial"/>
          <w:color w:val="000000"/>
          <w:sz w:val="20"/>
          <w:szCs w:val="20"/>
        </w:rPr>
        <w:t>analysed</w:t>
      </w:r>
      <w:proofErr w:type="spellEnd"/>
      <w:r w:rsidRPr="003F47EF">
        <w:rPr>
          <w:rFonts w:ascii="Arial" w:hAnsi="Arial" w:cs="Arial"/>
          <w:color w:val="000000"/>
          <w:sz w:val="20"/>
          <w:szCs w:val="20"/>
        </w:rPr>
        <w:t xml:space="preserve"> by flow cytometry. </w:t>
      </w:r>
      <w:r w:rsidRPr="003F47EF">
        <w:rPr>
          <w:rFonts w:ascii="Arial" w:hAnsi="Arial" w:cs="Arial"/>
          <w:b/>
          <w:bCs/>
          <w:color w:val="000000"/>
          <w:sz w:val="20"/>
          <w:szCs w:val="20"/>
        </w:rPr>
        <w:t>A)</w:t>
      </w:r>
      <w:r w:rsidRPr="003F47EF">
        <w:rPr>
          <w:rFonts w:ascii="Arial" w:hAnsi="Arial" w:cs="Arial"/>
          <w:color w:val="000000"/>
          <w:sz w:val="20"/>
          <w:szCs w:val="20"/>
        </w:rPr>
        <w:t xml:space="preserve"> The proportion</w:t>
      </w:r>
      <w:r w:rsidR="0086625A" w:rsidRPr="003F47EF">
        <w:rPr>
          <w:rFonts w:ascii="Arial" w:hAnsi="Arial" w:cs="Arial"/>
          <w:color w:val="000000"/>
          <w:sz w:val="20"/>
          <w:szCs w:val="20"/>
        </w:rPr>
        <w:t>s</w:t>
      </w:r>
      <w:r w:rsidRPr="003F47EF">
        <w:rPr>
          <w:rFonts w:ascii="Arial" w:hAnsi="Arial" w:cs="Arial"/>
          <w:color w:val="000000"/>
          <w:sz w:val="20"/>
          <w:szCs w:val="20"/>
        </w:rPr>
        <w:t xml:space="preserve"> of B cells, CD4</w:t>
      </w:r>
      <w:r w:rsidRPr="003F47EF">
        <w:rPr>
          <w:rFonts w:ascii="Arial" w:hAnsi="Arial" w:cs="Arial"/>
          <w:color w:val="000000"/>
          <w:sz w:val="20"/>
          <w:szCs w:val="20"/>
          <w:vertAlign w:val="superscript"/>
        </w:rPr>
        <w:t>+</w:t>
      </w:r>
      <w:r w:rsidRPr="003F47EF">
        <w:rPr>
          <w:rFonts w:ascii="Arial" w:hAnsi="Arial" w:cs="Arial"/>
          <w:color w:val="000000"/>
          <w:sz w:val="20"/>
          <w:szCs w:val="20"/>
        </w:rPr>
        <w:t>T cells and CD8</w:t>
      </w:r>
      <w:r w:rsidRPr="003F47EF">
        <w:rPr>
          <w:rFonts w:ascii="Arial" w:hAnsi="Arial" w:cs="Arial"/>
          <w:color w:val="000000"/>
          <w:sz w:val="20"/>
          <w:szCs w:val="20"/>
          <w:vertAlign w:val="superscript"/>
        </w:rPr>
        <w:t>+</w:t>
      </w:r>
      <w:r w:rsidRPr="003F47EF">
        <w:rPr>
          <w:rFonts w:ascii="Arial" w:hAnsi="Arial" w:cs="Arial"/>
          <w:color w:val="000000"/>
          <w:sz w:val="20"/>
          <w:szCs w:val="20"/>
        </w:rPr>
        <w:t>T cells</w:t>
      </w:r>
      <w:r w:rsidR="0086625A" w:rsidRPr="003F47EF">
        <w:rPr>
          <w:rFonts w:ascii="Arial" w:hAnsi="Arial" w:cs="Arial"/>
          <w:color w:val="000000"/>
          <w:sz w:val="20"/>
          <w:szCs w:val="20"/>
        </w:rPr>
        <w:t xml:space="preserve"> are</w:t>
      </w:r>
      <w:r w:rsidRPr="003F47EF">
        <w:rPr>
          <w:rFonts w:ascii="Arial" w:hAnsi="Arial" w:cs="Arial"/>
          <w:color w:val="000000"/>
          <w:sz w:val="20"/>
          <w:szCs w:val="20"/>
        </w:rPr>
        <w:t xml:space="preserve"> shown </w:t>
      </w:r>
      <w:r w:rsidR="0086625A" w:rsidRPr="003F47EF">
        <w:rPr>
          <w:rFonts w:ascii="Arial" w:hAnsi="Arial" w:cs="Arial"/>
          <w:color w:val="000000"/>
          <w:sz w:val="20"/>
          <w:szCs w:val="20"/>
        </w:rPr>
        <w:t>after</w:t>
      </w:r>
      <w:r w:rsidRPr="003F47EF">
        <w:rPr>
          <w:rFonts w:ascii="Arial" w:hAnsi="Arial" w:cs="Arial"/>
          <w:color w:val="000000"/>
          <w:sz w:val="20"/>
          <w:szCs w:val="20"/>
        </w:rPr>
        <w:t xml:space="preserve"> surface staining</w:t>
      </w:r>
      <w:r w:rsidR="0086625A" w:rsidRPr="003F47EF">
        <w:rPr>
          <w:rFonts w:ascii="Arial" w:hAnsi="Arial" w:cs="Arial"/>
          <w:color w:val="000000"/>
          <w:sz w:val="20"/>
          <w:szCs w:val="20"/>
        </w:rPr>
        <w:t xml:space="preserve">. </w:t>
      </w:r>
      <w:r w:rsidRPr="003F47EF">
        <w:rPr>
          <w:rFonts w:ascii="Arial" w:hAnsi="Arial" w:cs="Arial"/>
          <w:b/>
          <w:bCs/>
          <w:color w:val="000000"/>
          <w:sz w:val="20"/>
          <w:szCs w:val="20"/>
        </w:rPr>
        <w:t>B)</w:t>
      </w:r>
      <w:r w:rsidRPr="003F47EF">
        <w:rPr>
          <w:rFonts w:ascii="Arial" w:hAnsi="Arial" w:cs="Arial"/>
          <w:color w:val="000000"/>
          <w:sz w:val="20"/>
          <w:szCs w:val="20"/>
        </w:rPr>
        <w:t xml:space="preserve"> The proportions</w:t>
      </w:r>
      <w:r w:rsidR="0086625A" w:rsidRPr="003F47EF">
        <w:rPr>
          <w:rFonts w:ascii="Arial" w:hAnsi="Arial" w:cs="Arial"/>
          <w:color w:val="000000"/>
          <w:sz w:val="20"/>
          <w:szCs w:val="20"/>
        </w:rPr>
        <w:t xml:space="preserve"> of</w:t>
      </w:r>
      <w:r w:rsidRPr="003F47EF">
        <w:rPr>
          <w:rFonts w:ascii="Arial" w:hAnsi="Arial" w:cs="Arial"/>
          <w:color w:val="000000"/>
          <w:sz w:val="20"/>
          <w:szCs w:val="20"/>
        </w:rPr>
        <w:t xml:space="preserve"> IFN-γ</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(Tc1) or IL-4</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(Tc2) CD8</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T cells </w:t>
      </w:r>
      <w:r w:rsidR="0086625A" w:rsidRPr="003F47EF">
        <w:rPr>
          <w:rFonts w:ascii="Arial" w:hAnsi="Arial" w:cs="Arial"/>
          <w:color w:val="000000"/>
          <w:sz w:val="20"/>
          <w:szCs w:val="20"/>
        </w:rPr>
        <w:t>are</w:t>
      </w:r>
      <w:r w:rsidRPr="003F47EF">
        <w:rPr>
          <w:rFonts w:ascii="Arial" w:hAnsi="Arial" w:cs="Arial"/>
          <w:color w:val="000000"/>
          <w:sz w:val="20"/>
          <w:szCs w:val="20"/>
        </w:rPr>
        <w:t xml:space="preserve"> shown, as well as IL-10</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NK (CD161+CD3-)</w:t>
      </w:r>
      <w:r w:rsidR="0086625A" w:rsidRPr="003F47EF">
        <w:rPr>
          <w:rFonts w:ascii="Arial" w:hAnsi="Arial" w:cs="Arial"/>
          <w:color w:val="000000"/>
          <w:sz w:val="20"/>
          <w:szCs w:val="20"/>
        </w:rPr>
        <w:t xml:space="preserve"> and</w:t>
      </w:r>
      <w:r w:rsidRPr="003F47EF">
        <w:rPr>
          <w:rFonts w:ascii="Arial" w:hAnsi="Arial" w:cs="Arial"/>
          <w:color w:val="000000"/>
          <w:sz w:val="20"/>
          <w:szCs w:val="20"/>
        </w:rPr>
        <w:t xml:space="preserve"> IL-10</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B cells, upon </w:t>
      </w:r>
      <w:r w:rsidR="0086625A" w:rsidRPr="003F47EF">
        <w:rPr>
          <w:rFonts w:ascii="Arial" w:hAnsi="Arial" w:cs="Arial"/>
          <w:color w:val="000000"/>
          <w:sz w:val="20"/>
          <w:szCs w:val="20"/>
        </w:rPr>
        <w:t xml:space="preserve">the </w:t>
      </w:r>
      <w:r w:rsidRPr="003F47EF">
        <w:rPr>
          <w:rFonts w:ascii="Arial" w:hAnsi="Arial" w:cs="Arial"/>
          <w:color w:val="000000"/>
          <w:sz w:val="20"/>
          <w:szCs w:val="20"/>
        </w:rPr>
        <w:t>isolation and activation with PMA/</w:t>
      </w:r>
      <w:r w:rsidR="0086625A" w:rsidRPr="003F47EF">
        <w:rPr>
          <w:rFonts w:ascii="Arial" w:hAnsi="Arial" w:cs="Arial"/>
          <w:color w:val="000000"/>
          <w:sz w:val="20"/>
          <w:szCs w:val="20"/>
        </w:rPr>
        <w:t xml:space="preserve"> </w:t>
      </w:r>
      <w:r w:rsidRPr="003F47EF">
        <w:rPr>
          <w:rFonts w:ascii="Arial" w:hAnsi="Arial" w:cs="Arial"/>
          <w:color w:val="000000"/>
          <w:sz w:val="20"/>
          <w:szCs w:val="20"/>
        </w:rPr>
        <w:t>Ca Ionophore/</w:t>
      </w:r>
      <w:r w:rsidR="0086625A" w:rsidRPr="003F47EF">
        <w:rPr>
          <w:rFonts w:ascii="Arial" w:hAnsi="Arial" w:cs="Arial"/>
          <w:color w:val="000000"/>
          <w:sz w:val="20"/>
          <w:szCs w:val="20"/>
        </w:rPr>
        <w:t xml:space="preserve"> </w:t>
      </w:r>
      <w:r w:rsidRPr="003F47EF">
        <w:rPr>
          <w:rFonts w:ascii="Arial" w:hAnsi="Arial" w:cs="Arial"/>
          <w:color w:val="000000"/>
          <w:sz w:val="20"/>
          <w:szCs w:val="20"/>
        </w:rPr>
        <w:t>Monensin, as described in Materials and Methods.</w:t>
      </w:r>
      <w:r w:rsidR="0086625A" w:rsidRPr="003F47EF">
        <w:rPr>
          <w:rFonts w:ascii="Arial" w:hAnsi="Arial" w:cs="Arial"/>
          <w:color w:val="000000"/>
          <w:sz w:val="20"/>
          <w:szCs w:val="20"/>
        </w:rPr>
        <w:t xml:space="preserve"> *p&lt;0.05, ** p&lt;0.001, ***p&lt;0.005, as indicated (Kruskal-Wallis test with Dunn’s multiple comparison test).</w:t>
      </w:r>
    </w:p>
    <w:p w14:paraId="0471C4D9" w14:textId="77777777" w:rsidR="0086625A" w:rsidRPr="003F47EF" w:rsidRDefault="0086625A" w:rsidP="005B58DA">
      <w:pPr>
        <w:spacing w:line="480" w:lineRule="auto"/>
        <w:jc w:val="both"/>
        <w:rPr>
          <w:rFonts w:ascii="Arial" w:hAnsi="Arial" w:cs="Arial"/>
          <w:color w:val="000000"/>
          <w:sz w:val="20"/>
          <w:szCs w:val="20"/>
        </w:rPr>
      </w:pPr>
    </w:p>
    <w:p w14:paraId="30EC77CE" w14:textId="77777777" w:rsidR="0086625A" w:rsidRPr="003F47EF" w:rsidRDefault="0086625A" w:rsidP="005B58DA">
      <w:pPr>
        <w:spacing w:line="480" w:lineRule="auto"/>
        <w:jc w:val="both"/>
        <w:rPr>
          <w:rFonts w:ascii="Arial" w:hAnsi="Arial" w:cs="Arial"/>
          <w:color w:val="000000"/>
          <w:sz w:val="20"/>
          <w:szCs w:val="20"/>
        </w:rPr>
      </w:pPr>
    </w:p>
    <w:p w14:paraId="3C72D5D1" w14:textId="77777777" w:rsidR="0086625A" w:rsidRPr="003F47EF" w:rsidRDefault="0086625A" w:rsidP="005B58DA">
      <w:pPr>
        <w:spacing w:line="480" w:lineRule="auto"/>
        <w:jc w:val="both"/>
        <w:rPr>
          <w:rFonts w:ascii="Arial" w:hAnsi="Arial" w:cs="Arial"/>
          <w:color w:val="000000"/>
          <w:sz w:val="20"/>
          <w:szCs w:val="20"/>
        </w:rPr>
      </w:pPr>
    </w:p>
    <w:p w14:paraId="0935E5CE" w14:textId="61F436CC" w:rsidR="00A57714" w:rsidRPr="003F47EF" w:rsidRDefault="00F4355B" w:rsidP="005B58DA">
      <w:pPr>
        <w:spacing w:line="480" w:lineRule="auto"/>
        <w:jc w:val="both"/>
        <w:rPr>
          <w:rFonts w:ascii="Arial" w:hAnsi="Arial" w:cs="Arial"/>
          <w:color w:val="000000"/>
          <w:sz w:val="20"/>
          <w:szCs w:val="20"/>
        </w:rPr>
      </w:pPr>
      <w:r w:rsidRPr="003F47EF">
        <w:rPr>
          <w:rFonts w:ascii="Arial" w:hAnsi="Arial" w:cs="Arial"/>
          <w:noProof/>
          <w:color w:val="000000"/>
          <w:sz w:val="20"/>
          <w:szCs w:val="20"/>
        </w:rPr>
        <w:drawing>
          <wp:inline distT="0" distB="0" distL="0" distR="0" wp14:anchorId="660BF7B3" wp14:editId="3F521EF1">
            <wp:extent cx="5356920" cy="4095877"/>
            <wp:effectExtent l="0" t="0" r="0" b="0"/>
            <wp:docPr id="1" name="Picture 1" descr="C:\Users\Jelena\Downloads\final figs\Int J Nanomed\Recenzija\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lena\Downloads\final figs\Int J Nanomed\Recenzija\Figure S6.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8306" cy="4096937"/>
                    </a:xfrm>
                    <a:prstGeom prst="rect">
                      <a:avLst/>
                    </a:prstGeom>
                    <a:noFill/>
                    <a:ln>
                      <a:noFill/>
                    </a:ln>
                  </pic:spPr>
                </pic:pic>
              </a:graphicData>
            </a:graphic>
          </wp:inline>
        </w:drawing>
      </w:r>
    </w:p>
    <w:p w14:paraId="28051C45" w14:textId="79A4C56D" w:rsidR="00AD11ED" w:rsidRPr="003F47EF" w:rsidRDefault="0086625A" w:rsidP="00EB022B">
      <w:pPr>
        <w:spacing w:line="480" w:lineRule="auto"/>
        <w:rPr>
          <w:rFonts w:ascii="Arial" w:hAnsi="Arial" w:cs="Arial"/>
          <w:color w:val="000000"/>
          <w:sz w:val="20"/>
          <w:szCs w:val="20"/>
        </w:rPr>
      </w:pPr>
      <w:r w:rsidRPr="003F47EF">
        <w:rPr>
          <w:rFonts w:ascii="Arial" w:hAnsi="Arial" w:cs="Arial"/>
          <w:b/>
          <w:bCs/>
          <w:color w:val="000000"/>
          <w:sz w:val="20"/>
          <w:szCs w:val="20"/>
        </w:rPr>
        <w:t>Supplement</w:t>
      </w:r>
      <w:r w:rsidR="00EB022B" w:rsidRPr="003F47EF">
        <w:rPr>
          <w:rFonts w:ascii="Arial" w:hAnsi="Arial" w:cs="Arial"/>
          <w:b/>
          <w:bCs/>
          <w:color w:val="000000"/>
          <w:sz w:val="20"/>
          <w:szCs w:val="20"/>
        </w:rPr>
        <w:t>ary</w:t>
      </w:r>
      <w:r w:rsidRPr="003F47EF">
        <w:rPr>
          <w:rFonts w:ascii="Arial" w:hAnsi="Arial" w:cs="Arial"/>
          <w:b/>
          <w:bCs/>
          <w:color w:val="000000"/>
          <w:sz w:val="20"/>
          <w:szCs w:val="20"/>
        </w:rPr>
        <w:t xml:space="preserve"> Figure </w:t>
      </w:r>
      <w:r w:rsidR="00644F5C" w:rsidRPr="003F47EF">
        <w:rPr>
          <w:rFonts w:ascii="Arial" w:hAnsi="Arial" w:cs="Arial"/>
          <w:b/>
          <w:bCs/>
          <w:color w:val="000000"/>
          <w:sz w:val="20"/>
          <w:szCs w:val="20"/>
        </w:rPr>
        <w:t>S6</w:t>
      </w:r>
      <w:r w:rsidRPr="003F47EF">
        <w:rPr>
          <w:rFonts w:ascii="Arial" w:hAnsi="Arial" w:cs="Arial"/>
          <w:b/>
          <w:bCs/>
          <w:color w:val="000000"/>
          <w:sz w:val="20"/>
          <w:szCs w:val="20"/>
        </w:rPr>
        <w:t xml:space="preserve">. Immune cell subsets in the spinal cord during EAE.  </w:t>
      </w:r>
      <w:r w:rsidRPr="003F47EF">
        <w:rPr>
          <w:rFonts w:ascii="Arial" w:hAnsi="Arial" w:cs="Arial"/>
          <w:color w:val="000000"/>
          <w:sz w:val="20"/>
          <w:szCs w:val="20"/>
        </w:rPr>
        <w:t xml:space="preserve">DA rats were implanted with PLGA/ESL1 (350µg ESL1 / 7 cm2 PLGA) subcutaneously (EAE_PLGA/ESL1), or just sham-operated (EAE_ctrl), and after 7 days immunised with spinal cord homogenate in CFA. Spinal cords were collected from animals at the peak of EAE (day 14), or in the recovery phase (day 20), and </w:t>
      </w:r>
      <w:proofErr w:type="spellStart"/>
      <w:r w:rsidRPr="003F47EF">
        <w:rPr>
          <w:rFonts w:ascii="Arial" w:hAnsi="Arial" w:cs="Arial"/>
          <w:color w:val="000000"/>
          <w:sz w:val="20"/>
          <w:szCs w:val="20"/>
        </w:rPr>
        <w:t>analysed</w:t>
      </w:r>
      <w:proofErr w:type="spellEnd"/>
      <w:r w:rsidRPr="003F47EF">
        <w:rPr>
          <w:rFonts w:ascii="Arial" w:hAnsi="Arial" w:cs="Arial"/>
          <w:color w:val="000000"/>
          <w:sz w:val="20"/>
          <w:szCs w:val="20"/>
        </w:rPr>
        <w:t xml:space="preserve"> by flow cytometry. The proportions and the number of total CD4</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and CD8</w:t>
      </w:r>
      <w:r w:rsidRPr="003F47EF">
        <w:rPr>
          <w:rFonts w:ascii="Arial" w:hAnsi="Arial" w:cs="Arial"/>
          <w:color w:val="000000"/>
          <w:sz w:val="20"/>
          <w:szCs w:val="20"/>
          <w:vertAlign w:val="superscript"/>
        </w:rPr>
        <w:t>+</w:t>
      </w:r>
      <w:r w:rsidRPr="003F47EF">
        <w:rPr>
          <w:rFonts w:ascii="Arial" w:hAnsi="Arial" w:cs="Arial"/>
          <w:color w:val="000000"/>
          <w:sz w:val="20"/>
          <w:szCs w:val="20"/>
        </w:rPr>
        <w:t xml:space="preserve"> T </w:t>
      </w:r>
      <w:proofErr w:type="gramStart"/>
      <w:r w:rsidRPr="003F47EF">
        <w:rPr>
          <w:rFonts w:ascii="Arial" w:hAnsi="Arial" w:cs="Arial"/>
          <w:color w:val="000000"/>
          <w:sz w:val="20"/>
          <w:szCs w:val="20"/>
        </w:rPr>
        <w:t>cell</w:t>
      </w:r>
      <w:proofErr w:type="gramEnd"/>
      <w:r w:rsidRPr="003F47EF">
        <w:rPr>
          <w:rFonts w:ascii="Arial" w:hAnsi="Arial" w:cs="Arial"/>
          <w:color w:val="000000"/>
          <w:sz w:val="20"/>
          <w:szCs w:val="20"/>
        </w:rPr>
        <w:t>, as well as IL-10</w:t>
      </w:r>
      <w:r w:rsidRPr="003F47EF">
        <w:rPr>
          <w:rFonts w:ascii="Arial" w:hAnsi="Arial" w:cs="Arial"/>
          <w:color w:val="000000"/>
          <w:sz w:val="20"/>
          <w:szCs w:val="20"/>
          <w:vertAlign w:val="superscript"/>
        </w:rPr>
        <w:t>+</w:t>
      </w:r>
      <w:r w:rsidRPr="003F47EF">
        <w:rPr>
          <w:rFonts w:ascii="Arial" w:hAnsi="Arial" w:cs="Arial"/>
          <w:color w:val="000000"/>
          <w:sz w:val="20"/>
          <w:szCs w:val="20"/>
        </w:rPr>
        <w:t>-producing CD8</w:t>
      </w:r>
      <w:r w:rsidRPr="003F47EF">
        <w:rPr>
          <w:rFonts w:ascii="Arial" w:hAnsi="Arial" w:cs="Arial"/>
          <w:color w:val="000000"/>
          <w:sz w:val="20"/>
          <w:szCs w:val="20"/>
          <w:vertAlign w:val="superscript"/>
        </w:rPr>
        <w:t>+</w:t>
      </w:r>
      <w:r w:rsidRPr="003F47EF">
        <w:rPr>
          <w:rFonts w:ascii="Arial" w:hAnsi="Arial" w:cs="Arial"/>
          <w:color w:val="000000"/>
          <w:sz w:val="20"/>
          <w:szCs w:val="20"/>
        </w:rPr>
        <w:t>T cells</w:t>
      </w:r>
      <w:r w:rsidR="00F4355B" w:rsidRPr="003F47EF">
        <w:rPr>
          <w:rFonts w:ascii="Arial" w:hAnsi="Arial" w:cs="Arial"/>
          <w:color w:val="000000"/>
          <w:sz w:val="20"/>
          <w:szCs w:val="20"/>
        </w:rPr>
        <w:t xml:space="preserve"> and CD86-expressing B cells in SCs</w:t>
      </w:r>
      <w:r w:rsidRPr="003F47EF">
        <w:rPr>
          <w:rFonts w:ascii="Arial" w:hAnsi="Arial" w:cs="Arial"/>
          <w:color w:val="000000"/>
          <w:sz w:val="20"/>
          <w:szCs w:val="20"/>
        </w:rPr>
        <w:t xml:space="preserve"> are shown. *p&lt;0.05, as indicated (Kruskal-Wallis test with Dunn’s multiple comparison test).</w:t>
      </w:r>
    </w:p>
    <w:p w14:paraId="5553A8EC" w14:textId="69AA28A6" w:rsidR="00DC3E31" w:rsidRPr="003F47EF" w:rsidRDefault="005B58DA" w:rsidP="005B58DA">
      <w:pPr>
        <w:spacing w:line="480" w:lineRule="auto"/>
        <w:jc w:val="both"/>
        <w:rPr>
          <w:rFonts w:ascii="Arial" w:eastAsia="Times New Roman" w:hAnsi="Arial" w:cs="Arial"/>
          <w:b/>
          <w:bCs/>
          <w:color w:val="000000"/>
          <w:kern w:val="32"/>
          <w:sz w:val="32"/>
          <w:szCs w:val="32"/>
          <w14:ligatures w14:val="none"/>
        </w:rPr>
      </w:pPr>
      <w:r w:rsidRPr="003F47EF">
        <w:rPr>
          <w:rFonts w:ascii="Arial" w:eastAsia="Times New Roman" w:hAnsi="Arial" w:cs="Arial"/>
          <w:b/>
          <w:bCs/>
          <w:color w:val="000000"/>
          <w:kern w:val="32"/>
          <w:sz w:val="32"/>
          <w:szCs w:val="32"/>
          <w14:ligatures w14:val="none"/>
        </w:rPr>
        <w:t>Supplement</w:t>
      </w:r>
      <w:r w:rsidR="00574CD9" w:rsidRPr="003F47EF">
        <w:rPr>
          <w:rFonts w:ascii="Arial" w:eastAsia="Times New Roman" w:hAnsi="Arial" w:cs="Arial"/>
          <w:b/>
          <w:bCs/>
          <w:color w:val="000000"/>
          <w:kern w:val="32"/>
          <w:sz w:val="32"/>
          <w:szCs w:val="32"/>
          <w14:ligatures w14:val="none"/>
        </w:rPr>
        <w:t>ary</w:t>
      </w:r>
      <w:r w:rsidRPr="003F47EF">
        <w:rPr>
          <w:rFonts w:ascii="Arial" w:eastAsia="Times New Roman" w:hAnsi="Arial" w:cs="Arial"/>
          <w:b/>
          <w:bCs/>
          <w:color w:val="000000"/>
          <w:kern w:val="32"/>
          <w:sz w:val="32"/>
          <w:szCs w:val="32"/>
          <w14:ligatures w14:val="none"/>
        </w:rPr>
        <w:t xml:space="preserve"> r</w:t>
      </w:r>
      <w:r w:rsidR="00DC3E31" w:rsidRPr="003F47EF">
        <w:rPr>
          <w:rFonts w:ascii="Arial" w:eastAsia="Times New Roman" w:hAnsi="Arial" w:cs="Arial"/>
          <w:b/>
          <w:bCs/>
          <w:color w:val="000000"/>
          <w:kern w:val="32"/>
          <w:sz w:val="32"/>
          <w:szCs w:val="32"/>
          <w14:ligatures w14:val="none"/>
        </w:rPr>
        <w:t>eference</w:t>
      </w:r>
    </w:p>
    <w:p w14:paraId="16D25D40" w14:textId="6D057A39" w:rsidR="00CE17DF" w:rsidRPr="003F47EF" w:rsidRDefault="00DC3E31" w:rsidP="00EB022B">
      <w:pPr>
        <w:pStyle w:val="Bibliography"/>
        <w:spacing w:line="480" w:lineRule="auto"/>
        <w:rPr>
          <w:rFonts w:ascii="Arial" w:hAnsi="Arial" w:cs="Arial"/>
          <w:color w:val="000000"/>
          <w:sz w:val="20"/>
          <w:szCs w:val="20"/>
        </w:rPr>
      </w:pPr>
      <w:r w:rsidRPr="003F47EF">
        <w:rPr>
          <w:rFonts w:ascii="Arial" w:hAnsi="Arial" w:cs="Arial"/>
          <w:color w:val="000000"/>
          <w:sz w:val="20"/>
          <w:szCs w:val="20"/>
        </w:rPr>
        <w:t xml:space="preserve"> </w:t>
      </w:r>
      <w:r w:rsidR="00EE4C69" w:rsidRPr="003F47EF">
        <w:rPr>
          <w:rFonts w:ascii="Arial" w:hAnsi="Arial" w:cs="Arial"/>
          <w:color w:val="000000"/>
          <w:sz w:val="20"/>
          <w:szCs w:val="20"/>
        </w:rPr>
        <w:fldChar w:fldCharType="begin"/>
      </w:r>
      <w:r w:rsidR="005B4319" w:rsidRPr="003F47EF">
        <w:rPr>
          <w:rFonts w:ascii="Arial" w:hAnsi="Arial" w:cs="Arial"/>
          <w:color w:val="000000"/>
          <w:sz w:val="20"/>
          <w:szCs w:val="20"/>
        </w:rPr>
        <w:instrText xml:space="preserve"> ADDIN ZOTERO_BIBL {"uncited":[],"omitted":[],"custom":[]} CSL_BIBLIOGRAPHY </w:instrText>
      </w:r>
      <w:r w:rsidR="00EE4C69" w:rsidRPr="003F47EF">
        <w:rPr>
          <w:rFonts w:ascii="Arial" w:hAnsi="Arial" w:cs="Arial"/>
          <w:color w:val="000000"/>
          <w:sz w:val="20"/>
          <w:szCs w:val="20"/>
        </w:rPr>
        <w:fldChar w:fldCharType="separate"/>
      </w:r>
      <w:r w:rsidR="005B4319" w:rsidRPr="003F47EF">
        <w:rPr>
          <w:rFonts w:ascii="Arial" w:hAnsi="Arial" w:cs="Arial"/>
          <w:color w:val="000000"/>
          <w:sz w:val="20"/>
        </w:rPr>
        <w:t>1.</w:t>
      </w:r>
      <w:r w:rsidR="005B4319" w:rsidRPr="003F47EF">
        <w:rPr>
          <w:rFonts w:ascii="Arial" w:hAnsi="Arial" w:cs="Arial"/>
          <w:color w:val="000000"/>
          <w:sz w:val="20"/>
        </w:rPr>
        <w:tab/>
        <w:t xml:space="preserve">Song X, Sun X, Oh SF, et al. Microbial bile acid metabolites modulate gut RORγ+ regulatory T cell homeostasis. </w:t>
      </w:r>
      <w:r w:rsidR="005B4319" w:rsidRPr="003F47EF">
        <w:rPr>
          <w:rFonts w:ascii="Arial" w:hAnsi="Arial" w:cs="Arial"/>
          <w:i/>
          <w:iCs/>
          <w:color w:val="000000"/>
          <w:sz w:val="20"/>
        </w:rPr>
        <w:t>Nature</w:t>
      </w:r>
      <w:r w:rsidR="005B4319" w:rsidRPr="003F47EF">
        <w:rPr>
          <w:rFonts w:ascii="Arial" w:hAnsi="Arial" w:cs="Arial"/>
          <w:color w:val="000000"/>
          <w:sz w:val="20"/>
        </w:rPr>
        <w:t>. 2020;577(7790):410-415. doi:10.1038/s41586-019-1865-0</w:t>
      </w:r>
      <w:r w:rsidR="00EE4C69" w:rsidRPr="003F47EF">
        <w:rPr>
          <w:rFonts w:ascii="Arial" w:hAnsi="Arial" w:cs="Arial"/>
          <w:color w:val="000000"/>
          <w:sz w:val="20"/>
          <w:szCs w:val="20"/>
        </w:rPr>
        <w:fldChar w:fldCharType="end"/>
      </w:r>
    </w:p>
    <w:sectPr w:rsidR="00CE17DF" w:rsidRPr="003F47EF" w:rsidSect="00A57714">
      <w:footerReference w:type="even" r:id="rId1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334B" w14:textId="77777777" w:rsidR="006F26E4" w:rsidRDefault="006F26E4" w:rsidP="00D5574F">
      <w:pPr>
        <w:spacing w:after="0" w:line="240" w:lineRule="auto"/>
      </w:pPr>
      <w:r>
        <w:separator/>
      </w:r>
    </w:p>
  </w:endnote>
  <w:endnote w:type="continuationSeparator" w:id="0">
    <w:p w14:paraId="030CB14E" w14:textId="77777777" w:rsidR="006F26E4" w:rsidRDefault="006F26E4" w:rsidP="00D55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7003" w14:textId="77777777" w:rsidR="003F47EF" w:rsidRDefault="003F4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1289" w14:textId="77777777" w:rsidR="003F47EF" w:rsidRDefault="003F47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AC64" w14:textId="77777777" w:rsidR="003F47EF" w:rsidRDefault="003F4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B7773" w14:textId="77777777" w:rsidR="006F26E4" w:rsidRDefault="006F26E4" w:rsidP="00D5574F">
      <w:pPr>
        <w:spacing w:after="0" w:line="240" w:lineRule="auto"/>
      </w:pPr>
      <w:r>
        <w:separator/>
      </w:r>
    </w:p>
  </w:footnote>
  <w:footnote w:type="continuationSeparator" w:id="0">
    <w:p w14:paraId="42E46ABF" w14:textId="77777777" w:rsidR="006F26E4" w:rsidRDefault="006F26E4" w:rsidP="00D557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7714"/>
    <w:rsid w:val="000024E0"/>
    <w:rsid w:val="000109D2"/>
    <w:rsid w:val="0004271D"/>
    <w:rsid w:val="00045590"/>
    <w:rsid w:val="00072074"/>
    <w:rsid w:val="000A32D8"/>
    <w:rsid w:val="000B32E6"/>
    <w:rsid w:val="000C52F9"/>
    <w:rsid w:val="000C7F91"/>
    <w:rsid w:val="000E7442"/>
    <w:rsid w:val="000F764D"/>
    <w:rsid w:val="00107516"/>
    <w:rsid w:val="00120B86"/>
    <w:rsid w:val="00137193"/>
    <w:rsid w:val="00151204"/>
    <w:rsid w:val="001A24A5"/>
    <w:rsid w:val="001F57E5"/>
    <w:rsid w:val="002F1E33"/>
    <w:rsid w:val="002F78B4"/>
    <w:rsid w:val="00346342"/>
    <w:rsid w:val="003A22D6"/>
    <w:rsid w:val="003E02FB"/>
    <w:rsid w:val="003F47EF"/>
    <w:rsid w:val="00426964"/>
    <w:rsid w:val="004C613B"/>
    <w:rsid w:val="004C6EA7"/>
    <w:rsid w:val="00574CD9"/>
    <w:rsid w:val="005B4319"/>
    <w:rsid w:val="005B58DA"/>
    <w:rsid w:val="00605862"/>
    <w:rsid w:val="00644F5C"/>
    <w:rsid w:val="006634F5"/>
    <w:rsid w:val="006A7CA1"/>
    <w:rsid w:val="006D1B6A"/>
    <w:rsid w:val="006F26E4"/>
    <w:rsid w:val="00777103"/>
    <w:rsid w:val="007A0196"/>
    <w:rsid w:val="007B70F7"/>
    <w:rsid w:val="0086625A"/>
    <w:rsid w:val="00872E0C"/>
    <w:rsid w:val="00895992"/>
    <w:rsid w:val="00915C16"/>
    <w:rsid w:val="00973C71"/>
    <w:rsid w:val="009C1214"/>
    <w:rsid w:val="00A5126C"/>
    <w:rsid w:val="00A57714"/>
    <w:rsid w:val="00A81581"/>
    <w:rsid w:val="00AD11ED"/>
    <w:rsid w:val="00AE3AFA"/>
    <w:rsid w:val="00AF2EB3"/>
    <w:rsid w:val="00B231AB"/>
    <w:rsid w:val="00B24D3C"/>
    <w:rsid w:val="00B415A5"/>
    <w:rsid w:val="00B64B7B"/>
    <w:rsid w:val="00B65208"/>
    <w:rsid w:val="00B8600B"/>
    <w:rsid w:val="00C03C67"/>
    <w:rsid w:val="00C5306B"/>
    <w:rsid w:val="00CE17DF"/>
    <w:rsid w:val="00D10B86"/>
    <w:rsid w:val="00D23B2A"/>
    <w:rsid w:val="00D25C3D"/>
    <w:rsid w:val="00D5574F"/>
    <w:rsid w:val="00D64724"/>
    <w:rsid w:val="00DA3463"/>
    <w:rsid w:val="00DA6C42"/>
    <w:rsid w:val="00DA737F"/>
    <w:rsid w:val="00DC3E31"/>
    <w:rsid w:val="00E8340E"/>
    <w:rsid w:val="00EB022B"/>
    <w:rsid w:val="00ED7AA5"/>
    <w:rsid w:val="00EE4C69"/>
    <w:rsid w:val="00F33360"/>
    <w:rsid w:val="00F353F2"/>
    <w:rsid w:val="00F4355B"/>
    <w:rsid w:val="00FA166D"/>
    <w:rsid w:val="00FA1AF9"/>
    <w:rsid w:val="00FB3104"/>
    <w:rsid w:val="00FC1AA2"/>
    <w:rsid w:val="00FF7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0AAFD"/>
  <w15:chartTrackingRefBased/>
  <w15:docId w15:val="{D7C36C3B-2FF6-4403-9017-372E0967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714"/>
    <w:rPr>
      <w:lang w:val="en-US"/>
    </w:rPr>
  </w:style>
  <w:style w:type="paragraph" w:styleId="Heading1">
    <w:name w:val="heading 1"/>
    <w:basedOn w:val="Normal"/>
    <w:next w:val="Normal"/>
    <w:link w:val="Heading1Char"/>
    <w:uiPriority w:val="9"/>
    <w:qFormat/>
    <w:rsid w:val="00A57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7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714"/>
    <w:rPr>
      <w:rFonts w:eastAsiaTheme="majorEastAsia" w:cstheme="majorBidi"/>
      <w:color w:val="272727" w:themeColor="text1" w:themeTint="D8"/>
    </w:rPr>
  </w:style>
  <w:style w:type="paragraph" w:styleId="Title">
    <w:name w:val="Title"/>
    <w:basedOn w:val="Normal"/>
    <w:next w:val="Normal"/>
    <w:link w:val="TitleChar"/>
    <w:uiPriority w:val="10"/>
    <w:qFormat/>
    <w:rsid w:val="00A57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714"/>
    <w:pPr>
      <w:spacing w:before="160"/>
      <w:jc w:val="center"/>
    </w:pPr>
    <w:rPr>
      <w:i/>
      <w:iCs/>
      <w:color w:val="404040" w:themeColor="text1" w:themeTint="BF"/>
    </w:rPr>
  </w:style>
  <w:style w:type="character" w:customStyle="1" w:styleId="QuoteChar">
    <w:name w:val="Quote Char"/>
    <w:basedOn w:val="DefaultParagraphFont"/>
    <w:link w:val="Quote"/>
    <w:uiPriority w:val="29"/>
    <w:rsid w:val="00A57714"/>
    <w:rPr>
      <w:i/>
      <w:iCs/>
      <w:color w:val="404040" w:themeColor="text1" w:themeTint="BF"/>
    </w:rPr>
  </w:style>
  <w:style w:type="paragraph" w:styleId="ListParagraph">
    <w:name w:val="List Paragraph"/>
    <w:basedOn w:val="Normal"/>
    <w:uiPriority w:val="34"/>
    <w:qFormat/>
    <w:rsid w:val="00A57714"/>
    <w:pPr>
      <w:ind w:left="720"/>
      <w:contextualSpacing/>
    </w:pPr>
  </w:style>
  <w:style w:type="character" w:styleId="IntenseEmphasis">
    <w:name w:val="Intense Emphasis"/>
    <w:basedOn w:val="DefaultParagraphFont"/>
    <w:uiPriority w:val="21"/>
    <w:qFormat/>
    <w:rsid w:val="00A57714"/>
    <w:rPr>
      <w:i/>
      <w:iCs/>
      <w:color w:val="0F4761" w:themeColor="accent1" w:themeShade="BF"/>
    </w:rPr>
  </w:style>
  <w:style w:type="paragraph" w:styleId="IntenseQuote">
    <w:name w:val="Intense Quote"/>
    <w:basedOn w:val="Normal"/>
    <w:next w:val="Normal"/>
    <w:link w:val="IntenseQuoteChar"/>
    <w:uiPriority w:val="30"/>
    <w:qFormat/>
    <w:rsid w:val="00A57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714"/>
    <w:rPr>
      <w:i/>
      <w:iCs/>
      <w:color w:val="0F4761" w:themeColor="accent1" w:themeShade="BF"/>
    </w:rPr>
  </w:style>
  <w:style w:type="character" w:styleId="IntenseReference">
    <w:name w:val="Intense Reference"/>
    <w:basedOn w:val="DefaultParagraphFont"/>
    <w:uiPriority w:val="32"/>
    <w:qFormat/>
    <w:rsid w:val="00A57714"/>
    <w:rPr>
      <w:b/>
      <w:bCs/>
      <w:smallCaps/>
      <w:color w:val="0F4761" w:themeColor="accent1" w:themeShade="BF"/>
      <w:spacing w:val="5"/>
    </w:rPr>
  </w:style>
  <w:style w:type="character" w:styleId="Hyperlink">
    <w:name w:val="Hyperlink"/>
    <w:basedOn w:val="DefaultParagraphFont"/>
    <w:uiPriority w:val="99"/>
    <w:unhideWhenUsed/>
    <w:rsid w:val="004C6EA7"/>
    <w:rPr>
      <w:color w:val="467886" w:themeColor="hyperlink"/>
      <w:u w:val="single"/>
    </w:rPr>
  </w:style>
  <w:style w:type="table" w:styleId="TableGrid">
    <w:name w:val="Table Grid"/>
    <w:basedOn w:val="TableNormal"/>
    <w:uiPriority w:val="39"/>
    <w:rsid w:val="00D5574F"/>
    <w:pPr>
      <w:spacing w:after="0" w:line="240" w:lineRule="auto"/>
    </w:pPr>
    <w:rPr>
      <w:kern w:val="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74F"/>
    <w:rPr>
      <w:lang w:val="en-US"/>
    </w:rPr>
  </w:style>
  <w:style w:type="paragraph" w:styleId="Footer">
    <w:name w:val="footer"/>
    <w:basedOn w:val="Normal"/>
    <w:link w:val="FooterChar"/>
    <w:uiPriority w:val="99"/>
    <w:unhideWhenUsed/>
    <w:rsid w:val="00D55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74F"/>
    <w:rPr>
      <w:lang w:val="en-US"/>
    </w:rPr>
  </w:style>
  <w:style w:type="paragraph" w:styleId="Bibliography">
    <w:name w:val="Bibliography"/>
    <w:basedOn w:val="Normal"/>
    <w:next w:val="Normal"/>
    <w:uiPriority w:val="37"/>
    <w:unhideWhenUsed/>
    <w:rsid w:val="00DC3E31"/>
    <w:pPr>
      <w:tabs>
        <w:tab w:val="left" w:pos="264"/>
      </w:tabs>
      <w:spacing w:after="240" w:line="240" w:lineRule="auto"/>
      <w:ind w:left="264" w:hanging="264"/>
    </w:pPr>
  </w:style>
  <w:style w:type="paragraph" w:styleId="Revision">
    <w:name w:val="Revision"/>
    <w:hidden/>
    <w:uiPriority w:val="99"/>
    <w:semiHidden/>
    <w:rsid w:val="007A0196"/>
    <w:pPr>
      <w:spacing w:after="0" w:line="240" w:lineRule="auto"/>
    </w:pPr>
    <w:rPr>
      <w:lang w:val="en-US"/>
    </w:rPr>
  </w:style>
  <w:style w:type="character" w:styleId="CommentReference">
    <w:name w:val="annotation reference"/>
    <w:basedOn w:val="DefaultParagraphFont"/>
    <w:uiPriority w:val="99"/>
    <w:semiHidden/>
    <w:unhideWhenUsed/>
    <w:rsid w:val="000F764D"/>
    <w:rPr>
      <w:sz w:val="16"/>
      <w:szCs w:val="16"/>
    </w:rPr>
  </w:style>
  <w:style w:type="paragraph" w:styleId="CommentText">
    <w:name w:val="annotation text"/>
    <w:basedOn w:val="Normal"/>
    <w:link w:val="CommentTextChar"/>
    <w:uiPriority w:val="99"/>
    <w:unhideWhenUsed/>
    <w:rsid w:val="000F764D"/>
    <w:pPr>
      <w:spacing w:line="240" w:lineRule="auto"/>
    </w:pPr>
    <w:rPr>
      <w:sz w:val="20"/>
      <w:szCs w:val="20"/>
    </w:rPr>
  </w:style>
  <w:style w:type="character" w:customStyle="1" w:styleId="CommentTextChar">
    <w:name w:val="Comment Text Char"/>
    <w:basedOn w:val="DefaultParagraphFont"/>
    <w:link w:val="CommentText"/>
    <w:uiPriority w:val="99"/>
    <w:rsid w:val="000F764D"/>
    <w:rPr>
      <w:sz w:val="20"/>
      <w:szCs w:val="20"/>
      <w:lang w:val="en-US"/>
    </w:rPr>
  </w:style>
  <w:style w:type="paragraph" w:styleId="CommentSubject">
    <w:name w:val="annotation subject"/>
    <w:basedOn w:val="CommentText"/>
    <w:next w:val="CommentText"/>
    <w:link w:val="CommentSubjectChar"/>
    <w:uiPriority w:val="99"/>
    <w:semiHidden/>
    <w:unhideWhenUsed/>
    <w:rsid w:val="000F764D"/>
    <w:rPr>
      <w:b/>
      <w:bCs/>
    </w:rPr>
  </w:style>
  <w:style w:type="character" w:customStyle="1" w:styleId="CommentSubjectChar">
    <w:name w:val="Comment Subject Char"/>
    <w:basedOn w:val="CommentTextChar"/>
    <w:link w:val="CommentSubject"/>
    <w:uiPriority w:val="99"/>
    <w:semiHidden/>
    <w:rsid w:val="000F764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D9472-FFAD-49BA-983F-1EF53F7F2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 Tomić</dc:creator>
  <cp:keywords/>
  <dc:description/>
  <cp:lastModifiedBy>Shaw, Grace</cp:lastModifiedBy>
  <cp:revision>3</cp:revision>
  <dcterms:created xsi:type="dcterms:W3CDTF">2025-01-17T02:56:00Z</dcterms:created>
  <dcterms:modified xsi:type="dcterms:W3CDTF">2025-01-17T02:57:00Z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id="1Sl1VFtK"/&gt;&lt;style id="http://www.zotero.org/styles/jama" hasBibliography="1" bibliographyStyleHasBeenSet="1"/&gt;&lt;prefs&gt;&lt;pref name="fieldType" value="Field"/&gt;&lt;/prefs&gt;&lt;/data&gt;</vt:lpwstr>
  </property>
  <property fmtid="{D5CDD505-2E9C-101B-9397-08002B2CF9AE}" pid="3" name="GrammarlyDocumentId">
    <vt:lpwstr>24a2a53c062a285e8a54daadb2bbfbc42955b89f98baaa7a066f6fe658ce09eb</vt:lpwstr>
  </property>
  <property fmtid="{D5CDD505-2E9C-101B-9397-08002B2CF9AE}" pid="4" name="MSIP_Label_2bbab825-a111-45e4-86a1-18cee0005896_Enabled">
    <vt:lpwstr>true</vt:lpwstr>
  </property>
  <property fmtid="{D5CDD505-2E9C-101B-9397-08002B2CF9AE}" pid="5" name="MSIP_Label_2bbab825-a111-45e4-86a1-18cee0005896_SetDate">
    <vt:lpwstr>2025-01-10T03:09:13Z</vt:lpwstr>
  </property>
  <property fmtid="{D5CDD505-2E9C-101B-9397-08002B2CF9AE}" pid="6" name="MSIP_Label_2bbab825-a111-45e4-86a1-18cee0005896_Method">
    <vt:lpwstr>Standard</vt:lpwstr>
  </property>
  <property fmtid="{D5CDD505-2E9C-101B-9397-08002B2CF9AE}" pid="7" name="MSIP_Label_2bbab825-a111-45e4-86a1-18cee0005896_Name">
    <vt:lpwstr>2bbab825-a111-45e4-86a1-18cee0005896</vt:lpwstr>
  </property>
  <property fmtid="{D5CDD505-2E9C-101B-9397-08002B2CF9AE}" pid="8" name="MSIP_Label_2bbab825-a111-45e4-86a1-18cee0005896_SiteId">
    <vt:lpwstr>2567d566-604c-408a-8a60-55d0dc9d9d6b</vt:lpwstr>
  </property>
  <property fmtid="{D5CDD505-2E9C-101B-9397-08002B2CF9AE}" pid="9" name="MSIP_Label_2bbab825-a111-45e4-86a1-18cee0005896_ActionId">
    <vt:lpwstr>7a62679e-3c07-4902-b604-9416c9accf1b</vt:lpwstr>
  </property>
  <property fmtid="{D5CDD505-2E9C-101B-9397-08002B2CF9AE}" pid="10" name="MSIP_Label_2bbab825-a111-45e4-86a1-18cee0005896_ContentBits">
    <vt:lpwstr>2</vt:lpwstr>
  </property>
</Properties>
</file>