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220B7" w14:textId="088A2B75" w:rsidR="005405E2" w:rsidRPr="009C7379" w:rsidRDefault="00143CF8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drawing>
          <wp:inline distT="0" distB="0" distL="0" distR="0" wp14:anchorId="37B1EE16" wp14:editId="468A443E">
            <wp:extent cx="5274310" cy="3125470"/>
            <wp:effectExtent l="0" t="0" r="2540" b="0"/>
            <wp:docPr id="161139217" name="Picture 2" descr="A graph of multivariate logistic regress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39217" name="Picture 2" descr="A graph of multivariate logistic regress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DDFA6" w14:textId="77777777" w:rsidR="005405E2" w:rsidRPr="009C7379" w:rsidRDefault="009C7379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Supplementary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Figure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1</w:t>
      </w:r>
    </w:p>
    <w:p w14:paraId="0389D4FA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59BC1CFD" w14:textId="77777777" w:rsidR="005405E2" w:rsidRPr="009C7379" w:rsidRDefault="009C7379">
      <w:pPr>
        <w:rPr>
          <w:rFonts w:ascii="Times New Roman" w:eastAsia="SimSu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Supplementary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Figure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1: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>Forest plot of significant indicators in multivariate logistic regression analysis revealing corresponding hazard ratio of cerebral herniation of all indicators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 xml:space="preserve">.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 xml:space="preserve">The forest plot showed that for every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>1mg/L increase in emergency preoperative plasma D-dimer, the risk of cerebral herniation increases 0.131 times.</w:t>
      </w:r>
    </w:p>
    <w:p w14:paraId="20B0E928" w14:textId="77777777" w:rsidR="005405E2" w:rsidRPr="009C7379" w:rsidRDefault="009C7379">
      <w:pPr>
        <w:rPr>
          <w:rFonts w:ascii="Times New Roman" w:eastAsia="SimSu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color w:val="000000"/>
          <w:sz w:val="24"/>
        </w:rPr>
        <w:t>NIHSS:National Institute of Health stroke scale; ASPECT:Alberta Stroke Program Early CT; eTICI:extended thrombolysis in cerebral infarction; CI: Confidence interval;  AUC:Area under curve.</w:t>
      </w:r>
    </w:p>
    <w:p w14:paraId="3DED75CE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9CD243F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2DF45882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11F441F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6293E9FC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F846467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750CA6E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016C8DF8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3C8F1BAA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92527E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01793B8A" w14:textId="77777777" w:rsidR="005405E2" w:rsidRPr="009C7379" w:rsidRDefault="009C7379">
      <w:pPr>
        <w:rPr>
          <w:rFonts w:ascii="Times New Roman" w:eastAsia="SimSu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color w:val="000000"/>
          <w:sz w:val="24"/>
        </w:rPr>
        <w:lastRenderedPageBreak/>
        <w:drawing>
          <wp:inline distT="0" distB="0" distL="114300" distR="114300" wp14:anchorId="135B1CEE" wp14:editId="29719EEB">
            <wp:extent cx="5274310" cy="2286000"/>
            <wp:effectExtent l="0" t="0" r="8890" b="0"/>
            <wp:docPr id="3" name="图片 3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D674" w14:textId="77777777" w:rsidR="005405E2" w:rsidRPr="009C7379" w:rsidRDefault="009C7379">
      <w:pPr>
        <w:rPr>
          <w:rFonts w:ascii="Times New Roman" w:eastAsia="SimSu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Supplementary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Figure 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>2</w:t>
      </w:r>
    </w:p>
    <w:p w14:paraId="1948F843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1F68D255" w14:textId="77777777" w:rsidR="005405E2" w:rsidRPr="009C7379" w:rsidRDefault="009C7379">
      <w:pPr>
        <w:widowControl/>
        <w:jc w:val="left"/>
        <w:rPr>
          <w:rFonts w:ascii="Times New Roman" w:eastAsia="SimSu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Supplementary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Figure 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>2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: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 xml:space="preserve"> Distribution of mRS scores for patients with and without cerebral herniation at 3 months after mechanical thrombectomy.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 xml:space="preserve">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>3 months after mechanical thrombectomy, the proportion of mRS score ≤ 2 in patients with cerebral herniation was significantly lower than that in patients without cerebral herniation.</w:t>
      </w:r>
    </w:p>
    <w:p w14:paraId="1359DA9D" w14:textId="77777777" w:rsidR="005405E2" w:rsidRPr="009C7379" w:rsidRDefault="009C7379">
      <w:pPr>
        <w:rPr>
          <w:rFonts w:ascii="Times New Roman" w:eastAsia="SimSu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color w:val="000000"/>
          <w:sz w:val="24"/>
        </w:rPr>
        <w:t>mRS: modified Rankin scale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>.</w:t>
      </w:r>
    </w:p>
    <w:p w14:paraId="79247F0D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082B1F42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795AD6B4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2CEBAC48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683D076B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085275BB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5E7B42F3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39C45113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3B6715DA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7CBE1EC3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24AF257D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6E3DEF9E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591E7DFA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01D3CA26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34FEBD9E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2BBD1784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103BE784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652D6E25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1AE76E51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3B7FC9FB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307470A3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7E11D781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0D857C35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54FAB8F9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3196F961" w14:textId="77777777" w:rsidR="005405E2" w:rsidRPr="009C7379" w:rsidRDefault="005405E2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14:paraId="07E9DEAD" w14:textId="77777777" w:rsidR="005405E2" w:rsidRPr="009C7379" w:rsidRDefault="009C7379">
      <w:pPr>
        <w:rPr>
          <w:rFonts w:ascii="Times New Roma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lastRenderedPageBreak/>
        <w:t>Supplementary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Table 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>1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: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 xml:space="preserve"> Baseline clinical data of patients with normal and elevated emergency preoperative plasma D-dimer levels with AIS due to anterior circulation occlusion of large blood vessels</w:t>
      </w:r>
    </w:p>
    <w:tbl>
      <w:tblPr>
        <w:tblpPr w:leftFromText="180" w:rightFromText="180" w:vertAnchor="text" w:horzAnchor="page" w:tblpX="823" w:tblpY="431"/>
        <w:tblOverlap w:val="never"/>
        <w:tblW w:w="11033" w:type="dxa"/>
        <w:tblLayout w:type="fixed"/>
        <w:tblLook w:val="04A0" w:firstRow="1" w:lastRow="0" w:firstColumn="1" w:lastColumn="0" w:noHBand="0" w:noVBand="1"/>
      </w:tblPr>
      <w:tblGrid>
        <w:gridCol w:w="2713"/>
        <w:gridCol w:w="2572"/>
        <w:gridCol w:w="2456"/>
        <w:gridCol w:w="2429"/>
        <w:gridCol w:w="863"/>
      </w:tblGrid>
      <w:tr w:rsidR="005405E2" w:rsidRPr="009C7379" w14:paraId="72BF6FCA" w14:textId="77777777">
        <w:trPr>
          <w:trHeight w:val="280"/>
        </w:trPr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103D8F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Variables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165EF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All patients (n=278)</w:t>
            </w:r>
          </w:p>
        </w:tc>
        <w:tc>
          <w:tcPr>
            <w:tcW w:w="2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945A5D5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D-dimer normal</w:t>
            </w: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(n=78)</w:t>
            </w:r>
          </w:p>
        </w:tc>
        <w:tc>
          <w:tcPr>
            <w:tcW w:w="2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F7CB7F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D-dimer elevation (</w:t>
            </w: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n=200)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46AF4A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 value</w:t>
            </w:r>
          </w:p>
        </w:tc>
      </w:tr>
      <w:tr w:rsidR="005405E2" w:rsidRPr="009C7379" w14:paraId="731AA33A" w14:textId="77777777">
        <w:trPr>
          <w:trHeight w:val="56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8448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Age, years, (mean ± standard deviation)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F8737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66.59±11.64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30048" w14:textId="77777777" w:rsidR="005405E2" w:rsidRPr="009C7379" w:rsidRDefault="009C737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61.08±9.45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7F95" w14:textId="77777777" w:rsidR="005405E2" w:rsidRPr="009C7379" w:rsidRDefault="009C737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68.74±11.73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3E2B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＜</w:t>
            </w: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</w:tr>
      <w:tr w:rsidR="005405E2" w:rsidRPr="009C7379" w14:paraId="6F8D14D6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4DD5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Gender, Male,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BEA0F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184(66.19)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F15AB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58(74.36)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2141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126(63.00)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962C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0.072 </w:t>
            </w:r>
          </w:p>
        </w:tc>
      </w:tr>
      <w:tr w:rsidR="005405E2" w:rsidRPr="009C7379" w14:paraId="2125AA4D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5438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Medical History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BD679" w14:textId="77777777" w:rsidR="005405E2" w:rsidRPr="009C7379" w:rsidRDefault="005405E2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D0A5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5156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32C5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4C8BFD05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313D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Hypertension,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C8D46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145(52.16)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876D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38(48.72)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C4800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107(53.50)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F4F4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0.473 </w:t>
            </w:r>
          </w:p>
        </w:tc>
      </w:tr>
      <w:tr w:rsidR="005405E2" w:rsidRPr="009C7379" w14:paraId="754E3E02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6947D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Diabetes,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B59ED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55(19.78)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59CC1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21(26.92)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B992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34(17.00)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CBD3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0.062 </w:t>
            </w:r>
          </w:p>
        </w:tc>
      </w:tr>
      <w:tr w:rsidR="005405E2" w:rsidRPr="009C7379" w14:paraId="44B3D83A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DC331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Cerebral infarction,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6215F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41(14.75)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E292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15(19.23)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E990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26(13.00)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6E9CB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0.188 </w:t>
            </w:r>
          </w:p>
        </w:tc>
      </w:tr>
      <w:tr w:rsidR="005405E2" w:rsidRPr="009C7379" w14:paraId="2D16AADF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B0DD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Coronary heart disease,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F2370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40(14.39)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3ED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6(7.69)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B0FC1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34(17.00)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41F1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0.047 </w:t>
            </w:r>
          </w:p>
        </w:tc>
      </w:tr>
      <w:tr w:rsidR="005405E2" w:rsidRPr="009C7379" w14:paraId="6FDDF459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EB33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Atrial fibrillation,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CFA97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59(21.22)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63E62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7(8.97)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4130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52(26.00)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B2D84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0.002 </w:t>
            </w:r>
          </w:p>
        </w:tc>
      </w:tr>
      <w:tr w:rsidR="005405E2" w:rsidRPr="009C7379" w14:paraId="2AC3E8CA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DA8B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Smoking,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3C2AB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110(39.57)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FC821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37(47.44)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61B2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73(36.50)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9BCFD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0.094 </w:t>
            </w:r>
          </w:p>
        </w:tc>
      </w:tr>
      <w:tr w:rsidR="005405E2" w:rsidRPr="009C7379" w14:paraId="525E41AD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64DAC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Drinking,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E937B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63(22.66)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A0EA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16(20.51)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F292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47(23.50)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7A268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0.593 </w:t>
            </w:r>
          </w:p>
        </w:tc>
      </w:tr>
      <w:tr w:rsidR="005405E2" w:rsidRPr="009C7379" w14:paraId="2C69AC55" w14:textId="77777777">
        <w:trPr>
          <w:trHeight w:val="56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A782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mRS score before onset, (mean ± standard deviation)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FE54D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0.10±0.42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CAE36" w14:textId="77777777" w:rsidR="005405E2" w:rsidRPr="009C7379" w:rsidRDefault="009C737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0.08±0.35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4358A" w14:textId="77777777" w:rsidR="005405E2" w:rsidRPr="009C7379" w:rsidRDefault="009C737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0.12±0.45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6ECDD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0.485 </w:t>
            </w:r>
          </w:p>
        </w:tc>
      </w:tr>
      <w:tr w:rsidR="005405E2" w:rsidRPr="009C7379" w14:paraId="6A444966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50EBF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The situation at the onset of stroke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3955E" w14:textId="77777777" w:rsidR="005405E2" w:rsidRPr="009C7379" w:rsidRDefault="005405E2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2B36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49E64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D521F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26B84C68" w14:textId="77777777">
        <w:trPr>
          <w:trHeight w:val="56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0BB9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NIHSS score at onset, </w:t>
            </w: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median (IQR)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9CBD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12.00(10.00-16.00)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39EB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11.00(8.75-14.00)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0D067" w14:textId="77777777" w:rsidR="005405E2" w:rsidRPr="009C7379" w:rsidRDefault="009C737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13.00(10.00-16.00)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C5B3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0.012 </w:t>
            </w:r>
          </w:p>
        </w:tc>
      </w:tr>
      <w:tr w:rsidR="005405E2" w:rsidRPr="009C7379" w14:paraId="7827F0C2" w14:textId="77777777">
        <w:trPr>
          <w:trHeight w:val="56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7E63C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Preoperative ASPECT score, median (IQR)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844F7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7.00(7.00-9.00)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A845" w14:textId="77777777" w:rsidR="005405E2" w:rsidRPr="009C7379" w:rsidRDefault="009C737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8.00(7.00-9.00)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5886" w14:textId="77777777" w:rsidR="005405E2" w:rsidRPr="009C7379" w:rsidRDefault="009C737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7.00(7.00-8.00)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F774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0.011 </w:t>
            </w:r>
          </w:p>
        </w:tc>
      </w:tr>
      <w:tr w:rsidR="005405E2" w:rsidRPr="009C7379" w14:paraId="53B3A14E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C3797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Location of occluded blood vessels,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721A" w14:textId="77777777" w:rsidR="005405E2" w:rsidRPr="009C7379" w:rsidRDefault="005405E2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058C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84E0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A8E59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0.031 </w:t>
            </w:r>
          </w:p>
        </w:tc>
      </w:tr>
      <w:tr w:rsidR="005405E2" w:rsidRPr="009C7379" w14:paraId="6262B66B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0174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M1 segment of middle </w:t>
            </w: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cerebral artery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F38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125(44.96)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C56B2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38(48.72)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6E31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87(43.50)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25D9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7E401BFD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16BC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Middle cerebral artery M2 segment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E31C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20(7.19)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15A0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10(12.82)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8AC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10(5.00)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73C6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28FC1A81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EA76D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Internal carotid artery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9FDCE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38(13.67)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8F6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10(12.82)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DB1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28(14.00)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4961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5B34840A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1A1E6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Anterior cerebral artery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E8FE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1(0.36)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33C7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1(1.28)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026F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0(0)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1436C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2D73D10A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4C9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Anterior circulation tandem </w:t>
            </w: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lesion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86E2E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94(33.81)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BF31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19(24.36)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849A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75(37.50)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04ED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436C86D4" w14:textId="77777777">
        <w:trPr>
          <w:trHeight w:val="56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7376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Collateral circulation score of ASTIN/SIR, median (IQR)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9BA0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3.00(2.00-3.00)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012DA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3.00(2.00-3.00)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2B3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2.00(2.00-3.00)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66D51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0.026 </w:t>
            </w:r>
          </w:p>
        </w:tc>
      </w:tr>
      <w:tr w:rsidR="005405E2" w:rsidRPr="009C7379" w14:paraId="32265512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D5B0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eTICI grading,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986CA" w14:textId="77777777" w:rsidR="005405E2" w:rsidRPr="009C7379" w:rsidRDefault="005405E2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C128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0A33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2B3C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0.875 </w:t>
            </w:r>
          </w:p>
        </w:tc>
      </w:tr>
      <w:tr w:rsidR="005405E2" w:rsidRPr="009C7379" w14:paraId="7457C8F7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A56D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2b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1BAD6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59(21.22)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89F3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15(19.23)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DD976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44(22.00)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C67D2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5702E8DF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983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2c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C382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18(6.47)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354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5(6.41)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E9F1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13(6.50)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593C7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099E2F9B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C99F7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B623C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201(72.30)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78E8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58(74.36)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1F57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143(71.50)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3C3F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344593B1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5044F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Pathogenesis</w:t>
            </w: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30A9D" w14:textId="77777777" w:rsidR="005405E2" w:rsidRPr="009C7379" w:rsidRDefault="005405E2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008D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010E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5C23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0.004 </w:t>
            </w:r>
          </w:p>
        </w:tc>
      </w:tr>
      <w:tr w:rsidR="005405E2" w:rsidRPr="009C7379" w14:paraId="2EDC3C39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FB33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Atherosclerotic type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AE426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121(43.53)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F753A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40(51.28)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0E95E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81(40.50)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96F0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34D70929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F11AD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Cardiogenic embolism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5F1D0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91(32.73)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9BD8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14(17.95)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97ACC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77(38.50)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A8F9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6BB65C9C" w14:textId="77777777">
        <w:trPr>
          <w:trHeight w:val="280"/>
        </w:trPr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874648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Other causes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A01093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66(23.74)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A897C3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24(30.77)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D3152B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42(21.00)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9DFD9E2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</w:tbl>
    <w:p w14:paraId="4E0BBEA3" w14:textId="77777777" w:rsidR="005405E2" w:rsidRPr="009C7379" w:rsidRDefault="009C7379">
      <w:pPr>
        <w:rPr>
          <w:rFonts w:ascii="Times New Roman" w:eastAsia="SimSun" w:hAnsi="Times New Roman" w:cs="Times New Roman"/>
          <w:color w:val="000000"/>
          <w:sz w:val="26"/>
          <w:szCs w:val="26"/>
        </w:rPr>
      </w:pPr>
      <w:r w:rsidRPr="009C7379">
        <w:rPr>
          <w:rFonts w:ascii="Times New Roman" w:eastAsia="SimSun" w:hAnsi="Times New Roman" w:cs="Times New Roman"/>
          <w:color w:val="000000"/>
          <w:sz w:val="24"/>
        </w:rPr>
        <w:t>AIS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 xml:space="preserve">:Acute ischemic stroke;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>mRS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 xml:space="preserve">: modified Rankin scale; </w:t>
      </w:r>
      <w:r w:rsidRPr="009C7379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NIHSS</w:t>
      </w:r>
      <w:r w:rsidRPr="009C7379">
        <w:rPr>
          <w:rFonts w:ascii="Times New Roman" w:eastAsia="SimSun" w:hAnsi="Times New Roman" w:cs="Times New Roman" w:hint="eastAsia"/>
          <w:color w:val="000000"/>
          <w:kern w:val="0"/>
          <w:sz w:val="24"/>
          <w:lang w:bidi="ar"/>
        </w:rPr>
        <w:t>:</w:t>
      </w:r>
      <w:r w:rsidRPr="009C7379">
        <w:rPr>
          <w:rFonts w:ascii="Times New Roman" w:eastAsia="SimSun" w:hAnsi="Times New Roman" w:cs="Times New Roman"/>
          <w:color w:val="000000"/>
          <w:sz w:val="26"/>
          <w:szCs w:val="26"/>
        </w:rPr>
        <w:t>National Institute of Health stroke scale</w:t>
      </w:r>
      <w:r w:rsidRPr="009C7379">
        <w:rPr>
          <w:rFonts w:ascii="Times New Roman" w:eastAsia="SimSun" w:hAnsi="Times New Roman" w:cs="Times New Roman" w:hint="eastAsia"/>
          <w:color w:val="000000"/>
          <w:sz w:val="26"/>
          <w:szCs w:val="26"/>
        </w:rPr>
        <w:t xml:space="preserve">;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>ASPECT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>:</w:t>
      </w:r>
      <w:r w:rsidRPr="009C7379">
        <w:rPr>
          <w:rFonts w:ascii="Times New Roman" w:eastAsia="SimSun" w:hAnsi="Times New Roman" w:cs="Times New Roman"/>
          <w:color w:val="000000"/>
          <w:sz w:val="26"/>
          <w:szCs w:val="26"/>
        </w:rPr>
        <w:t>Alberta Stroke Program Early CT</w:t>
      </w:r>
      <w:r w:rsidRPr="009C7379">
        <w:rPr>
          <w:rFonts w:ascii="Times New Roman" w:eastAsia="SimSun" w:hAnsi="Times New Roman" w:cs="Times New Roman" w:hint="eastAsia"/>
          <w:color w:val="000000"/>
          <w:sz w:val="26"/>
          <w:szCs w:val="26"/>
        </w:rPr>
        <w:t xml:space="preserve">; 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>ASTIN/SIR:</w:t>
      </w:r>
      <w:r w:rsidRPr="009C7379">
        <w:rPr>
          <w:rFonts w:ascii="Times New Roman" w:eastAsia="SimSun" w:hAnsi="Times New Roman" w:cs="Times New Roman"/>
          <w:color w:val="000000"/>
          <w:sz w:val="26"/>
          <w:szCs w:val="26"/>
        </w:rPr>
        <w:t>American Society of Interventional and Therapeutic Neuroradiology/Society of Interventional Radiology</w:t>
      </w:r>
      <w:r w:rsidRPr="009C7379">
        <w:rPr>
          <w:rFonts w:ascii="Times New Roman" w:eastAsia="SimSun" w:hAnsi="Times New Roman" w:cs="Times New Roman" w:hint="eastAsia"/>
          <w:color w:val="000000"/>
          <w:sz w:val="26"/>
          <w:szCs w:val="26"/>
        </w:rPr>
        <w:t xml:space="preserve">;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>eTICI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>:</w:t>
      </w:r>
      <w:r w:rsidRPr="009C7379">
        <w:rPr>
          <w:rFonts w:ascii="Times New Roman" w:eastAsia="SimSun" w:hAnsi="Times New Roman" w:cs="Times New Roman"/>
          <w:color w:val="000000"/>
          <w:sz w:val="26"/>
          <w:szCs w:val="26"/>
        </w:rPr>
        <w:t>extended thrombolysis in cerebral infarction</w:t>
      </w:r>
      <w:r w:rsidRPr="009C7379">
        <w:rPr>
          <w:rFonts w:ascii="Times New Roman" w:eastAsia="SimSun" w:hAnsi="Times New Roman" w:cs="Times New Roman" w:hint="eastAsia"/>
          <w:color w:val="000000"/>
          <w:sz w:val="26"/>
          <w:szCs w:val="26"/>
        </w:rPr>
        <w:t>.</w:t>
      </w:r>
    </w:p>
    <w:p w14:paraId="339D57B2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6"/>
          <w:szCs w:val="26"/>
        </w:rPr>
      </w:pPr>
    </w:p>
    <w:p w14:paraId="363A1165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6CBA1F56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3B5129A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33B84FAD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40D56F6C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7205853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0EE95D0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29A33043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747F35D4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4F410EC2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0DE0155A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689FCE3F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5B83BB3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17D722B0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335A798D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30F5F83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6740B963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3914EF85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73359203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692F6EF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BC1709E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270A4AA5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0DE6F56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00621674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4E041C4F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0EBED713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4A4DA3A2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1F8B4C61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3DFDE680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0809E5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7147EB70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6F20147B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3CBEA8FF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79661148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p w14:paraId="5BB1DE68" w14:textId="77777777" w:rsidR="005405E2" w:rsidRPr="009C7379" w:rsidRDefault="009C7379">
      <w:pPr>
        <w:rPr>
          <w:rFonts w:ascii="Times New Roma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lastRenderedPageBreak/>
        <w:t>Supplementary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Table</w:t>
      </w:r>
      <w:r w:rsidRPr="009C737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2</w:t>
      </w:r>
      <w:r w:rsidRPr="009C7379">
        <w:rPr>
          <w:rFonts w:ascii="Times New Roman" w:eastAsia="SimSun" w:hAnsi="Times New Roman" w:cs="Times New Roman"/>
          <w:b/>
          <w:bCs/>
          <w:color w:val="000000"/>
          <w:sz w:val="24"/>
        </w:rPr>
        <w:t>: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 xml:space="preserve"> Univariate and multivariate logistic regression analysis of patients with elevated emergency preoperative plasma D-dimer levels</w:t>
      </w:r>
    </w:p>
    <w:tbl>
      <w:tblPr>
        <w:tblW w:w="9530" w:type="dxa"/>
        <w:tblInd w:w="98" w:type="dxa"/>
        <w:tblLook w:val="04A0" w:firstRow="1" w:lastRow="0" w:firstColumn="1" w:lastColumn="0" w:noHBand="0" w:noVBand="1"/>
      </w:tblPr>
      <w:tblGrid>
        <w:gridCol w:w="1696"/>
        <w:gridCol w:w="1189"/>
        <w:gridCol w:w="1540"/>
        <w:gridCol w:w="996"/>
        <w:gridCol w:w="227"/>
        <w:gridCol w:w="1234"/>
        <w:gridCol w:w="1677"/>
        <w:gridCol w:w="996"/>
      </w:tblGrid>
      <w:tr w:rsidR="005405E2" w:rsidRPr="009C7379" w14:paraId="4F8A2C12" w14:textId="77777777">
        <w:trPr>
          <w:trHeight w:val="280"/>
        </w:trPr>
        <w:tc>
          <w:tcPr>
            <w:tcW w:w="18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E214F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Variables</w:t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B243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Univariate analysis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70A8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BF57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multivariate analysis</w:t>
            </w:r>
          </w:p>
        </w:tc>
      </w:tr>
      <w:tr w:rsidR="005405E2" w:rsidRPr="009C7379" w14:paraId="15BC6626" w14:textId="77777777">
        <w:trPr>
          <w:trHeight w:val="280"/>
        </w:trPr>
        <w:tc>
          <w:tcPr>
            <w:tcW w:w="18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C9829D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A46CDF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F16474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95%CI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A7A4E0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 value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01C3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E96E42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379A57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95%CI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28D692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 value</w:t>
            </w:r>
          </w:p>
        </w:tc>
      </w:tr>
      <w:tr w:rsidR="005405E2" w:rsidRPr="009C7379" w14:paraId="6BCC1E1D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781BD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29DE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80D60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1.035-1.089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1316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＜</w:t>
            </w: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70C87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9991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398C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1.030-1.090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A2F2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＜</w:t>
            </w: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</w:tr>
      <w:tr w:rsidR="005405E2" w:rsidRPr="009C7379" w14:paraId="75E16C0B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C36A6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Coronary heart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93860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2.458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48BF3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0.988-6.111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B148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3065A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7373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EAED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725E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482FA8B5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AD16A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Atrial fibrillation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AD3F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3.564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30647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1.541-8.241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4BB12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95CE3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D1E8D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1.841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AF8A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0.580-5.837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E9F9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0.300 </w:t>
            </w:r>
          </w:p>
        </w:tc>
      </w:tr>
      <w:tr w:rsidR="005405E2" w:rsidRPr="009C7379" w14:paraId="7AA353F2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80AE2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NIHSS score at onset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665DB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E4FA8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1.000-1.108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DCB7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158C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9771F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BC33E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0.941-1.057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DF956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0.923 </w:t>
            </w:r>
          </w:p>
        </w:tc>
      </w:tr>
      <w:tr w:rsidR="005405E2" w:rsidRPr="009C7379" w14:paraId="7AF94493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866EB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 xml:space="preserve">Preoperative ASPECT </w:t>
            </w: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36E4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0.761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3836C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0.612-0.946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A1B9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07BA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5C64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01881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0.606-1.107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0532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0.194 </w:t>
            </w:r>
          </w:p>
        </w:tc>
      </w:tr>
      <w:tr w:rsidR="005405E2" w:rsidRPr="009C7379" w14:paraId="5BF903F2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8AD85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Location of occluded blood vessels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935E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64FF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818B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BBD0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0064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9D079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F8B20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1E3CE49C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93307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M1 segment of middle cerebral artery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84C3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F1FF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CB694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17AB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D509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92E9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C9EB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263251B1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AFCE8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Middle cerebral artery M2 segment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07A8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3746C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0.168-1.136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3C83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2902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E0D24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E8A2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5E6D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4B31DF44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4C1D3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Internal carotid artery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A347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BCB9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0.541-2.767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EE8F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A668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E867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A4BC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C106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146B2E62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F169C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Anterior cerebral artery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2F86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DAC9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0.000-0.000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FFD9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715D4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D325E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21D83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2EA82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5B0B5595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F1F12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Anterior circulation tandem lesion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DB98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018FB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0.917-3.242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28F4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F00D4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A1B4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4451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ADAA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4B26EA02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F14A9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sz w:val="24"/>
              </w:rPr>
              <w:t>Collateral circulation score of ASTIN/SIR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887EF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D549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0.510-0.976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15ED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81F15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3761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25A67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0.571-1.357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1D46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0.564 </w:t>
            </w:r>
          </w:p>
        </w:tc>
      </w:tr>
      <w:tr w:rsidR="005405E2" w:rsidRPr="009C7379" w14:paraId="65387B8A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C37ED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Pathogenesis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59D6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53F4E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A8800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03ACC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72F0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17F6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09BE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639EC7E1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83BD8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Atherosclerotic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97B9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6E46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433A4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0DF9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AB271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809B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E6ED5" w14:textId="77777777" w:rsidR="005405E2" w:rsidRPr="009C7379" w:rsidRDefault="005405E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405E2" w:rsidRPr="009C7379" w14:paraId="1CDDCC76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6EF28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Cardiogenic embolism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1CB5D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2.716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95F6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1.371-5.382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DCC6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9309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AAE6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1.428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7D8F4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0.558-3.658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AC03D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0.458</w:t>
            </w:r>
          </w:p>
        </w:tc>
      </w:tr>
      <w:tr w:rsidR="005405E2" w:rsidRPr="009C7379" w14:paraId="21E9426F" w14:textId="77777777">
        <w:trPr>
          <w:trHeight w:val="280"/>
        </w:trPr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99EB7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Other causes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4A8FC6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0.864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97A68BC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0.461-1.620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10CAEA" w14:textId="77777777" w:rsidR="005405E2" w:rsidRPr="009C7379" w:rsidRDefault="009C737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0.649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454BF3" w14:textId="77777777" w:rsidR="005405E2" w:rsidRPr="009C7379" w:rsidRDefault="005405E2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7F740F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1.290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942191" w14:textId="77777777" w:rsidR="005405E2" w:rsidRPr="009C7379" w:rsidRDefault="009C737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0.636-2.617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D88168" w14:textId="77777777" w:rsidR="005405E2" w:rsidRPr="009C7379" w:rsidRDefault="009C737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C737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0.481</w:t>
            </w:r>
          </w:p>
        </w:tc>
      </w:tr>
    </w:tbl>
    <w:p w14:paraId="0CA65306" w14:textId="77777777" w:rsidR="005405E2" w:rsidRPr="009C7379" w:rsidRDefault="009C7379">
      <w:pPr>
        <w:rPr>
          <w:rFonts w:ascii="Times New Roman" w:eastAsia="SimSun" w:hAnsi="Times New Roman" w:cs="Times New Roman"/>
          <w:color w:val="000000"/>
          <w:sz w:val="24"/>
        </w:rPr>
      </w:pPr>
      <w:r w:rsidRPr="009C7379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NIHSS: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 xml:space="preserve">National Institute of Health stroke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>scale; ASPECT:Alberta Stroke Program Early CT; ASTIN/SIR:American Society of Interventional and Therapeutic Neuroradiology/Society of Interventional Radiology;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 xml:space="preserve"> </w:t>
      </w:r>
      <w:r w:rsidRPr="009C7379">
        <w:rPr>
          <w:rFonts w:ascii="Times New Roman" w:eastAsia="SimSun" w:hAnsi="Times New Roman" w:cs="Times New Roman"/>
          <w:color w:val="000000"/>
          <w:sz w:val="24"/>
        </w:rPr>
        <w:t>CI: Confidence interval</w:t>
      </w:r>
      <w:r w:rsidRPr="009C7379">
        <w:rPr>
          <w:rFonts w:ascii="Times New Roman" w:eastAsia="SimSun" w:hAnsi="Times New Roman" w:cs="Times New Roman" w:hint="eastAsia"/>
          <w:color w:val="000000"/>
          <w:sz w:val="24"/>
        </w:rPr>
        <w:t>.</w:t>
      </w:r>
    </w:p>
    <w:p w14:paraId="63CBD795" w14:textId="77777777" w:rsidR="005405E2" w:rsidRPr="009C7379" w:rsidRDefault="005405E2">
      <w:pPr>
        <w:rPr>
          <w:rFonts w:ascii="Times New Roman" w:eastAsia="SimSun" w:hAnsi="Times New Roman" w:cs="Times New Roman"/>
          <w:color w:val="000000"/>
          <w:sz w:val="24"/>
        </w:rPr>
      </w:pPr>
    </w:p>
    <w:sectPr w:rsidR="005405E2" w:rsidRPr="009C7379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084A2" w14:textId="77777777" w:rsidR="00ED2E6D" w:rsidRDefault="00ED2E6D">
      <w:r>
        <w:separator/>
      </w:r>
    </w:p>
  </w:endnote>
  <w:endnote w:type="continuationSeparator" w:id="0">
    <w:p w14:paraId="18421446" w14:textId="77777777" w:rsidR="00ED2E6D" w:rsidRDefault="00ED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D775" w14:textId="555FC1F4" w:rsidR="00143CF8" w:rsidRDefault="00143C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A0975D" wp14:editId="30A25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63477998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B63FE" w14:textId="50F7C158" w:rsidR="00143CF8" w:rsidRPr="00143CF8" w:rsidRDefault="00143CF8" w:rsidP="00143C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43C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097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15BB63FE" w14:textId="50F7C158" w:rsidR="00143CF8" w:rsidRPr="00143CF8" w:rsidRDefault="00143CF8" w:rsidP="00143C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43C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13F70" w14:textId="6C183561" w:rsidR="005405E2" w:rsidRDefault="00143C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C4CE42" wp14:editId="71EDB01D">
              <wp:simplePos x="1144988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93328419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425CE" w14:textId="7AFAFE10" w:rsidR="00143CF8" w:rsidRPr="00143CF8" w:rsidRDefault="00143CF8" w:rsidP="00143C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43C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4CE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margin-left:0;margin-top:0;width:163.55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171425CE" w14:textId="7AFAFE10" w:rsidR="00143CF8" w:rsidRPr="00143CF8" w:rsidRDefault="00143CF8" w:rsidP="00143C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43C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F9BD0D" wp14:editId="78D66B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C38D5" w14:textId="77777777" w:rsidR="005405E2" w:rsidRDefault="009C737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9BD0D" id="文本框 4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54DC38D5" w14:textId="77777777" w:rsidR="005405E2" w:rsidRDefault="009C737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3960" w14:textId="6DF35354" w:rsidR="00143CF8" w:rsidRDefault="00143C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D0BA0C" wp14:editId="047A52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604265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22A09" w14:textId="25E3A13E" w:rsidR="00143CF8" w:rsidRPr="00143CF8" w:rsidRDefault="00143CF8" w:rsidP="00143C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43C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0BA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iIEw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NRYf26+gPuFUDoaFe8s3LZbeMh+emcMN4yCo&#10;2vCEh1TQlRTOiJIG3I+/2WM8Eo9eSjpUTEkNSpoS9c3gQmaLeZ5HhaUbAjeCKoHp53wR/eag7wHF&#10;OMV3YXmCMTioEUoH+hVFvY7V0MUMx5olrUZ4Hwb94qPgYr1OQSgmy8LW7CyPqSNnkdCX/pU5e2Y9&#10;4L4eYdQUK96QP8TGP71dHwKuIG0m8juweaYdhZh2e340Uem/3lPU9WmvfgI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MBSGIg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7A122A09" w14:textId="25E3A13E" w:rsidR="00143CF8" w:rsidRPr="00143CF8" w:rsidRDefault="00143CF8" w:rsidP="00143C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43C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F00E1" w14:textId="77777777" w:rsidR="00ED2E6D" w:rsidRDefault="00ED2E6D">
      <w:r>
        <w:separator/>
      </w:r>
    </w:p>
  </w:footnote>
  <w:footnote w:type="continuationSeparator" w:id="0">
    <w:p w14:paraId="76F24D23" w14:textId="77777777" w:rsidR="00ED2E6D" w:rsidRDefault="00ED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5E2"/>
    <w:rsid w:val="00143CF8"/>
    <w:rsid w:val="005405E2"/>
    <w:rsid w:val="009C7379"/>
    <w:rsid w:val="00E15DD1"/>
    <w:rsid w:val="00ED2E6D"/>
    <w:rsid w:val="04651CD8"/>
    <w:rsid w:val="04A647CA"/>
    <w:rsid w:val="0EF6634E"/>
    <w:rsid w:val="118714DF"/>
    <w:rsid w:val="158845FA"/>
    <w:rsid w:val="1A9609E5"/>
    <w:rsid w:val="237815D0"/>
    <w:rsid w:val="252C08C4"/>
    <w:rsid w:val="26243EE0"/>
    <w:rsid w:val="26B65C8C"/>
    <w:rsid w:val="36D47B1E"/>
    <w:rsid w:val="4242307D"/>
    <w:rsid w:val="49A21DA1"/>
    <w:rsid w:val="5CE84AF5"/>
    <w:rsid w:val="76C27D0D"/>
    <w:rsid w:val="783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C7A3B"/>
  <w15:docId w15:val="{3BA2CF47-83DF-4F97-9129-ECC5A6E3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neurozws</dc:creator>
  <cp:lastModifiedBy>Khanapur, Soumya</cp:lastModifiedBy>
  <cp:revision>2</cp:revision>
  <dcterms:created xsi:type="dcterms:W3CDTF">2024-11-26T18:07:00Z</dcterms:created>
  <dcterms:modified xsi:type="dcterms:W3CDTF">2024-11-26T18:07:00Z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206E2E7F988A4DB7BF0A73D49AC6E7C1_12</vt:lpwstr>
  </property>
  <property fmtid="{D5CDD505-2E9C-101B-9397-08002B2CF9AE}" pid="4" name="ClassificationContentMarkingFooterShapeIds">
    <vt:lpwstr>1b718d0a,15aa3bee,4d16a023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2024-11-26T06:28:42Z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427451ad-4627-45c5-befa-dac6fdebd308</vt:lpwstr>
  </property>
  <property fmtid="{D5CDD505-2E9C-101B-9397-08002B2CF9AE}" pid="13" name="MSIP_Label_2bbab825-a111-45e4-86a1-18cee0005896_ContentBits">
    <vt:lpwstr>2</vt:lpwstr>
  </property>
</Properties>
</file>