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C714D" w14:textId="1231D3B2" w:rsidR="0097524E" w:rsidRPr="0097524E" w:rsidRDefault="0097524E" w:rsidP="0097524E">
      <w:pPr>
        <w:pStyle w:val="MDPI12title"/>
        <w:spacing w:line="360" w:lineRule="auto"/>
        <w:jc w:val="center"/>
        <w:rPr>
          <w:rStyle w:val="cf01"/>
          <w:rFonts w:asciiTheme="majorBidi" w:hAnsiTheme="majorBidi" w:cstheme="majorBidi"/>
          <w:sz w:val="24"/>
          <w:szCs w:val="24"/>
          <w:u w:val="single"/>
        </w:rPr>
      </w:pPr>
      <w:r w:rsidRPr="0097524E">
        <w:rPr>
          <w:rStyle w:val="cf01"/>
          <w:rFonts w:asciiTheme="majorBidi" w:hAnsiTheme="majorBidi" w:cstheme="majorBidi"/>
          <w:sz w:val="24"/>
          <w:szCs w:val="24"/>
          <w:u w:val="single"/>
        </w:rPr>
        <w:t>SUPPLEMENTARY FILE</w:t>
      </w:r>
    </w:p>
    <w:p w14:paraId="3324D40F" w14:textId="0361A17A" w:rsidR="0097524E" w:rsidRPr="00730EBB" w:rsidRDefault="0097524E" w:rsidP="0097524E">
      <w:pPr>
        <w:pStyle w:val="MDPI12title"/>
        <w:spacing w:line="360" w:lineRule="auto"/>
        <w:jc w:val="both"/>
        <w:rPr>
          <w:rFonts w:asciiTheme="majorBidi" w:hAnsiTheme="majorBidi" w:cstheme="majorBidi"/>
          <w:sz w:val="24"/>
          <w:szCs w:val="24"/>
        </w:rPr>
      </w:pPr>
      <w:r w:rsidRPr="00730EBB">
        <w:rPr>
          <w:rFonts w:ascii="Times New Roman" w:hAnsi="Times New Roman"/>
          <w:sz w:val="28"/>
          <w:szCs w:val="28"/>
        </w:rPr>
        <w:t xml:space="preserve">Development of Solid Self-Nanoemulsifying Drug Delivery System of Rhein to improve biopharmaceutical performance: </w:t>
      </w:r>
      <w:r w:rsidRPr="00730EBB">
        <w:rPr>
          <w:rFonts w:ascii="Times New Roman" w:hAnsi="Times New Roman"/>
          <w:iCs/>
          <w:sz w:val="28"/>
          <w:szCs w:val="28"/>
        </w:rPr>
        <w:t>Physiochemical</w:t>
      </w:r>
      <w:r w:rsidRPr="00730EBB">
        <w:rPr>
          <w:rFonts w:ascii="Times New Roman" w:hAnsi="Times New Roman"/>
          <w:sz w:val="28"/>
          <w:szCs w:val="28"/>
        </w:rPr>
        <w:t xml:space="preserve"> characterization, and </w:t>
      </w:r>
      <w:r w:rsidRPr="00730EBB">
        <w:rPr>
          <w:rFonts w:ascii="Times New Roman" w:hAnsi="Times New Roman"/>
          <w:iCs/>
          <w:sz w:val="28"/>
          <w:szCs w:val="28"/>
        </w:rPr>
        <w:t xml:space="preserve">Pharmacokinetic evaluation </w:t>
      </w:r>
    </w:p>
    <w:p w14:paraId="26E82070" w14:textId="77777777" w:rsidR="0097524E" w:rsidRPr="00730EBB" w:rsidRDefault="0097524E" w:rsidP="0097524E">
      <w:pPr>
        <w:spacing w:after="0" w:line="360" w:lineRule="auto"/>
        <w:jc w:val="both"/>
        <w:rPr>
          <w:rFonts w:asciiTheme="majorBidi" w:hAnsiTheme="majorBidi" w:cstheme="majorBidi"/>
          <w:color w:val="000000"/>
          <w:sz w:val="24"/>
          <w:szCs w:val="24"/>
          <w:vertAlign w:val="superscript"/>
        </w:rPr>
      </w:pPr>
      <w:r w:rsidRPr="00730EBB">
        <w:rPr>
          <w:rFonts w:asciiTheme="majorBidi" w:hAnsiTheme="majorBidi" w:cstheme="majorBidi"/>
          <w:color w:val="000000"/>
          <w:sz w:val="24"/>
          <w:szCs w:val="24"/>
        </w:rPr>
        <w:t xml:space="preserve">Sachin </w:t>
      </w:r>
      <w:proofErr w:type="spellStart"/>
      <w:r w:rsidRPr="00730EBB">
        <w:rPr>
          <w:rFonts w:asciiTheme="majorBidi" w:hAnsiTheme="majorBidi" w:cstheme="majorBidi"/>
          <w:color w:val="000000"/>
          <w:sz w:val="24"/>
          <w:szCs w:val="24"/>
        </w:rPr>
        <w:t>Mashusudan</w:t>
      </w:r>
      <w:proofErr w:type="spellEnd"/>
      <w:r w:rsidRPr="00730EBB">
        <w:rPr>
          <w:rFonts w:asciiTheme="majorBidi" w:hAnsiTheme="majorBidi" w:cstheme="majorBidi"/>
          <w:color w:val="000000"/>
          <w:sz w:val="24"/>
          <w:szCs w:val="24"/>
        </w:rPr>
        <w:t xml:space="preserve"> More</w:t>
      </w:r>
      <w:r w:rsidRPr="00730EBB">
        <w:rPr>
          <w:rFonts w:asciiTheme="majorBidi" w:hAnsiTheme="majorBidi" w:cstheme="majorBidi"/>
          <w:color w:val="000000"/>
          <w:sz w:val="24"/>
          <w:szCs w:val="24"/>
          <w:vertAlign w:val="superscript"/>
        </w:rPr>
        <w:t>1</w:t>
      </w:r>
      <w:r w:rsidRPr="00730EBB">
        <w:rPr>
          <w:rFonts w:asciiTheme="majorBidi" w:hAnsiTheme="majorBidi" w:cstheme="majorBidi"/>
          <w:color w:val="000000"/>
          <w:sz w:val="24"/>
          <w:szCs w:val="24"/>
        </w:rPr>
        <w:t>, Md Abdur Rashid</w:t>
      </w:r>
      <w:r w:rsidRPr="00730EBB">
        <w:rPr>
          <w:rFonts w:asciiTheme="majorBidi" w:hAnsiTheme="majorBidi" w:cstheme="majorBidi"/>
          <w:color w:val="000000"/>
          <w:sz w:val="24"/>
          <w:szCs w:val="24"/>
          <w:vertAlign w:val="superscript"/>
        </w:rPr>
        <w:t>2</w:t>
      </w:r>
      <w:r w:rsidRPr="00730EBB">
        <w:rPr>
          <w:rFonts w:asciiTheme="majorBidi" w:hAnsiTheme="majorBidi" w:cstheme="majorBidi"/>
          <w:color w:val="000000"/>
          <w:sz w:val="24"/>
          <w:szCs w:val="24"/>
        </w:rPr>
        <w:t>, Rohini Kharwade</w:t>
      </w:r>
      <w:r w:rsidRPr="00730EBB">
        <w:rPr>
          <w:rFonts w:asciiTheme="majorBidi" w:hAnsiTheme="majorBidi" w:cstheme="majorBidi"/>
          <w:color w:val="000000"/>
          <w:sz w:val="24"/>
          <w:szCs w:val="24"/>
          <w:vertAlign w:val="superscript"/>
        </w:rPr>
        <w:t>3</w:t>
      </w:r>
      <w:r w:rsidRPr="00730EBB">
        <w:rPr>
          <w:rFonts w:asciiTheme="majorBidi" w:hAnsiTheme="majorBidi" w:cstheme="majorBidi"/>
          <w:color w:val="000000"/>
          <w:sz w:val="24"/>
          <w:szCs w:val="24"/>
        </w:rPr>
        <w:t xml:space="preserve">, </w:t>
      </w:r>
      <w:r w:rsidRPr="00730EBB">
        <w:rPr>
          <w:rFonts w:ascii="Times New Roman" w:hAnsi="Times New Roman" w:cs="Times New Roman"/>
          <w:color w:val="000000"/>
          <w:sz w:val="24"/>
          <w:szCs w:val="24"/>
        </w:rPr>
        <w:t>Murtada Taha</w:t>
      </w:r>
      <w:r w:rsidRPr="00730EBB">
        <w:rPr>
          <w:rFonts w:ascii="Times New Roman" w:hAnsi="Times New Roman" w:cs="Times New Roman"/>
          <w:color w:val="000000"/>
          <w:sz w:val="24"/>
          <w:szCs w:val="24"/>
          <w:vertAlign w:val="superscript"/>
        </w:rPr>
        <w:t>4</w:t>
      </w:r>
      <w:r w:rsidRPr="00730EBB">
        <w:rPr>
          <w:rFonts w:asciiTheme="majorBidi" w:hAnsiTheme="majorBidi" w:cstheme="majorBidi"/>
          <w:color w:val="000000"/>
          <w:sz w:val="24"/>
          <w:szCs w:val="24"/>
        </w:rPr>
        <w:t>, Yahya Alhamhoom</w:t>
      </w:r>
      <w:r w:rsidRPr="00730EBB">
        <w:rPr>
          <w:rFonts w:asciiTheme="majorBidi" w:hAnsiTheme="majorBidi" w:cstheme="majorBidi"/>
          <w:color w:val="000000"/>
          <w:sz w:val="24"/>
          <w:szCs w:val="24"/>
          <w:vertAlign w:val="superscript"/>
        </w:rPr>
        <w:t>2</w:t>
      </w:r>
      <w:r w:rsidRPr="00730EBB">
        <w:rPr>
          <w:rFonts w:asciiTheme="majorBidi" w:hAnsiTheme="majorBidi" w:cstheme="majorBidi"/>
          <w:color w:val="000000"/>
          <w:sz w:val="24"/>
          <w:szCs w:val="24"/>
        </w:rPr>
        <w:t xml:space="preserve">, </w:t>
      </w:r>
      <w:bookmarkStart w:id="0" w:name="_Hlk151131446"/>
      <w:r w:rsidRPr="00730EBB">
        <w:rPr>
          <w:rFonts w:ascii="Times New Roman" w:hAnsi="Times New Roman" w:cs="Times New Roman"/>
          <w:color w:val="000000"/>
          <w:sz w:val="24"/>
          <w:szCs w:val="24"/>
        </w:rPr>
        <w:t>Gamal Osman Elhassan</w:t>
      </w:r>
      <w:bookmarkEnd w:id="0"/>
      <w:r w:rsidRPr="00730EBB">
        <w:rPr>
          <w:rFonts w:ascii="Times New Roman" w:hAnsi="Times New Roman" w:cs="Times New Roman"/>
          <w:color w:val="000000"/>
          <w:sz w:val="24"/>
          <w:szCs w:val="24"/>
          <w:vertAlign w:val="superscript"/>
        </w:rPr>
        <w:t>5</w:t>
      </w:r>
      <w:r w:rsidRPr="00730EBB">
        <w:rPr>
          <w:rFonts w:ascii="Times New Roman" w:hAnsi="Times New Roman" w:cs="Times New Roman"/>
          <w:color w:val="000000"/>
          <w:sz w:val="24"/>
          <w:szCs w:val="24"/>
        </w:rPr>
        <w:t xml:space="preserve">, </w:t>
      </w:r>
      <w:r w:rsidRPr="00730EBB">
        <w:rPr>
          <w:rFonts w:asciiTheme="majorBidi" w:hAnsiTheme="majorBidi" w:cstheme="majorBidi"/>
          <w:color w:val="000000"/>
          <w:sz w:val="24"/>
          <w:szCs w:val="24"/>
        </w:rPr>
        <w:t>Purushottam Gangane</w:t>
      </w:r>
      <w:r w:rsidRPr="00730EBB">
        <w:rPr>
          <w:rFonts w:asciiTheme="majorBidi" w:hAnsiTheme="majorBidi" w:cstheme="majorBidi"/>
          <w:color w:val="000000"/>
          <w:sz w:val="24"/>
          <w:szCs w:val="24"/>
          <w:vertAlign w:val="superscript"/>
        </w:rPr>
        <w:t>3</w:t>
      </w:r>
      <w:r w:rsidRPr="00730EBB">
        <w:rPr>
          <w:rFonts w:asciiTheme="majorBidi" w:hAnsiTheme="majorBidi" w:cstheme="majorBidi"/>
          <w:color w:val="000000"/>
          <w:sz w:val="24"/>
          <w:szCs w:val="24"/>
        </w:rPr>
        <w:t>, Turky Omar Asar</w:t>
      </w:r>
      <w:r w:rsidRPr="00730EBB">
        <w:rPr>
          <w:rFonts w:asciiTheme="majorBidi" w:hAnsiTheme="majorBidi" w:cstheme="majorBidi"/>
          <w:color w:val="000000"/>
          <w:sz w:val="24"/>
          <w:szCs w:val="24"/>
          <w:vertAlign w:val="superscript"/>
        </w:rPr>
        <w:t>6</w:t>
      </w:r>
      <w:r w:rsidRPr="00730EBB">
        <w:rPr>
          <w:rFonts w:asciiTheme="majorBidi" w:hAnsiTheme="majorBidi" w:cstheme="majorBidi"/>
          <w:color w:val="000000"/>
          <w:sz w:val="24"/>
          <w:szCs w:val="24"/>
        </w:rPr>
        <w:t>, Ajay Pise</w:t>
      </w:r>
      <w:r w:rsidRPr="00730EBB">
        <w:rPr>
          <w:rFonts w:asciiTheme="majorBidi" w:hAnsiTheme="majorBidi" w:cstheme="majorBidi"/>
          <w:color w:val="000000"/>
          <w:sz w:val="24"/>
          <w:szCs w:val="24"/>
          <w:vertAlign w:val="superscript"/>
        </w:rPr>
        <w:t>7</w:t>
      </w:r>
      <w:r w:rsidRPr="00730EBB">
        <w:rPr>
          <w:rFonts w:asciiTheme="majorBidi" w:hAnsiTheme="majorBidi" w:cstheme="majorBidi"/>
          <w:color w:val="000000"/>
          <w:sz w:val="24"/>
          <w:szCs w:val="24"/>
        </w:rPr>
        <w:t>, Mohammed Kaleem</w:t>
      </w:r>
      <w:r w:rsidRPr="00730EBB">
        <w:rPr>
          <w:rFonts w:asciiTheme="majorBidi" w:hAnsiTheme="majorBidi" w:cstheme="majorBidi"/>
          <w:color w:val="000000"/>
          <w:sz w:val="24"/>
          <w:szCs w:val="24"/>
          <w:vertAlign w:val="superscript"/>
        </w:rPr>
        <w:t>1#</w:t>
      </w:r>
      <w:r w:rsidRPr="00730EBB">
        <w:rPr>
          <w:rFonts w:asciiTheme="majorBidi" w:hAnsiTheme="majorBidi" w:cstheme="majorBidi"/>
          <w:color w:val="000000"/>
          <w:sz w:val="24"/>
          <w:szCs w:val="24"/>
        </w:rPr>
        <w:t xml:space="preserve">, </w:t>
      </w:r>
      <w:r w:rsidRPr="00730EBB">
        <w:rPr>
          <w:rFonts w:ascii="Times New Roman" w:hAnsi="Times New Roman" w:cs="Times New Roman"/>
          <w:color w:val="000000"/>
          <w:sz w:val="24"/>
          <w:szCs w:val="24"/>
        </w:rPr>
        <w:t>Md Ali Mujtaba</w:t>
      </w:r>
      <w:r w:rsidRPr="00730EBB">
        <w:rPr>
          <w:rFonts w:ascii="Times New Roman" w:hAnsi="Times New Roman" w:cs="Times New Roman"/>
          <w:color w:val="000000"/>
          <w:sz w:val="24"/>
          <w:szCs w:val="24"/>
          <w:vertAlign w:val="superscript"/>
        </w:rPr>
        <w:t>8,9*</w:t>
      </w:r>
    </w:p>
    <w:p w14:paraId="32312C20" w14:textId="77777777" w:rsidR="0097524E" w:rsidRPr="00730EBB" w:rsidRDefault="0097524E" w:rsidP="0097524E">
      <w:pPr>
        <w:spacing w:after="0" w:line="360" w:lineRule="auto"/>
        <w:jc w:val="both"/>
        <w:rPr>
          <w:rFonts w:asciiTheme="majorBidi" w:hAnsiTheme="majorBidi" w:cstheme="majorBidi"/>
          <w:color w:val="000000"/>
          <w:sz w:val="20"/>
          <w:szCs w:val="20"/>
        </w:rPr>
      </w:pPr>
      <w:r w:rsidRPr="00730EBB">
        <w:rPr>
          <w:rFonts w:asciiTheme="majorBidi" w:hAnsiTheme="majorBidi" w:cstheme="majorBidi"/>
          <w:color w:val="000000"/>
          <w:sz w:val="20"/>
          <w:szCs w:val="20"/>
          <w:vertAlign w:val="superscript"/>
        </w:rPr>
        <w:t>1</w:t>
      </w:r>
      <w:r w:rsidRPr="00730EBB">
        <w:rPr>
          <w:rFonts w:asciiTheme="majorBidi" w:hAnsiTheme="majorBidi" w:cstheme="majorBidi"/>
          <w:color w:val="000000"/>
          <w:sz w:val="20"/>
          <w:szCs w:val="20"/>
        </w:rPr>
        <w:t xml:space="preserve">Department of Pharmacology, Dadasaheb </w:t>
      </w:r>
      <w:proofErr w:type="spellStart"/>
      <w:r w:rsidRPr="00730EBB">
        <w:rPr>
          <w:rFonts w:asciiTheme="majorBidi" w:hAnsiTheme="majorBidi" w:cstheme="majorBidi"/>
          <w:color w:val="000000"/>
          <w:sz w:val="20"/>
          <w:szCs w:val="20"/>
        </w:rPr>
        <w:t>Balpande</w:t>
      </w:r>
      <w:proofErr w:type="spellEnd"/>
      <w:r w:rsidRPr="00730EBB">
        <w:rPr>
          <w:rFonts w:asciiTheme="majorBidi" w:hAnsiTheme="majorBidi" w:cstheme="majorBidi"/>
          <w:color w:val="000000"/>
          <w:sz w:val="20"/>
          <w:szCs w:val="20"/>
        </w:rPr>
        <w:t xml:space="preserve"> College of Pharmacy, </w:t>
      </w:r>
      <w:proofErr w:type="spellStart"/>
      <w:r w:rsidRPr="00730EBB">
        <w:rPr>
          <w:rFonts w:asciiTheme="majorBidi" w:hAnsiTheme="majorBidi" w:cstheme="majorBidi"/>
          <w:color w:val="000000"/>
          <w:sz w:val="20"/>
          <w:szCs w:val="20"/>
        </w:rPr>
        <w:t>Rashtrasant</w:t>
      </w:r>
      <w:proofErr w:type="spellEnd"/>
      <w:r w:rsidRPr="00730EBB">
        <w:rPr>
          <w:rFonts w:asciiTheme="majorBidi" w:hAnsiTheme="majorBidi" w:cstheme="majorBidi"/>
          <w:color w:val="000000"/>
          <w:sz w:val="20"/>
          <w:szCs w:val="20"/>
        </w:rPr>
        <w:t xml:space="preserve"> </w:t>
      </w:r>
      <w:proofErr w:type="spellStart"/>
      <w:r w:rsidRPr="00730EBB">
        <w:rPr>
          <w:rFonts w:asciiTheme="majorBidi" w:hAnsiTheme="majorBidi" w:cstheme="majorBidi"/>
          <w:color w:val="000000"/>
          <w:sz w:val="20"/>
          <w:szCs w:val="20"/>
        </w:rPr>
        <w:t>Tukadoji</w:t>
      </w:r>
      <w:proofErr w:type="spellEnd"/>
      <w:r w:rsidRPr="00730EBB">
        <w:rPr>
          <w:rFonts w:asciiTheme="majorBidi" w:hAnsiTheme="majorBidi" w:cstheme="majorBidi"/>
          <w:color w:val="000000"/>
          <w:sz w:val="20"/>
          <w:szCs w:val="20"/>
        </w:rPr>
        <w:t xml:space="preserve"> Maharaj Nagpur University, Nagpur-440037, </w:t>
      </w:r>
      <w:r>
        <w:rPr>
          <w:rFonts w:asciiTheme="majorBidi" w:hAnsiTheme="majorBidi" w:cstheme="majorBidi"/>
          <w:color w:val="000000"/>
          <w:sz w:val="20"/>
          <w:szCs w:val="20"/>
        </w:rPr>
        <w:t>MH</w:t>
      </w:r>
      <w:r w:rsidRPr="00730EBB">
        <w:rPr>
          <w:rFonts w:asciiTheme="majorBidi" w:hAnsiTheme="majorBidi" w:cstheme="majorBidi"/>
          <w:color w:val="000000"/>
          <w:sz w:val="20"/>
          <w:szCs w:val="20"/>
        </w:rPr>
        <w:t>, India</w:t>
      </w:r>
    </w:p>
    <w:p w14:paraId="23768D63" w14:textId="77777777" w:rsidR="0097524E" w:rsidRPr="00730EBB" w:rsidRDefault="0097524E" w:rsidP="0097524E">
      <w:pPr>
        <w:spacing w:after="0" w:line="360" w:lineRule="auto"/>
        <w:jc w:val="both"/>
        <w:rPr>
          <w:rFonts w:asciiTheme="majorBidi" w:hAnsiTheme="majorBidi" w:cstheme="majorBidi"/>
          <w:color w:val="000000"/>
          <w:sz w:val="20"/>
          <w:szCs w:val="20"/>
        </w:rPr>
      </w:pPr>
      <w:r w:rsidRPr="00730EBB">
        <w:rPr>
          <w:rFonts w:asciiTheme="majorBidi" w:hAnsiTheme="majorBidi" w:cstheme="majorBidi"/>
          <w:color w:val="000000"/>
          <w:sz w:val="20"/>
          <w:szCs w:val="20"/>
          <w:vertAlign w:val="superscript"/>
        </w:rPr>
        <w:t>2</w:t>
      </w:r>
      <w:r w:rsidRPr="00730EBB">
        <w:rPr>
          <w:rFonts w:asciiTheme="majorBidi" w:hAnsiTheme="majorBidi" w:cstheme="majorBidi"/>
          <w:color w:val="000000"/>
          <w:sz w:val="20"/>
          <w:szCs w:val="20"/>
        </w:rPr>
        <w:t>Department of Pharmaceutics, College of Pharmacy, King Khalid University, Abha, Saudi Arabia</w:t>
      </w:r>
    </w:p>
    <w:p w14:paraId="161AC691" w14:textId="77777777" w:rsidR="0097524E" w:rsidRPr="00730EBB" w:rsidRDefault="0097524E" w:rsidP="0097524E">
      <w:pPr>
        <w:spacing w:after="0" w:line="360" w:lineRule="auto"/>
        <w:jc w:val="both"/>
        <w:rPr>
          <w:rFonts w:asciiTheme="majorBidi" w:hAnsiTheme="majorBidi" w:cstheme="majorBidi"/>
          <w:color w:val="000000"/>
          <w:sz w:val="20"/>
          <w:szCs w:val="20"/>
        </w:rPr>
      </w:pPr>
      <w:r w:rsidRPr="00730EBB">
        <w:rPr>
          <w:rFonts w:asciiTheme="majorBidi" w:hAnsiTheme="majorBidi" w:cstheme="majorBidi"/>
          <w:color w:val="000000"/>
          <w:sz w:val="20"/>
          <w:szCs w:val="20"/>
          <w:vertAlign w:val="superscript"/>
        </w:rPr>
        <w:t>3</w:t>
      </w:r>
      <w:r w:rsidRPr="00730EBB">
        <w:rPr>
          <w:rFonts w:asciiTheme="majorBidi" w:hAnsiTheme="majorBidi" w:cstheme="majorBidi"/>
          <w:color w:val="000000"/>
          <w:sz w:val="20"/>
          <w:szCs w:val="20"/>
        </w:rPr>
        <w:t xml:space="preserve">Department of Pharmaceutics, Dadasaheb </w:t>
      </w:r>
      <w:proofErr w:type="spellStart"/>
      <w:r w:rsidRPr="00730EBB">
        <w:rPr>
          <w:rFonts w:asciiTheme="majorBidi" w:hAnsiTheme="majorBidi" w:cstheme="majorBidi"/>
          <w:color w:val="000000"/>
          <w:sz w:val="20"/>
          <w:szCs w:val="20"/>
        </w:rPr>
        <w:t>Balpande</w:t>
      </w:r>
      <w:proofErr w:type="spellEnd"/>
      <w:r w:rsidRPr="00730EBB">
        <w:rPr>
          <w:rFonts w:asciiTheme="majorBidi" w:hAnsiTheme="majorBidi" w:cstheme="majorBidi"/>
          <w:color w:val="000000"/>
          <w:sz w:val="20"/>
          <w:szCs w:val="20"/>
        </w:rPr>
        <w:t xml:space="preserve"> College of Pharmacy, </w:t>
      </w:r>
      <w:proofErr w:type="spellStart"/>
      <w:r w:rsidRPr="00730EBB">
        <w:rPr>
          <w:rFonts w:asciiTheme="majorBidi" w:hAnsiTheme="majorBidi" w:cstheme="majorBidi"/>
          <w:color w:val="000000"/>
          <w:sz w:val="20"/>
          <w:szCs w:val="20"/>
        </w:rPr>
        <w:t>Rashtrasant</w:t>
      </w:r>
      <w:proofErr w:type="spellEnd"/>
      <w:r w:rsidRPr="00730EBB">
        <w:rPr>
          <w:rFonts w:asciiTheme="majorBidi" w:hAnsiTheme="majorBidi" w:cstheme="majorBidi"/>
          <w:color w:val="000000"/>
          <w:sz w:val="20"/>
          <w:szCs w:val="20"/>
        </w:rPr>
        <w:t xml:space="preserve"> </w:t>
      </w:r>
      <w:proofErr w:type="spellStart"/>
      <w:r w:rsidRPr="00730EBB">
        <w:rPr>
          <w:rFonts w:asciiTheme="majorBidi" w:hAnsiTheme="majorBidi" w:cstheme="majorBidi"/>
          <w:color w:val="000000"/>
          <w:sz w:val="20"/>
          <w:szCs w:val="20"/>
        </w:rPr>
        <w:t>Tukadoji</w:t>
      </w:r>
      <w:proofErr w:type="spellEnd"/>
      <w:r w:rsidRPr="00730EBB">
        <w:rPr>
          <w:rFonts w:asciiTheme="majorBidi" w:hAnsiTheme="majorBidi" w:cstheme="majorBidi"/>
          <w:color w:val="000000"/>
          <w:sz w:val="20"/>
          <w:szCs w:val="20"/>
        </w:rPr>
        <w:t xml:space="preserve"> Maharaj Nagpur University, Nagpur-440037, </w:t>
      </w:r>
      <w:r>
        <w:rPr>
          <w:rFonts w:asciiTheme="majorBidi" w:hAnsiTheme="majorBidi" w:cstheme="majorBidi"/>
          <w:color w:val="000000"/>
          <w:sz w:val="20"/>
          <w:szCs w:val="20"/>
        </w:rPr>
        <w:t>MH</w:t>
      </w:r>
      <w:r w:rsidRPr="00730EBB">
        <w:rPr>
          <w:rFonts w:asciiTheme="majorBidi" w:hAnsiTheme="majorBidi" w:cstheme="majorBidi"/>
          <w:color w:val="000000"/>
          <w:sz w:val="20"/>
          <w:szCs w:val="20"/>
        </w:rPr>
        <w:t xml:space="preserve">, India </w:t>
      </w:r>
    </w:p>
    <w:p w14:paraId="1C40539D" w14:textId="77777777" w:rsidR="0097524E" w:rsidRPr="00730EBB" w:rsidRDefault="0097524E" w:rsidP="0097524E">
      <w:pPr>
        <w:spacing w:after="0" w:line="360" w:lineRule="auto"/>
        <w:jc w:val="both"/>
        <w:rPr>
          <w:rFonts w:asciiTheme="majorBidi" w:hAnsiTheme="majorBidi" w:cstheme="majorBidi"/>
          <w:color w:val="000000"/>
          <w:sz w:val="20"/>
          <w:szCs w:val="20"/>
        </w:rPr>
      </w:pPr>
      <w:r w:rsidRPr="00730EBB">
        <w:rPr>
          <w:rFonts w:asciiTheme="majorBidi" w:hAnsiTheme="majorBidi" w:cstheme="majorBidi"/>
          <w:color w:val="000000"/>
          <w:sz w:val="20"/>
          <w:szCs w:val="20"/>
          <w:vertAlign w:val="superscript"/>
        </w:rPr>
        <w:t>4</w:t>
      </w:r>
      <w:r w:rsidRPr="00730EBB">
        <w:rPr>
          <w:rFonts w:asciiTheme="majorBidi" w:hAnsiTheme="majorBidi" w:cstheme="majorBidi"/>
          <w:color w:val="000000"/>
          <w:sz w:val="20"/>
          <w:szCs w:val="20"/>
        </w:rPr>
        <w:t>Department of Clinical Laboratory Science, Prince Sultan Military College of Health Sciences, Dhahran, Saudi Arabia</w:t>
      </w:r>
    </w:p>
    <w:p w14:paraId="6AD46495" w14:textId="77777777" w:rsidR="0097524E" w:rsidRPr="00730EBB" w:rsidRDefault="0097524E" w:rsidP="0097524E">
      <w:pPr>
        <w:pStyle w:val="MDPI17abstract"/>
        <w:spacing w:before="0" w:line="360" w:lineRule="auto"/>
        <w:ind w:left="0"/>
        <w:rPr>
          <w:rFonts w:asciiTheme="majorBidi" w:hAnsiTheme="majorBidi" w:cstheme="majorBidi"/>
          <w:sz w:val="20"/>
          <w:szCs w:val="20"/>
        </w:rPr>
      </w:pPr>
      <w:r w:rsidRPr="00730EBB">
        <w:rPr>
          <w:rFonts w:asciiTheme="majorBidi" w:hAnsiTheme="majorBidi" w:cstheme="majorBidi"/>
          <w:sz w:val="20"/>
          <w:szCs w:val="20"/>
          <w:vertAlign w:val="superscript"/>
        </w:rPr>
        <w:t>5</w:t>
      </w:r>
      <w:r w:rsidRPr="00730EBB">
        <w:rPr>
          <w:rFonts w:asciiTheme="majorBidi" w:hAnsiTheme="majorBidi" w:cstheme="majorBidi"/>
          <w:sz w:val="20"/>
          <w:szCs w:val="20"/>
        </w:rPr>
        <w:t xml:space="preserve">Department of Pharmaceutics, College of Pharmacy, Qassim University, </w:t>
      </w:r>
      <w:proofErr w:type="spellStart"/>
      <w:r w:rsidRPr="00730EBB">
        <w:rPr>
          <w:rFonts w:asciiTheme="majorBidi" w:hAnsiTheme="majorBidi" w:cstheme="majorBidi"/>
          <w:sz w:val="20"/>
          <w:szCs w:val="20"/>
        </w:rPr>
        <w:t>Buraidah</w:t>
      </w:r>
      <w:proofErr w:type="spellEnd"/>
      <w:r w:rsidRPr="00730EBB">
        <w:rPr>
          <w:rFonts w:asciiTheme="majorBidi" w:hAnsiTheme="majorBidi" w:cstheme="majorBidi"/>
          <w:sz w:val="20"/>
          <w:szCs w:val="20"/>
        </w:rPr>
        <w:t xml:space="preserve">, Saudi Arabia </w:t>
      </w:r>
    </w:p>
    <w:p w14:paraId="71238AF5" w14:textId="77777777" w:rsidR="0097524E" w:rsidRPr="00730EBB" w:rsidRDefault="0097524E" w:rsidP="0097524E">
      <w:pPr>
        <w:spacing w:after="0" w:line="360" w:lineRule="auto"/>
        <w:jc w:val="both"/>
        <w:rPr>
          <w:rFonts w:asciiTheme="majorBidi" w:hAnsiTheme="majorBidi" w:cstheme="majorBidi"/>
          <w:color w:val="000000"/>
          <w:sz w:val="20"/>
          <w:szCs w:val="20"/>
        </w:rPr>
      </w:pPr>
      <w:r w:rsidRPr="00730EBB">
        <w:rPr>
          <w:rFonts w:asciiTheme="majorBidi" w:hAnsiTheme="majorBidi" w:cstheme="majorBidi"/>
          <w:color w:val="000000"/>
          <w:sz w:val="20"/>
          <w:szCs w:val="20"/>
          <w:vertAlign w:val="superscript"/>
        </w:rPr>
        <w:t>6</w:t>
      </w:r>
      <w:r w:rsidRPr="00730EBB">
        <w:rPr>
          <w:rFonts w:asciiTheme="majorBidi" w:hAnsiTheme="majorBidi" w:cstheme="majorBidi"/>
          <w:color w:val="000000"/>
          <w:sz w:val="20"/>
          <w:szCs w:val="20"/>
        </w:rPr>
        <w:t xml:space="preserve">Department of Biology, College of Science and Arts at </w:t>
      </w:r>
      <w:proofErr w:type="spellStart"/>
      <w:r w:rsidRPr="00730EBB">
        <w:rPr>
          <w:rFonts w:asciiTheme="majorBidi" w:hAnsiTheme="majorBidi" w:cstheme="majorBidi"/>
          <w:color w:val="000000"/>
          <w:sz w:val="20"/>
          <w:szCs w:val="20"/>
        </w:rPr>
        <w:t>Alkamil</w:t>
      </w:r>
      <w:proofErr w:type="spellEnd"/>
      <w:r w:rsidRPr="00730EBB">
        <w:rPr>
          <w:rFonts w:asciiTheme="majorBidi" w:hAnsiTheme="majorBidi" w:cstheme="majorBidi"/>
          <w:color w:val="000000"/>
          <w:sz w:val="20"/>
          <w:szCs w:val="20"/>
        </w:rPr>
        <w:t xml:space="preserve">, University of Jeddah, </w:t>
      </w:r>
      <w:r>
        <w:rPr>
          <w:rFonts w:asciiTheme="majorBidi" w:hAnsiTheme="majorBidi" w:cstheme="majorBidi"/>
          <w:color w:val="000000"/>
          <w:sz w:val="20"/>
          <w:szCs w:val="20"/>
        </w:rPr>
        <w:t xml:space="preserve">Jeddah, </w:t>
      </w:r>
      <w:r w:rsidRPr="00730EBB">
        <w:rPr>
          <w:rFonts w:asciiTheme="majorBidi" w:hAnsiTheme="majorBidi" w:cstheme="majorBidi"/>
          <w:color w:val="000000"/>
          <w:sz w:val="20"/>
          <w:szCs w:val="20"/>
        </w:rPr>
        <w:t xml:space="preserve">Saudi Arabia </w:t>
      </w:r>
    </w:p>
    <w:p w14:paraId="7B96C951" w14:textId="77777777" w:rsidR="0097524E" w:rsidRPr="00730EBB" w:rsidRDefault="0097524E" w:rsidP="0097524E">
      <w:pPr>
        <w:spacing w:after="0" w:line="360" w:lineRule="auto"/>
        <w:jc w:val="both"/>
        <w:rPr>
          <w:rFonts w:asciiTheme="majorBidi" w:hAnsiTheme="majorBidi" w:cstheme="majorBidi"/>
          <w:color w:val="000000"/>
          <w:sz w:val="20"/>
          <w:szCs w:val="20"/>
        </w:rPr>
      </w:pPr>
      <w:r w:rsidRPr="00730EBB">
        <w:rPr>
          <w:rFonts w:asciiTheme="majorBidi" w:hAnsiTheme="majorBidi" w:cstheme="majorBidi"/>
          <w:color w:val="000000"/>
          <w:sz w:val="20"/>
          <w:szCs w:val="20"/>
          <w:vertAlign w:val="superscript"/>
        </w:rPr>
        <w:t>7</w:t>
      </w:r>
      <w:r w:rsidRPr="00730EBB">
        <w:rPr>
          <w:rFonts w:asciiTheme="majorBidi" w:hAnsiTheme="majorBidi" w:cstheme="majorBidi"/>
          <w:color w:val="000000"/>
          <w:sz w:val="20"/>
          <w:szCs w:val="20"/>
        </w:rPr>
        <w:t xml:space="preserve">Department of Regulatory Affairs Dadasaheb </w:t>
      </w:r>
      <w:proofErr w:type="spellStart"/>
      <w:r w:rsidRPr="00730EBB">
        <w:rPr>
          <w:rFonts w:asciiTheme="majorBidi" w:hAnsiTheme="majorBidi" w:cstheme="majorBidi"/>
          <w:color w:val="000000"/>
          <w:sz w:val="20"/>
          <w:szCs w:val="20"/>
        </w:rPr>
        <w:t>Balpande</w:t>
      </w:r>
      <w:proofErr w:type="spellEnd"/>
      <w:r w:rsidRPr="00730EBB">
        <w:rPr>
          <w:rFonts w:asciiTheme="majorBidi" w:hAnsiTheme="majorBidi" w:cstheme="majorBidi"/>
          <w:color w:val="000000"/>
          <w:sz w:val="20"/>
          <w:szCs w:val="20"/>
        </w:rPr>
        <w:t xml:space="preserve"> College of Pharmacy, </w:t>
      </w:r>
      <w:proofErr w:type="spellStart"/>
      <w:r w:rsidRPr="00730EBB">
        <w:rPr>
          <w:rFonts w:asciiTheme="majorBidi" w:hAnsiTheme="majorBidi" w:cstheme="majorBidi"/>
          <w:color w:val="000000"/>
          <w:sz w:val="20"/>
          <w:szCs w:val="20"/>
        </w:rPr>
        <w:t>Rashtrasant</w:t>
      </w:r>
      <w:proofErr w:type="spellEnd"/>
      <w:r w:rsidRPr="00730EBB">
        <w:rPr>
          <w:rFonts w:asciiTheme="majorBidi" w:hAnsiTheme="majorBidi" w:cstheme="majorBidi"/>
          <w:color w:val="000000"/>
          <w:sz w:val="20"/>
          <w:szCs w:val="20"/>
        </w:rPr>
        <w:t xml:space="preserve"> </w:t>
      </w:r>
      <w:proofErr w:type="spellStart"/>
      <w:r w:rsidRPr="00730EBB">
        <w:rPr>
          <w:rFonts w:asciiTheme="majorBidi" w:hAnsiTheme="majorBidi" w:cstheme="majorBidi"/>
          <w:color w:val="000000"/>
          <w:sz w:val="20"/>
          <w:szCs w:val="20"/>
        </w:rPr>
        <w:t>Tukadoji</w:t>
      </w:r>
      <w:proofErr w:type="spellEnd"/>
      <w:r w:rsidRPr="00730EBB">
        <w:rPr>
          <w:rFonts w:asciiTheme="majorBidi" w:hAnsiTheme="majorBidi" w:cstheme="majorBidi"/>
          <w:color w:val="000000"/>
          <w:sz w:val="20"/>
          <w:szCs w:val="20"/>
        </w:rPr>
        <w:t xml:space="preserve"> Maharaj Nagpur University, Nagpur-440037, </w:t>
      </w:r>
      <w:r>
        <w:rPr>
          <w:rFonts w:asciiTheme="majorBidi" w:hAnsiTheme="majorBidi" w:cstheme="majorBidi"/>
          <w:color w:val="000000"/>
          <w:sz w:val="20"/>
          <w:szCs w:val="20"/>
        </w:rPr>
        <w:t>MH</w:t>
      </w:r>
      <w:r w:rsidRPr="00730EBB">
        <w:rPr>
          <w:rFonts w:asciiTheme="majorBidi" w:hAnsiTheme="majorBidi" w:cstheme="majorBidi"/>
          <w:color w:val="000000"/>
          <w:sz w:val="20"/>
          <w:szCs w:val="20"/>
        </w:rPr>
        <w:t>, India</w:t>
      </w:r>
    </w:p>
    <w:p w14:paraId="62B6336A" w14:textId="77777777" w:rsidR="0097524E" w:rsidRPr="00730EBB" w:rsidRDefault="0097524E" w:rsidP="0097524E">
      <w:pPr>
        <w:pStyle w:val="MDPI17abstract"/>
        <w:spacing w:before="0" w:line="360" w:lineRule="auto"/>
        <w:ind w:left="0"/>
        <w:contextualSpacing/>
        <w:rPr>
          <w:rStyle w:val="Hyperlink"/>
          <w:rFonts w:asciiTheme="majorBidi" w:hAnsiTheme="majorBidi" w:cstheme="majorBidi"/>
          <w:sz w:val="20"/>
          <w:szCs w:val="20"/>
        </w:rPr>
      </w:pPr>
      <w:r w:rsidRPr="00730EBB">
        <w:rPr>
          <w:rFonts w:asciiTheme="majorBidi" w:hAnsiTheme="majorBidi" w:cstheme="majorBidi"/>
          <w:sz w:val="20"/>
          <w:szCs w:val="20"/>
          <w:vertAlign w:val="superscript"/>
        </w:rPr>
        <w:t>8</w:t>
      </w:r>
      <w:r w:rsidRPr="00730EBB">
        <w:rPr>
          <w:rFonts w:asciiTheme="majorBidi" w:hAnsiTheme="majorBidi" w:cstheme="majorBidi"/>
          <w:sz w:val="20"/>
          <w:szCs w:val="20"/>
        </w:rPr>
        <w:t>Department of Pharmaceutics, Faculty of Pharmacy, Northern Border University, Arar, Saudi Arabia</w:t>
      </w:r>
    </w:p>
    <w:p w14:paraId="02DF679E" w14:textId="77777777" w:rsidR="0097524E" w:rsidRPr="00730EBB" w:rsidRDefault="0097524E" w:rsidP="0097524E">
      <w:pPr>
        <w:rPr>
          <w:rFonts w:asciiTheme="majorBidi" w:hAnsiTheme="majorBidi" w:cstheme="majorBidi"/>
          <w:color w:val="000000"/>
          <w:sz w:val="20"/>
          <w:szCs w:val="20"/>
          <w:lang w:eastAsia="de-DE" w:bidi="en-US"/>
        </w:rPr>
      </w:pPr>
      <w:r w:rsidRPr="00730EBB">
        <w:rPr>
          <w:rFonts w:asciiTheme="majorBidi" w:hAnsiTheme="majorBidi" w:cstheme="majorBidi"/>
          <w:color w:val="000000"/>
          <w:sz w:val="20"/>
          <w:szCs w:val="20"/>
          <w:vertAlign w:val="superscript"/>
        </w:rPr>
        <w:t>9</w:t>
      </w:r>
      <w:r w:rsidRPr="00730EBB">
        <w:rPr>
          <w:rFonts w:asciiTheme="majorBidi" w:hAnsiTheme="majorBidi" w:cstheme="majorBidi"/>
          <w:color w:val="000000"/>
          <w:sz w:val="20"/>
          <w:szCs w:val="20"/>
        </w:rPr>
        <w:t xml:space="preserve">Center for Health Research, Northern Border University, Arar, Saudi Arabia </w:t>
      </w:r>
    </w:p>
    <w:p w14:paraId="4F96C069" w14:textId="77777777" w:rsidR="0097524E" w:rsidRPr="00730EBB" w:rsidRDefault="0097524E" w:rsidP="0097524E">
      <w:pPr>
        <w:spacing w:after="0" w:line="360" w:lineRule="auto"/>
        <w:jc w:val="both"/>
        <w:rPr>
          <w:rFonts w:asciiTheme="majorBidi" w:hAnsiTheme="majorBidi" w:cstheme="majorBidi"/>
          <w:color w:val="000000"/>
          <w:sz w:val="20"/>
          <w:szCs w:val="20"/>
        </w:rPr>
      </w:pPr>
    </w:p>
    <w:p w14:paraId="62DD6546" w14:textId="78E8AF53" w:rsidR="00650946" w:rsidRDefault="00650946" w:rsidP="001F33A3">
      <w:pPr>
        <w:pStyle w:val="MDPI31text"/>
        <w:spacing w:line="360" w:lineRule="auto"/>
        <w:ind w:left="0" w:firstLine="0"/>
        <w:rPr>
          <w:rFonts w:ascii="Times New Roman" w:hAnsi="Times New Roman"/>
          <w:b/>
          <w:sz w:val="24"/>
          <w:szCs w:val="24"/>
        </w:rPr>
      </w:pPr>
    </w:p>
    <w:p w14:paraId="119AEA2F" w14:textId="7F16B741" w:rsidR="00650946" w:rsidRDefault="00650946" w:rsidP="001F33A3">
      <w:pPr>
        <w:pStyle w:val="MDPI31text"/>
        <w:spacing w:line="360" w:lineRule="auto"/>
        <w:ind w:left="0" w:firstLine="0"/>
        <w:rPr>
          <w:rFonts w:ascii="Times New Roman" w:hAnsi="Times New Roman"/>
          <w:b/>
          <w:sz w:val="24"/>
          <w:szCs w:val="24"/>
        </w:rPr>
      </w:pPr>
    </w:p>
    <w:p w14:paraId="258142EF" w14:textId="6AF18A49" w:rsidR="00650946" w:rsidRDefault="00650946" w:rsidP="001F33A3">
      <w:pPr>
        <w:pStyle w:val="MDPI31text"/>
        <w:spacing w:line="360" w:lineRule="auto"/>
        <w:ind w:left="0" w:firstLine="0"/>
        <w:rPr>
          <w:rFonts w:ascii="Times New Roman" w:hAnsi="Times New Roman"/>
          <w:b/>
          <w:sz w:val="24"/>
          <w:szCs w:val="24"/>
        </w:rPr>
      </w:pPr>
    </w:p>
    <w:p w14:paraId="4F530CF4" w14:textId="4024BEFD" w:rsidR="00650946" w:rsidRDefault="00650946" w:rsidP="001F33A3">
      <w:pPr>
        <w:pStyle w:val="MDPI31text"/>
        <w:spacing w:line="360" w:lineRule="auto"/>
        <w:ind w:left="0" w:firstLine="0"/>
        <w:rPr>
          <w:rFonts w:ascii="Times New Roman" w:hAnsi="Times New Roman"/>
          <w:b/>
          <w:sz w:val="24"/>
          <w:szCs w:val="24"/>
        </w:rPr>
      </w:pPr>
    </w:p>
    <w:p w14:paraId="5CBFBB49" w14:textId="4280D562" w:rsidR="00650946" w:rsidRDefault="00650946" w:rsidP="001F33A3">
      <w:pPr>
        <w:pStyle w:val="MDPI31text"/>
        <w:spacing w:line="360" w:lineRule="auto"/>
        <w:ind w:left="0" w:firstLine="0"/>
        <w:rPr>
          <w:rFonts w:ascii="Times New Roman" w:hAnsi="Times New Roman"/>
          <w:b/>
          <w:sz w:val="24"/>
          <w:szCs w:val="24"/>
        </w:rPr>
      </w:pPr>
    </w:p>
    <w:p w14:paraId="6386DFB9" w14:textId="4841B537" w:rsidR="00650946" w:rsidRDefault="00650946" w:rsidP="001F33A3">
      <w:pPr>
        <w:pStyle w:val="MDPI31text"/>
        <w:spacing w:line="360" w:lineRule="auto"/>
        <w:ind w:left="0" w:firstLine="0"/>
        <w:rPr>
          <w:rFonts w:ascii="Times New Roman" w:hAnsi="Times New Roman"/>
          <w:b/>
          <w:sz w:val="24"/>
          <w:szCs w:val="24"/>
        </w:rPr>
      </w:pPr>
    </w:p>
    <w:p w14:paraId="1BD1E63C" w14:textId="5E7A4ACF" w:rsidR="00650946" w:rsidRDefault="00650946" w:rsidP="001F33A3">
      <w:pPr>
        <w:pStyle w:val="MDPI31text"/>
        <w:spacing w:line="360" w:lineRule="auto"/>
        <w:ind w:left="0" w:firstLine="0"/>
        <w:rPr>
          <w:rFonts w:ascii="Times New Roman" w:hAnsi="Times New Roman"/>
          <w:b/>
          <w:sz w:val="24"/>
          <w:szCs w:val="24"/>
        </w:rPr>
      </w:pPr>
    </w:p>
    <w:p w14:paraId="1494DE30" w14:textId="2E1C9C00" w:rsidR="00650946" w:rsidRDefault="00650946" w:rsidP="001F33A3">
      <w:pPr>
        <w:pStyle w:val="MDPI31text"/>
        <w:spacing w:line="360" w:lineRule="auto"/>
        <w:ind w:left="0" w:firstLine="0"/>
        <w:rPr>
          <w:rFonts w:ascii="Times New Roman" w:hAnsi="Times New Roman"/>
          <w:b/>
          <w:sz w:val="24"/>
          <w:szCs w:val="24"/>
        </w:rPr>
      </w:pPr>
    </w:p>
    <w:p w14:paraId="1A996732" w14:textId="0A18AFAD" w:rsidR="00650946" w:rsidRDefault="00650946" w:rsidP="001F33A3">
      <w:pPr>
        <w:pStyle w:val="MDPI31text"/>
        <w:spacing w:line="360" w:lineRule="auto"/>
        <w:ind w:left="0" w:firstLine="0"/>
        <w:rPr>
          <w:rFonts w:ascii="Times New Roman" w:hAnsi="Times New Roman"/>
          <w:b/>
          <w:sz w:val="24"/>
          <w:szCs w:val="24"/>
        </w:rPr>
      </w:pPr>
    </w:p>
    <w:p w14:paraId="70183066" w14:textId="6B05ADDE" w:rsidR="00650946" w:rsidRDefault="00650946" w:rsidP="001F33A3">
      <w:pPr>
        <w:pStyle w:val="MDPI31text"/>
        <w:spacing w:line="360" w:lineRule="auto"/>
        <w:ind w:left="0" w:firstLine="0"/>
        <w:rPr>
          <w:rFonts w:ascii="Times New Roman" w:hAnsi="Times New Roman"/>
          <w:b/>
          <w:sz w:val="24"/>
          <w:szCs w:val="24"/>
        </w:rPr>
      </w:pPr>
    </w:p>
    <w:p w14:paraId="53EBFE61" w14:textId="1F8ABC43" w:rsidR="00650946" w:rsidRDefault="00650946" w:rsidP="001F33A3">
      <w:pPr>
        <w:pStyle w:val="MDPI31text"/>
        <w:spacing w:line="360" w:lineRule="auto"/>
        <w:ind w:left="0" w:firstLine="0"/>
        <w:rPr>
          <w:rFonts w:ascii="Times New Roman" w:hAnsi="Times New Roman"/>
          <w:b/>
          <w:sz w:val="24"/>
          <w:szCs w:val="24"/>
        </w:rPr>
      </w:pPr>
    </w:p>
    <w:p w14:paraId="286514D5" w14:textId="48DCF596" w:rsidR="00650946" w:rsidRDefault="00650946" w:rsidP="001F33A3">
      <w:pPr>
        <w:pStyle w:val="MDPI31text"/>
        <w:spacing w:line="360" w:lineRule="auto"/>
        <w:ind w:left="0" w:firstLine="0"/>
        <w:rPr>
          <w:rFonts w:ascii="Times New Roman" w:hAnsi="Times New Roman"/>
          <w:b/>
          <w:sz w:val="24"/>
          <w:szCs w:val="24"/>
        </w:rPr>
      </w:pPr>
    </w:p>
    <w:p w14:paraId="2EF70048" w14:textId="366BD4D0" w:rsidR="004131F4" w:rsidRPr="00D8044B" w:rsidRDefault="0042016E" w:rsidP="001F33A3">
      <w:pPr>
        <w:pStyle w:val="MDPI31text"/>
        <w:spacing w:line="360" w:lineRule="auto"/>
        <w:ind w:left="0" w:firstLine="0"/>
        <w:rPr>
          <w:rFonts w:ascii="Times New Roman" w:hAnsi="Times New Roman"/>
          <w:b/>
          <w:sz w:val="24"/>
          <w:szCs w:val="24"/>
        </w:rPr>
      </w:pPr>
      <w:r>
        <w:rPr>
          <w:rFonts w:ascii="Times New Roman" w:hAnsi="Times New Roman"/>
          <w:b/>
          <w:sz w:val="24"/>
          <w:szCs w:val="24"/>
        </w:rPr>
        <w:t>1</w:t>
      </w:r>
      <w:r w:rsidR="001B5E10">
        <w:rPr>
          <w:rFonts w:ascii="Times New Roman" w:hAnsi="Times New Roman"/>
          <w:b/>
          <w:sz w:val="24"/>
          <w:szCs w:val="24"/>
        </w:rPr>
        <w:t>S</w:t>
      </w:r>
      <w:r w:rsidR="001D3990">
        <w:rPr>
          <w:rFonts w:ascii="Times New Roman" w:hAnsi="Times New Roman"/>
          <w:b/>
          <w:sz w:val="24"/>
          <w:szCs w:val="24"/>
        </w:rPr>
        <w:t xml:space="preserve">) </w:t>
      </w:r>
      <w:r w:rsidR="004131F4" w:rsidRPr="00D8044B">
        <w:rPr>
          <w:rFonts w:ascii="Times New Roman" w:hAnsi="Times New Roman"/>
          <w:b/>
          <w:sz w:val="24"/>
          <w:szCs w:val="24"/>
        </w:rPr>
        <w:t>Validation of Bioanalytical method</w:t>
      </w:r>
    </w:p>
    <w:p w14:paraId="2F4386D0" w14:textId="128C7E99" w:rsidR="004131F4" w:rsidRPr="00D8044B" w:rsidRDefault="004131F4" w:rsidP="004131F4">
      <w:pPr>
        <w:pStyle w:val="MDPI31text"/>
        <w:numPr>
          <w:ilvl w:val="0"/>
          <w:numId w:val="7"/>
        </w:numPr>
        <w:spacing w:line="360" w:lineRule="auto"/>
        <w:rPr>
          <w:rFonts w:ascii="Times New Roman" w:hAnsi="Times New Roman"/>
          <w:b/>
          <w:sz w:val="24"/>
          <w:szCs w:val="24"/>
        </w:rPr>
      </w:pPr>
      <w:r w:rsidRPr="00D8044B">
        <w:rPr>
          <w:rFonts w:ascii="Times New Roman" w:hAnsi="Times New Roman"/>
          <w:b/>
          <w:sz w:val="24"/>
          <w:szCs w:val="24"/>
        </w:rPr>
        <w:t>System Suitability</w:t>
      </w:r>
    </w:p>
    <w:p w14:paraId="7C469119" w14:textId="1D77C667" w:rsidR="00F91057" w:rsidRPr="00D8044B" w:rsidRDefault="00F91057" w:rsidP="00F91057">
      <w:pPr>
        <w:pStyle w:val="MDPI31text"/>
        <w:spacing w:line="360" w:lineRule="auto"/>
        <w:ind w:left="360"/>
        <w:rPr>
          <w:rFonts w:ascii="Times New Roman" w:hAnsi="Times New Roman"/>
          <w:sz w:val="24"/>
          <w:szCs w:val="24"/>
        </w:rPr>
      </w:pPr>
      <w:r w:rsidRPr="00D8044B">
        <w:rPr>
          <w:rFonts w:ascii="Times New Roman" w:hAnsi="Times New Roman"/>
          <w:sz w:val="24"/>
          <w:szCs w:val="24"/>
        </w:rPr>
        <w:t xml:space="preserve">Six replicate injections of 10 </w:t>
      </w:r>
      <w:proofErr w:type="spellStart"/>
      <w:r w:rsidRPr="00D8044B">
        <w:rPr>
          <w:rFonts w:ascii="Times New Roman" w:hAnsi="Times New Roman"/>
          <w:sz w:val="24"/>
          <w:szCs w:val="24"/>
        </w:rPr>
        <w:t>μg</w:t>
      </w:r>
      <w:proofErr w:type="spellEnd"/>
      <w:r w:rsidRPr="00D8044B">
        <w:rPr>
          <w:rFonts w:ascii="Times New Roman" w:hAnsi="Times New Roman"/>
          <w:sz w:val="24"/>
          <w:szCs w:val="24"/>
        </w:rPr>
        <w:t xml:space="preserve"> Rhein + 1 </w:t>
      </w:r>
      <w:proofErr w:type="spellStart"/>
      <w:r w:rsidRPr="00D8044B">
        <w:rPr>
          <w:rFonts w:ascii="Times New Roman" w:hAnsi="Times New Roman"/>
          <w:sz w:val="24"/>
          <w:szCs w:val="24"/>
        </w:rPr>
        <w:t>μg</w:t>
      </w:r>
      <w:proofErr w:type="spellEnd"/>
      <w:r w:rsidRPr="00D8044B">
        <w:rPr>
          <w:rFonts w:ascii="Times New Roman" w:hAnsi="Times New Roman"/>
          <w:sz w:val="24"/>
          <w:szCs w:val="24"/>
        </w:rPr>
        <w:t xml:space="preserve"> diacerein (IS) solutions in plasma were conducted independently, and the chromatograms were obtained so that the system suitability test could be performed. Retention time, capacity factor, peak purity, symmetry, resolution, and the number of theoretical plates of analytes in spiked biological matrices were all evaluated </w:t>
      </w:r>
      <w:r w:rsidR="008F1976">
        <w:rPr>
          <w:rFonts w:ascii="Times New Roman" w:hAnsi="Times New Roman"/>
          <w:sz w:val="24"/>
          <w:szCs w:val="24"/>
        </w:rPr>
        <w:t>to</w:t>
      </w:r>
      <w:r w:rsidRPr="00D8044B">
        <w:rPr>
          <w:rFonts w:ascii="Times New Roman" w:hAnsi="Times New Roman"/>
          <w:sz w:val="24"/>
          <w:szCs w:val="24"/>
        </w:rPr>
        <w:t xml:space="preserve"> determine the suitability of the system, as shown in Table </w:t>
      </w:r>
      <w:r w:rsidR="00D8044B" w:rsidRPr="00D8044B">
        <w:rPr>
          <w:rFonts w:ascii="Times New Roman" w:hAnsi="Times New Roman"/>
          <w:sz w:val="24"/>
          <w:szCs w:val="24"/>
        </w:rPr>
        <w:t>S</w:t>
      </w:r>
      <w:r w:rsidRPr="00D8044B">
        <w:rPr>
          <w:rFonts w:ascii="Times New Roman" w:hAnsi="Times New Roman"/>
          <w:sz w:val="24"/>
          <w:szCs w:val="24"/>
        </w:rPr>
        <w:t>1 and Fig</w:t>
      </w:r>
      <w:r w:rsidR="001B5E10">
        <w:rPr>
          <w:rFonts w:ascii="Times New Roman" w:hAnsi="Times New Roman"/>
          <w:sz w:val="24"/>
          <w:szCs w:val="24"/>
        </w:rPr>
        <w:t>.</w:t>
      </w:r>
      <w:r w:rsidRPr="00D8044B">
        <w:rPr>
          <w:rFonts w:ascii="Times New Roman" w:hAnsi="Times New Roman"/>
          <w:sz w:val="24"/>
          <w:szCs w:val="24"/>
        </w:rPr>
        <w:t xml:space="preserve"> </w:t>
      </w:r>
      <w:r w:rsidR="00D8044B" w:rsidRPr="00D8044B">
        <w:rPr>
          <w:rFonts w:ascii="Times New Roman" w:hAnsi="Times New Roman"/>
          <w:sz w:val="24"/>
          <w:szCs w:val="24"/>
        </w:rPr>
        <w:t>S</w:t>
      </w:r>
      <w:r w:rsidRPr="00D8044B">
        <w:rPr>
          <w:rFonts w:ascii="Times New Roman" w:hAnsi="Times New Roman"/>
          <w:sz w:val="24"/>
          <w:szCs w:val="24"/>
        </w:rPr>
        <w:t>1.</w:t>
      </w:r>
    </w:p>
    <w:p w14:paraId="48005E6F" w14:textId="5127EB8F" w:rsidR="00F019AF" w:rsidRPr="00100C47" w:rsidRDefault="006F720F" w:rsidP="004131F4">
      <w:pPr>
        <w:pStyle w:val="MDPI31text"/>
        <w:spacing w:line="360" w:lineRule="auto"/>
        <w:ind w:left="720" w:firstLine="0"/>
        <w:rPr>
          <w:rFonts w:ascii="Times New Roman" w:hAnsi="Times New Roman"/>
          <w:sz w:val="23"/>
          <w:szCs w:val="23"/>
        </w:rPr>
      </w:pPr>
      <w:r w:rsidRPr="00100C47">
        <w:rPr>
          <w:rFonts w:ascii="Times New Roman" w:hAnsi="Times New Roman"/>
          <w:b/>
          <w:bCs/>
          <w:sz w:val="24"/>
          <w:szCs w:val="24"/>
        </w:rPr>
        <w:t xml:space="preserve">Table </w:t>
      </w:r>
      <w:r w:rsidR="0097524E">
        <w:rPr>
          <w:rFonts w:ascii="Times New Roman" w:hAnsi="Times New Roman"/>
          <w:b/>
          <w:bCs/>
          <w:sz w:val="24"/>
          <w:szCs w:val="24"/>
        </w:rPr>
        <w:t>S</w:t>
      </w:r>
      <w:r w:rsidRPr="00100C47">
        <w:rPr>
          <w:rFonts w:ascii="Times New Roman" w:hAnsi="Times New Roman"/>
          <w:b/>
          <w:bCs/>
          <w:sz w:val="24"/>
          <w:szCs w:val="24"/>
        </w:rPr>
        <w:t xml:space="preserve">1: </w:t>
      </w:r>
      <w:r w:rsidRPr="00100C47">
        <w:rPr>
          <w:rFonts w:ascii="Times New Roman" w:hAnsi="Times New Roman"/>
          <w:sz w:val="24"/>
          <w:szCs w:val="24"/>
        </w:rPr>
        <w:t xml:space="preserve">Result of </w:t>
      </w:r>
      <w:r w:rsidRPr="00100C47">
        <w:rPr>
          <w:rFonts w:ascii="Times New Roman" w:hAnsi="Times New Roman"/>
          <w:sz w:val="24"/>
          <w:szCs w:val="24"/>
          <w:lang w:val="en-IN"/>
        </w:rPr>
        <w:t xml:space="preserve">estimated parameters of an optimized method for resolution of </w:t>
      </w:r>
      <w:proofErr w:type="spellStart"/>
      <w:r w:rsidRPr="00100C47">
        <w:rPr>
          <w:rFonts w:ascii="Times New Roman" w:hAnsi="Times New Roman"/>
          <w:sz w:val="24"/>
          <w:szCs w:val="24"/>
          <w:lang w:val="en-IN"/>
        </w:rPr>
        <w:t>rhein</w:t>
      </w:r>
      <w:proofErr w:type="spellEnd"/>
      <w:r w:rsidRPr="00100C47">
        <w:rPr>
          <w:rFonts w:ascii="Times New Roman" w:hAnsi="Times New Roman"/>
          <w:sz w:val="24"/>
          <w:szCs w:val="24"/>
          <w:lang w:val="en-IN"/>
        </w:rPr>
        <w:t xml:space="preserve"> by HPLC chromatogram in plasma.</w:t>
      </w:r>
    </w:p>
    <w:tbl>
      <w:tblPr>
        <w:tblStyle w:val="TableGrid"/>
        <w:tblW w:w="10465" w:type="dxa"/>
        <w:jc w:val="center"/>
        <w:tblBorders>
          <w:top w:val="single" w:sz="8" w:space="0" w:color="auto"/>
          <w:left w:val="none" w:sz="0" w:space="0" w:color="auto"/>
          <w:bottom w:val="single" w:sz="8"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4205"/>
        <w:gridCol w:w="2771"/>
        <w:gridCol w:w="3489"/>
      </w:tblGrid>
      <w:tr w:rsidR="001559C8" w:rsidRPr="00100C47" w14:paraId="45B38E13" w14:textId="77777777" w:rsidTr="008C7A98">
        <w:trPr>
          <w:jc w:val="center"/>
        </w:trPr>
        <w:tc>
          <w:tcPr>
            <w:tcW w:w="3865" w:type="dxa"/>
            <w:tcBorders>
              <w:top w:val="single" w:sz="8" w:space="0" w:color="auto"/>
              <w:bottom w:val="single" w:sz="4" w:space="0" w:color="auto"/>
            </w:tcBorders>
            <w:shd w:val="clear" w:color="auto" w:fill="auto"/>
            <w:vAlign w:val="center"/>
          </w:tcPr>
          <w:p w14:paraId="354976B1" w14:textId="77777777" w:rsidR="001559C8" w:rsidRPr="00100C47" w:rsidRDefault="001559C8" w:rsidP="001063B5">
            <w:pPr>
              <w:pStyle w:val="BodyText"/>
              <w:adjustRightInd w:val="0"/>
              <w:snapToGrid w:val="0"/>
              <w:spacing w:line="360" w:lineRule="auto"/>
              <w:rPr>
                <w:b/>
                <w:bCs/>
                <w:color w:val="1F1F1F"/>
              </w:rPr>
            </w:pPr>
            <w:r w:rsidRPr="00100C47">
              <w:rPr>
                <w:b/>
                <w:bCs/>
                <w:lang w:val="en-IN"/>
              </w:rPr>
              <w:t xml:space="preserve">               Bioactive</w:t>
            </w:r>
          </w:p>
        </w:tc>
        <w:tc>
          <w:tcPr>
            <w:tcW w:w="2547" w:type="dxa"/>
            <w:tcBorders>
              <w:top w:val="single" w:sz="8" w:space="0" w:color="auto"/>
              <w:bottom w:val="single" w:sz="4" w:space="0" w:color="auto"/>
            </w:tcBorders>
            <w:shd w:val="clear" w:color="auto" w:fill="auto"/>
            <w:vAlign w:val="center"/>
          </w:tcPr>
          <w:p w14:paraId="5E5B36A5" w14:textId="7C3A1F1D" w:rsidR="001559C8" w:rsidRPr="00100C47" w:rsidRDefault="008F1976" w:rsidP="001063B5">
            <w:pPr>
              <w:pStyle w:val="BodyText"/>
              <w:adjustRightInd w:val="0"/>
              <w:snapToGrid w:val="0"/>
              <w:spacing w:line="360" w:lineRule="auto"/>
              <w:jc w:val="center"/>
              <w:rPr>
                <w:b/>
                <w:bCs/>
                <w:color w:val="1F1F1F"/>
              </w:rPr>
            </w:pPr>
            <w:r w:rsidRPr="00100C47">
              <w:rPr>
                <w:b/>
                <w:bCs/>
                <w:lang w:val="en-IN"/>
              </w:rPr>
              <w:t>Diacerein</w:t>
            </w:r>
          </w:p>
        </w:tc>
        <w:tc>
          <w:tcPr>
            <w:tcW w:w="3207" w:type="dxa"/>
            <w:tcBorders>
              <w:top w:val="single" w:sz="8" w:space="0" w:color="auto"/>
              <w:bottom w:val="single" w:sz="4" w:space="0" w:color="auto"/>
            </w:tcBorders>
            <w:shd w:val="clear" w:color="auto" w:fill="auto"/>
            <w:vAlign w:val="center"/>
          </w:tcPr>
          <w:p w14:paraId="6C4C49AE" w14:textId="77777777" w:rsidR="001559C8" w:rsidRPr="00100C47" w:rsidRDefault="001559C8" w:rsidP="001063B5">
            <w:pPr>
              <w:pStyle w:val="BodyText"/>
              <w:adjustRightInd w:val="0"/>
              <w:snapToGrid w:val="0"/>
              <w:spacing w:line="360" w:lineRule="auto"/>
              <w:jc w:val="center"/>
              <w:rPr>
                <w:b/>
                <w:bCs/>
                <w:color w:val="1F1F1F"/>
              </w:rPr>
            </w:pPr>
            <w:r w:rsidRPr="00100C47">
              <w:rPr>
                <w:b/>
                <w:bCs/>
                <w:lang w:val="en-IN"/>
              </w:rPr>
              <w:t>Rhein</w:t>
            </w:r>
          </w:p>
        </w:tc>
      </w:tr>
      <w:tr w:rsidR="001559C8" w:rsidRPr="00100C47" w14:paraId="6D1E9A97" w14:textId="77777777" w:rsidTr="008C7A98">
        <w:trPr>
          <w:jc w:val="center"/>
        </w:trPr>
        <w:tc>
          <w:tcPr>
            <w:tcW w:w="3865" w:type="dxa"/>
            <w:tcBorders>
              <w:top w:val="single" w:sz="4" w:space="0" w:color="auto"/>
            </w:tcBorders>
            <w:shd w:val="clear" w:color="auto" w:fill="auto"/>
            <w:vAlign w:val="center"/>
          </w:tcPr>
          <w:p w14:paraId="145E3E1B" w14:textId="7E6F3ED0" w:rsidR="001559C8" w:rsidRPr="00100C47" w:rsidRDefault="001559C8" w:rsidP="001063B5">
            <w:pPr>
              <w:pStyle w:val="BodyText"/>
              <w:adjustRightInd w:val="0"/>
              <w:snapToGrid w:val="0"/>
              <w:spacing w:line="360" w:lineRule="auto"/>
              <w:jc w:val="center"/>
              <w:rPr>
                <w:b/>
                <w:bCs/>
                <w:color w:val="1F1F1F"/>
              </w:rPr>
            </w:pPr>
            <w:r w:rsidRPr="00100C47">
              <w:rPr>
                <w:b/>
                <w:bCs/>
                <w:lang w:val="en-IN"/>
              </w:rPr>
              <w:t>Ret</w:t>
            </w:r>
            <w:r w:rsidR="005D115F">
              <w:rPr>
                <w:b/>
                <w:bCs/>
                <w:lang w:val="en-IN"/>
              </w:rPr>
              <w:t>ention</w:t>
            </w:r>
            <w:r w:rsidRPr="00100C47">
              <w:rPr>
                <w:b/>
                <w:bCs/>
                <w:lang w:val="en-IN"/>
              </w:rPr>
              <w:t xml:space="preserve"> time </w:t>
            </w:r>
            <w:r w:rsidR="001063B5" w:rsidRPr="00100C47">
              <w:rPr>
                <w:b/>
                <w:bCs/>
                <w:lang w:val="en-IN"/>
              </w:rPr>
              <w:t>(min)</w:t>
            </w:r>
          </w:p>
        </w:tc>
        <w:tc>
          <w:tcPr>
            <w:tcW w:w="2547" w:type="dxa"/>
            <w:tcBorders>
              <w:top w:val="single" w:sz="4" w:space="0" w:color="auto"/>
            </w:tcBorders>
            <w:shd w:val="clear" w:color="auto" w:fill="auto"/>
            <w:vAlign w:val="center"/>
          </w:tcPr>
          <w:p w14:paraId="7E81450E"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6.8</w:t>
            </w:r>
          </w:p>
        </w:tc>
        <w:tc>
          <w:tcPr>
            <w:tcW w:w="3207" w:type="dxa"/>
            <w:tcBorders>
              <w:top w:val="single" w:sz="4" w:space="0" w:color="auto"/>
            </w:tcBorders>
            <w:shd w:val="clear" w:color="auto" w:fill="auto"/>
            <w:vAlign w:val="center"/>
          </w:tcPr>
          <w:p w14:paraId="40433394"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9.2</w:t>
            </w:r>
          </w:p>
        </w:tc>
      </w:tr>
      <w:tr w:rsidR="001559C8" w:rsidRPr="00100C47" w14:paraId="2B9A8710" w14:textId="77777777" w:rsidTr="008C7A98">
        <w:trPr>
          <w:jc w:val="center"/>
        </w:trPr>
        <w:tc>
          <w:tcPr>
            <w:tcW w:w="3865" w:type="dxa"/>
            <w:shd w:val="clear" w:color="auto" w:fill="auto"/>
            <w:vAlign w:val="center"/>
          </w:tcPr>
          <w:p w14:paraId="4A1D8D4A" w14:textId="5DF66B23" w:rsidR="001559C8" w:rsidRPr="00100C47" w:rsidRDefault="001559C8" w:rsidP="001063B5">
            <w:pPr>
              <w:pStyle w:val="BodyText"/>
              <w:adjustRightInd w:val="0"/>
              <w:snapToGrid w:val="0"/>
              <w:spacing w:line="360" w:lineRule="auto"/>
              <w:jc w:val="center"/>
              <w:rPr>
                <w:b/>
                <w:bCs/>
                <w:color w:val="1F1F1F"/>
              </w:rPr>
            </w:pPr>
            <w:r w:rsidRPr="00100C47">
              <w:rPr>
                <w:b/>
                <w:bCs/>
                <w:lang w:val="en-IN"/>
              </w:rPr>
              <w:t>Area</w:t>
            </w:r>
            <w:r w:rsidR="001063B5" w:rsidRPr="00100C47">
              <w:rPr>
                <w:b/>
                <w:bCs/>
                <w:lang w:val="en-IN"/>
              </w:rPr>
              <w:t xml:space="preserve"> </w:t>
            </w:r>
          </w:p>
        </w:tc>
        <w:tc>
          <w:tcPr>
            <w:tcW w:w="2547" w:type="dxa"/>
            <w:shd w:val="clear" w:color="auto" w:fill="auto"/>
            <w:vAlign w:val="center"/>
          </w:tcPr>
          <w:p w14:paraId="6AC2223A"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4156</w:t>
            </w:r>
          </w:p>
        </w:tc>
        <w:tc>
          <w:tcPr>
            <w:tcW w:w="3207" w:type="dxa"/>
            <w:shd w:val="clear" w:color="auto" w:fill="auto"/>
            <w:vAlign w:val="center"/>
          </w:tcPr>
          <w:p w14:paraId="34A7FCD0"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42901</w:t>
            </w:r>
          </w:p>
        </w:tc>
      </w:tr>
      <w:tr w:rsidR="001559C8" w:rsidRPr="00100C47" w14:paraId="5FB15BDD" w14:textId="77777777" w:rsidTr="008C7A98">
        <w:trPr>
          <w:jc w:val="center"/>
        </w:trPr>
        <w:tc>
          <w:tcPr>
            <w:tcW w:w="3865" w:type="dxa"/>
            <w:shd w:val="clear" w:color="auto" w:fill="auto"/>
            <w:vAlign w:val="center"/>
          </w:tcPr>
          <w:p w14:paraId="623C3FEF" w14:textId="77777777" w:rsidR="001559C8" w:rsidRPr="00100C47" w:rsidRDefault="001559C8" w:rsidP="001063B5">
            <w:pPr>
              <w:pStyle w:val="BodyText"/>
              <w:adjustRightInd w:val="0"/>
              <w:snapToGrid w:val="0"/>
              <w:spacing w:line="360" w:lineRule="auto"/>
              <w:jc w:val="center"/>
              <w:rPr>
                <w:b/>
                <w:bCs/>
                <w:color w:val="1F1F1F"/>
              </w:rPr>
            </w:pPr>
            <w:r w:rsidRPr="00100C47">
              <w:rPr>
                <w:b/>
                <w:bCs/>
                <w:lang w:val="en-IN"/>
              </w:rPr>
              <w:t>Height</w:t>
            </w:r>
          </w:p>
        </w:tc>
        <w:tc>
          <w:tcPr>
            <w:tcW w:w="2547" w:type="dxa"/>
            <w:shd w:val="clear" w:color="auto" w:fill="auto"/>
            <w:vAlign w:val="center"/>
          </w:tcPr>
          <w:p w14:paraId="3C6DACD5"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1706</w:t>
            </w:r>
          </w:p>
        </w:tc>
        <w:tc>
          <w:tcPr>
            <w:tcW w:w="3207" w:type="dxa"/>
            <w:shd w:val="clear" w:color="auto" w:fill="auto"/>
            <w:vAlign w:val="center"/>
          </w:tcPr>
          <w:p w14:paraId="568C4EA1"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3547</w:t>
            </w:r>
          </w:p>
        </w:tc>
      </w:tr>
      <w:tr w:rsidR="001559C8" w:rsidRPr="00100C47" w14:paraId="28AA3E1A" w14:textId="77777777" w:rsidTr="008C7A98">
        <w:trPr>
          <w:jc w:val="center"/>
        </w:trPr>
        <w:tc>
          <w:tcPr>
            <w:tcW w:w="3865" w:type="dxa"/>
            <w:shd w:val="clear" w:color="auto" w:fill="auto"/>
            <w:vAlign w:val="center"/>
          </w:tcPr>
          <w:p w14:paraId="321E2446" w14:textId="77777777" w:rsidR="001559C8" w:rsidRPr="00100C47" w:rsidRDefault="001559C8" w:rsidP="001063B5">
            <w:pPr>
              <w:pStyle w:val="BodyText"/>
              <w:adjustRightInd w:val="0"/>
              <w:snapToGrid w:val="0"/>
              <w:spacing w:line="360" w:lineRule="auto"/>
              <w:jc w:val="center"/>
              <w:rPr>
                <w:b/>
                <w:bCs/>
                <w:color w:val="1F1F1F"/>
              </w:rPr>
            </w:pPr>
            <w:r w:rsidRPr="00100C47">
              <w:rPr>
                <w:b/>
                <w:bCs/>
                <w:lang w:val="en-IN"/>
              </w:rPr>
              <w:t>Tailing factor</w:t>
            </w:r>
          </w:p>
        </w:tc>
        <w:tc>
          <w:tcPr>
            <w:tcW w:w="2547" w:type="dxa"/>
            <w:shd w:val="clear" w:color="auto" w:fill="auto"/>
            <w:vAlign w:val="center"/>
          </w:tcPr>
          <w:p w14:paraId="496255FD"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0.971</w:t>
            </w:r>
          </w:p>
        </w:tc>
        <w:tc>
          <w:tcPr>
            <w:tcW w:w="3207" w:type="dxa"/>
            <w:shd w:val="clear" w:color="auto" w:fill="auto"/>
            <w:vAlign w:val="center"/>
          </w:tcPr>
          <w:p w14:paraId="5C89AC77"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1.103</w:t>
            </w:r>
          </w:p>
        </w:tc>
      </w:tr>
      <w:tr w:rsidR="001559C8" w:rsidRPr="00100C47" w14:paraId="796B661D" w14:textId="77777777" w:rsidTr="008C7A98">
        <w:trPr>
          <w:jc w:val="center"/>
        </w:trPr>
        <w:tc>
          <w:tcPr>
            <w:tcW w:w="3865" w:type="dxa"/>
            <w:shd w:val="clear" w:color="auto" w:fill="auto"/>
            <w:vAlign w:val="center"/>
          </w:tcPr>
          <w:p w14:paraId="261D425D" w14:textId="77777777" w:rsidR="001559C8" w:rsidRPr="00100C47" w:rsidRDefault="001559C8" w:rsidP="001063B5">
            <w:pPr>
              <w:pStyle w:val="BodyText"/>
              <w:adjustRightInd w:val="0"/>
              <w:snapToGrid w:val="0"/>
              <w:spacing w:line="360" w:lineRule="auto"/>
              <w:jc w:val="center"/>
              <w:rPr>
                <w:b/>
                <w:bCs/>
                <w:color w:val="1F1F1F"/>
              </w:rPr>
            </w:pPr>
            <w:r w:rsidRPr="00100C47">
              <w:rPr>
                <w:b/>
                <w:bCs/>
              </w:rPr>
              <w:t>No. of theoretical plate (USP)</w:t>
            </w:r>
          </w:p>
        </w:tc>
        <w:tc>
          <w:tcPr>
            <w:tcW w:w="2547" w:type="dxa"/>
            <w:shd w:val="clear" w:color="auto" w:fill="auto"/>
            <w:vAlign w:val="center"/>
          </w:tcPr>
          <w:p w14:paraId="4B87B83C"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10815</w:t>
            </w:r>
          </w:p>
        </w:tc>
        <w:tc>
          <w:tcPr>
            <w:tcW w:w="3207" w:type="dxa"/>
            <w:shd w:val="clear" w:color="auto" w:fill="auto"/>
            <w:vAlign w:val="center"/>
          </w:tcPr>
          <w:p w14:paraId="30B3B675"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12762</w:t>
            </w:r>
          </w:p>
        </w:tc>
      </w:tr>
      <w:tr w:rsidR="001559C8" w:rsidRPr="00100C47" w14:paraId="68D50B64" w14:textId="77777777" w:rsidTr="008C7A98">
        <w:trPr>
          <w:jc w:val="center"/>
        </w:trPr>
        <w:tc>
          <w:tcPr>
            <w:tcW w:w="3865" w:type="dxa"/>
            <w:shd w:val="clear" w:color="auto" w:fill="auto"/>
            <w:vAlign w:val="center"/>
          </w:tcPr>
          <w:p w14:paraId="28396EE8" w14:textId="77777777" w:rsidR="001559C8" w:rsidRPr="00100C47" w:rsidRDefault="001559C8" w:rsidP="001063B5">
            <w:pPr>
              <w:pStyle w:val="BodyText"/>
              <w:adjustRightInd w:val="0"/>
              <w:snapToGrid w:val="0"/>
              <w:spacing w:line="360" w:lineRule="auto"/>
              <w:jc w:val="center"/>
              <w:rPr>
                <w:b/>
                <w:bCs/>
                <w:color w:val="1F1F1F"/>
              </w:rPr>
            </w:pPr>
            <w:r w:rsidRPr="00100C47">
              <w:rPr>
                <w:b/>
                <w:bCs/>
                <w:lang w:val="en-IN"/>
              </w:rPr>
              <w:t>HETP (USP)</w:t>
            </w:r>
          </w:p>
        </w:tc>
        <w:tc>
          <w:tcPr>
            <w:tcW w:w="2547" w:type="dxa"/>
            <w:shd w:val="clear" w:color="auto" w:fill="auto"/>
            <w:vAlign w:val="center"/>
          </w:tcPr>
          <w:p w14:paraId="3E60843C"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13.87</w:t>
            </w:r>
          </w:p>
        </w:tc>
        <w:tc>
          <w:tcPr>
            <w:tcW w:w="3207" w:type="dxa"/>
            <w:shd w:val="clear" w:color="auto" w:fill="auto"/>
            <w:vAlign w:val="center"/>
          </w:tcPr>
          <w:p w14:paraId="17BDD65A"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11.75</w:t>
            </w:r>
          </w:p>
        </w:tc>
      </w:tr>
      <w:tr w:rsidR="001559C8" w:rsidRPr="00100C47" w14:paraId="76868E86" w14:textId="77777777" w:rsidTr="008C7A98">
        <w:trPr>
          <w:jc w:val="center"/>
        </w:trPr>
        <w:tc>
          <w:tcPr>
            <w:tcW w:w="3865" w:type="dxa"/>
            <w:shd w:val="clear" w:color="auto" w:fill="auto"/>
            <w:vAlign w:val="center"/>
          </w:tcPr>
          <w:p w14:paraId="5022ED38" w14:textId="77777777" w:rsidR="001559C8" w:rsidRPr="00100C47" w:rsidRDefault="001559C8" w:rsidP="001063B5">
            <w:pPr>
              <w:pStyle w:val="BodyText"/>
              <w:adjustRightInd w:val="0"/>
              <w:snapToGrid w:val="0"/>
              <w:spacing w:line="360" w:lineRule="auto"/>
              <w:jc w:val="center"/>
              <w:rPr>
                <w:b/>
                <w:bCs/>
                <w:color w:val="1F1F1F"/>
              </w:rPr>
            </w:pPr>
            <w:r w:rsidRPr="00100C47">
              <w:rPr>
                <w:b/>
                <w:bCs/>
                <w:lang w:val="en-IN"/>
              </w:rPr>
              <w:t>Peak purity index</w:t>
            </w:r>
          </w:p>
        </w:tc>
        <w:tc>
          <w:tcPr>
            <w:tcW w:w="2547" w:type="dxa"/>
            <w:shd w:val="clear" w:color="auto" w:fill="auto"/>
            <w:vAlign w:val="center"/>
          </w:tcPr>
          <w:p w14:paraId="66F35AC7"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0.0942</w:t>
            </w:r>
          </w:p>
        </w:tc>
        <w:tc>
          <w:tcPr>
            <w:tcW w:w="3207" w:type="dxa"/>
            <w:shd w:val="clear" w:color="auto" w:fill="auto"/>
            <w:vAlign w:val="center"/>
          </w:tcPr>
          <w:p w14:paraId="20EE718A" w14:textId="77777777" w:rsidR="001559C8" w:rsidRPr="00100C47" w:rsidRDefault="001559C8" w:rsidP="001063B5">
            <w:pPr>
              <w:pStyle w:val="BodyText"/>
              <w:adjustRightInd w:val="0"/>
              <w:snapToGrid w:val="0"/>
              <w:spacing w:line="360" w:lineRule="auto"/>
              <w:jc w:val="center"/>
              <w:rPr>
                <w:b/>
                <w:bCs/>
                <w:color w:val="1F1F1F"/>
              </w:rPr>
            </w:pPr>
            <w:r w:rsidRPr="00100C47">
              <w:rPr>
                <w:lang w:val="en-IN"/>
              </w:rPr>
              <w:t>0.0936</w:t>
            </w:r>
          </w:p>
        </w:tc>
      </w:tr>
      <w:tr w:rsidR="001559C8" w:rsidRPr="00100C47" w14:paraId="153E4193" w14:textId="77777777" w:rsidTr="008C7A98">
        <w:trPr>
          <w:jc w:val="center"/>
        </w:trPr>
        <w:tc>
          <w:tcPr>
            <w:tcW w:w="3865" w:type="dxa"/>
            <w:shd w:val="clear" w:color="auto" w:fill="auto"/>
            <w:vAlign w:val="center"/>
          </w:tcPr>
          <w:p w14:paraId="2316B141" w14:textId="77777777" w:rsidR="001559C8" w:rsidRPr="00100C47" w:rsidRDefault="001559C8" w:rsidP="001063B5">
            <w:pPr>
              <w:pStyle w:val="BodyText"/>
              <w:adjustRightInd w:val="0"/>
              <w:snapToGrid w:val="0"/>
              <w:spacing w:line="360" w:lineRule="auto"/>
              <w:jc w:val="center"/>
              <w:rPr>
                <w:b/>
                <w:bCs/>
                <w:color w:val="1F1F1F"/>
              </w:rPr>
            </w:pPr>
            <w:r w:rsidRPr="00100C47">
              <w:rPr>
                <w:b/>
                <w:bCs/>
                <w:lang w:val="en-IN"/>
              </w:rPr>
              <w:t>Resolution factor (USP)</w:t>
            </w:r>
          </w:p>
        </w:tc>
        <w:tc>
          <w:tcPr>
            <w:tcW w:w="2547" w:type="dxa"/>
            <w:shd w:val="clear" w:color="auto" w:fill="auto"/>
            <w:vAlign w:val="center"/>
          </w:tcPr>
          <w:p w14:paraId="389AC6C8" w14:textId="77777777" w:rsidR="001559C8" w:rsidRPr="00100C47" w:rsidRDefault="001559C8" w:rsidP="001063B5">
            <w:pPr>
              <w:pStyle w:val="BodyText"/>
              <w:adjustRightInd w:val="0"/>
              <w:snapToGrid w:val="0"/>
              <w:spacing w:line="360" w:lineRule="auto"/>
              <w:jc w:val="center"/>
              <w:rPr>
                <w:b/>
                <w:bCs/>
                <w:color w:val="1F1F1F"/>
              </w:rPr>
            </w:pPr>
          </w:p>
        </w:tc>
        <w:tc>
          <w:tcPr>
            <w:tcW w:w="3207" w:type="dxa"/>
            <w:shd w:val="clear" w:color="auto" w:fill="auto"/>
            <w:vAlign w:val="center"/>
          </w:tcPr>
          <w:p w14:paraId="24C8BB07" w14:textId="77777777" w:rsidR="001559C8" w:rsidRPr="00100C47" w:rsidRDefault="001559C8" w:rsidP="001063B5">
            <w:pPr>
              <w:adjustRightInd w:val="0"/>
              <w:snapToGrid w:val="0"/>
              <w:spacing w:line="360" w:lineRule="auto"/>
              <w:jc w:val="center"/>
              <w:rPr>
                <w:rFonts w:ascii="Times New Roman" w:hAnsi="Times New Roman" w:cs="Times New Roman"/>
                <w:sz w:val="24"/>
                <w:szCs w:val="24"/>
              </w:rPr>
            </w:pPr>
            <w:r w:rsidRPr="00100C47">
              <w:rPr>
                <w:rFonts w:ascii="Times New Roman" w:hAnsi="Times New Roman" w:cs="Times New Roman"/>
                <w:sz w:val="24"/>
                <w:szCs w:val="24"/>
                <w:lang w:val="en-IN"/>
              </w:rPr>
              <w:t>8.34</w:t>
            </w:r>
          </w:p>
          <w:p w14:paraId="43BBC340" w14:textId="62E156C9" w:rsidR="001559C8" w:rsidRPr="00100C47" w:rsidRDefault="008F1976" w:rsidP="001063B5">
            <w:pPr>
              <w:pStyle w:val="BodyText"/>
              <w:adjustRightInd w:val="0"/>
              <w:snapToGrid w:val="0"/>
              <w:spacing w:line="360" w:lineRule="auto"/>
              <w:jc w:val="center"/>
              <w:rPr>
                <w:b/>
                <w:bCs/>
                <w:color w:val="1F1F1F"/>
              </w:rPr>
            </w:pPr>
            <w:r w:rsidRPr="00100C47">
              <w:rPr>
                <w:lang w:val="en-IN"/>
              </w:rPr>
              <w:t>diacerein</w:t>
            </w:r>
            <w:r w:rsidR="001559C8" w:rsidRPr="00100C47">
              <w:rPr>
                <w:lang w:val="en-IN"/>
              </w:rPr>
              <w:t>/</w:t>
            </w:r>
            <w:proofErr w:type="spellStart"/>
            <w:r w:rsidR="001559C8" w:rsidRPr="00100C47">
              <w:rPr>
                <w:lang w:val="en-IN"/>
              </w:rPr>
              <w:t>rhein</w:t>
            </w:r>
            <w:proofErr w:type="spellEnd"/>
          </w:p>
        </w:tc>
      </w:tr>
    </w:tbl>
    <w:p w14:paraId="3160EF4B" w14:textId="79D87E28" w:rsidR="006F720F" w:rsidRDefault="006F720F" w:rsidP="004131F4">
      <w:pPr>
        <w:pStyle w:val="MDPI31text"/>
        <w:spacing w:line="360" w:lineRule="auto"/>
        <w:ind w:left="720" w:firstLine="0"/>
        <w:rPr>
          <w:rFonts w:ascii="Times New Roman" w:hAnsi="Times New Roman"/>
          <w:bCs/>
          <w:sz w:val="24"/>
          <w:szCs w:val="24"/>
        </w:rPr>
      </w:pPr>
    </w:p>
    <w:p w14:paraId="7FF412ED" w14:textId="211ED34C" w:rsidR="00F019AF" w:rsidRPr="00100C47" w:rsidRDefault="00F74470" w:rsidP="006F720F">
      <w:pPr>
        <w:pStyle w:val="MDPI31text"/>
        <w:spacing w:line="360" w:lineRule="auto"/>
        <w:ind w:left="0" w:firstLine="0"/>
        <w:rPr>
          <w:rFonts w:ascii="Times New Roman" w:hAnsi="Times New Roman"/>
          <w:bCs/>
          <w:sz w:val="24"/>
          <w:szCs w:val="24"/>
        </w:rPr>
      </w:pPr>
      <w:r w:rsidRPr="00100C47">
        <w:rPr>
          <w:rFonts w:ascii="Times New Roman" w:hAnsi="Times New Roman"/>
          <w:noProof/>
        </w:rPr>
        <w:drawing>
          <wp:inline distT="0" distB="0" distL="0" distR="0" wp14:anchorId="4A055211" wp14:editId="78CA5B1C">
            <wp:extent cx="5943600" cy="2599055"/>
            <wp:effectExtent l="0" t="0" r="0" b="0"/>
            <wp:docPr id="1951879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599055"/>
                    </a:xfrm>
                    <a:prstGeom prst="rect">
                      <a:avLst/>
                    </a:prstGeom>
                    <a:noFill/>
                    <a:ln>
                      <a:noFill/>
                    </a:ln>
                  </pic:spPr>
                </pic:pic>
              </a:graphicData>
            </a:graphic>
          </wp:inline>
        </w:drawing>
      </w:r>
    </w:p>
    <w:p w14:paraId="71D70B5B" w14:textId="77777777" w:rsidR="006F720F" w:rsidRPr="00100C47" w:rsidRDefault="006F720F" w:rsidP="006F720F">
      <w:pPr>
        <w:pStyle w:val="MDPI31text"/>
        <w:spacing w:line="360" w:lineRule="auto"/>
        <w:ind w:left="0" w:firstLine="0"/>
        <w:rPr>
          <w:rFonts w:ascii="Times New Roman" w:hAnsi="Times New Roman"/>
          <w:b/>
          <w:sz w:val="24"/>
          <w:szCs w:val="24"/>
        </w:rPr>
      </w:pPr>
    </w:p>
    <w:p w14:paraId="3E26E18A" w14:textId="0D14F94E" w:rsidR="006F720F" w:rsidRPr="00100C47" w:rsidRDefault="006F720F" w:rsidP="006F720F">
      <w:pPr>
        <w:pStyle w:val="MDPI31text"/>
        <w:spacing w:line="360" w:lineRule="auto"/>
        <w:ind w:left="360" w:firstLine="0"/>
        <w:rPr>
          <w:rFonts w:ascii="Times New Roman" w:hAnsi="Times New Roman"/>
          <w:b/>
          <w:sz w:val="24"/>
          <w:szCs w:val="24"/>
        </w:rPr>
      </w:pPr>
      <w:r w:rsidRPr="00100C47">
        <w:rPr>
          <w:rFonts w:ascii="Times New Roman" w:hAnsi="Times New Roman"/>
          <w:b/>
          <w:color w:val="1F1F1F"/>
          <w:sz w:val="24"/>
          <w:szCs w:val="24"/>
        </w:rPr>
        <w:t>Fig</w:t>
      </w:r>
      <w:r w:rsidR="001B5E10">
        <w:rPr>
          <w:rFonts w:ascii="Times New Roman" w:hAnsi="Times New Roman"/>
          <w:b/>
          <w:color w:val="1F1F1F"/>
          <w:sz w:val="24"/>
          <w:szCs w:val="24"/>
        </w:rPr>
        <w:t>.</w:t>
      </w:r>
      <w:r w:rsidRPr="00100C47">
        <w:rPr>
          <w:rFonts w:ascii="Times New Roman" w:hAnsi="Times New Roman"/>
          <w:b/>
          <w:color w:val="1F1F1F"/>
          <w:sz w:val="24"/>
          <w:szCs w:val="24"/>
        </w:rPr>
        <w:t xml:space="preserve"> </w:t>
      </w:r>
      <w:r w:rsidR="00D8044B">
        <w:rPr>
          <w:rFonts w:ascii="Times New Roman" w:hAnsi="Times New Roman"/>
          <w:b/>
          <w:color w:val="1F1F1F"/>
          <w:sz w:val="24"/>
          <w:szCs w:val="24"/>
        </w:rPr>
        <w:t>S</w:t>
      </w:r>
      <w:r w:rsidRPr="00100C47">
        <w:rPr>
          <w:rFonts w:ascii="Times New Roman" w:hAnsi="Times New Roman"/>
          <w:b/>
          <w:color w:val="1F1F1F"/>
          <w:sz w:val="24"/>
          <w:szCs w:val="24"/>
        </w:rPr>
        <w:t xml:space="preserve">1. </w:t>
      </w:r>
      <w:r w:rsidRPr="00100C47">
        <w:rPr>
          <w:rFonts w:ascii="Times New Roman" w:hAnsi="Times New Roman"/>
          <w:sz w:val="24"/>
          <w:szCs w:val="24"/>
        </w:rPr>
        <w:t xml:space="preserve">Typical optimized HPLC chromatogram of </w:t>
      </w:r>
      <w:proofErr w:type="spellStart"/>
      <w:r w:rsidRPr="00100C47">
        <w:rPr>
          <w:rFonts w:ascii="Times New Roman" w:hAnsi="Times New Roman"/>
          <w:sz w:val="24"/>
          <w:szCs w:val="24"/>
        </w:rPr>
        <w:t>rhein</w:t>
      </w:r>
      <w:proofErr w:type="spellEnd"/>
      <w:r w:rsidRPr="00100C47">
        <w:rPr>
          <w:rFonts w:ascii="Times New Roman" w:hAnsi="Times New Roman"/>
          <w:sz w:val="24"/>
          <w:szCs w:val="24"/>
        </w:rPr>
        <w:t xml:space="preserve"> and </w:t>
      </w:r>
      <w:r w:rsidR="008F1976" w:rsidRPr="00100C47">
        <w:rPr>
          <w:rFonts w:ascii="Times New Roman" w:hAnsi="Times New Roman"/>
          <w:sz w:val="24"/>
          <w:szCs w:val="24"/>
        </w:rPr>
        <w:t>diacerein</w:t>
      </w:r>
      <w:r w:rsidRPr="00100C47">
        <w:rPr>
          <w:rFonts w:ascii="Times New Roman" w:hAnsi="Times New Roman"/>
          <w:sz w:val="24"/>
          <w:szCs w:val="24"/>
        </w:rPr>
        <w:t xml:space="preserve"> (IS) by </w:t>
      </w:r>
      <w:r w:rsidRPr="00100C47">
        <w:rPr>
          <w:rFonts w:ascii="Times New Roman" w:hAnsi="Times New Roman"/>
          <w:bCs/>
          <w:sz w:val="24"/>
          <w:szCs w:val="24"/>
        </w:rPr>
        <w:t xml:space="preserve">optimized method. </w:t>
      </w:r>
    </w:p>
    <w:p w14:paraId="37F4C390" w14:textId="0DD047B6" w:rsidR="001559C8" w:rsidRPr="00100C47" w:rsidRDefault="001559C8" w:rsidP="006F720F">
      <w:pPr>
        <w:pStyle w:val="MDPI31text"/>
        <w:numPr>
          <w:ilvl w:val="0"/>
          <w:numId w:val="7"/>
        </w:numPr>
        <w:spacing w:line="360" w:lineRule="auto"/>
        <w:rPr>
          <w:rFonts w:ascii="Times New Roman" w:hAnsi="Times New Roman"/>
          <w:b/>
          <w:sz w:val="24"/>
          <w:szCs w:val="24"/>
        </w:rPr>
      </w:pPr>
      <w:r w:rsidRPr="00100C47">
        <w:rPr>
          <w:rFonts w:ascii="Times New Roman" w:hAnsi="Times New Roman"/>
          <w:b/>
          <w:sz w:val="24"/>
          <w:szCs w:val="24"/>
        </w:rPr>
        <w:t>Specificity</w:t>
      </w:r>
    </w:p>
    <w:p w14:paraId="3154EEA1" w14:textId="6DEDB8DE" w:rsidR="001559C8" w:rsidRPr="00100C47" w:rsidRDefault="001559C8" w:rsidP="00F019AF">
      <w:pPr>
        <w:pStyle w:val="MDPI31text"/>
        <w:spacing w:line="360" w:lineRule="auto"/>
        <w:ind w:left="0" w:firstLine="0"/>
        <w:rPr>
          <w:rFonts w:ascii="Times New Roman" w:hAnsi="Times New Roman"/>
          <w:bCs/>
          <w:sz w:val="24"/>
          <w:szCs w:val="24"/>
        </w:rPr>
      </w:pPr>
      <w:r w:rsidRPr="00100C47">
        <w:rPr>
          <w:rFonts w:ascii="Times New Roman" w:hAnsi="Times New Roman"/>
          <w:sz w:val="24"/>
          <w:szCs w:val="24"/>
        </w:rPr>
        <w:t xml:space="preserve">The </w:t>
      </w:r>
      <w:r w:rsidR="000B5BA5" w:rsidRPr="000B5BA5">
        <w:rPr>
          <w:rFonts w:ascii="Times New Roman" w:hAnsi="Times New Roman"/>
          <w:sz w:val="24"/>
          <w:szCs w:val="24"/>
        </w:rPr>
        <w:t xml:space="preserve">interference biological matrices were compared to the </w:t>
      </w:r>
      <w:proofErr w:type="spellStart"/>
      <w:r w:rsidR="00D8044B">
        <w:rPr>
          <w:rFonts w:ascii="Times New Roman" w:hAnsi="Times New Roman"/>
          <w:sz w:val="24"/>
          <w:szCs w:val="24"/>
        </w:rPr>
        <w:t>r</w:t>
      </w:r>
      <w:r w:rsidR="000B5BA5" w:rsidRPr="000B5BA5">
        <w:rPr>
          <w:rFonts w:ascii="Times New Roman" w:hAnsi="Times New Roman"/>
          <w:sz w:val="24"/>
          <w:szCs w:val="24"/>
        </w:rPr>
        <w:t>hein</w:t>
      </w:r>
      <w:proofErr w:type="spellEnd"/>
      <w:r w:rsidR="000B5BA5" w:rsidRPr="000B5BA5">
        <w:rPr>
          <w:rFonts w:ascii="Times New Roman" w:hAnsi="Times New Roman"/>
          <w:sz w:val="24"/>
          <w:szCs w:val="24"/>
        </w:rPr>
        <w:t xml:space="preserve"> and </w:t>
      </w:r>
      <w:r w:rsidR="00D8044B">
        <w:rPr>
          <w:rFonts w:ascii="Times New Roman" w:hAnsi="Times New Roman"/>
          <w:sz w:val="24"/>
          <w:szCs w:val="24"/>
        </w:rPr>
        <w:t>IS</w:t>
      </w:r>
      <w:r w:rsidR="000B5BA5" w:rsidRPr="000B5BA5">
        <w:rPr>
          <w:rFonts w:ascii="Times New Roman" w:hAnsi="Times New Roman"/>
          <w:sz w:val="24"/>
          <w:szCs w:val="24"/>
        </w:rPr>
        <w:t xml:space="preserve"> </w:t>
      </w:r>
      <w:r w:rsidR="00D8044B">
        <w:rPr>
          <w:rFonts w:ascii="Times New Roman" w:hAnsi="Times New Roman"/>
          <w:sz w:val="24"/>
          <w:szCs w:val="24"/>
        </w:rPr>
        <w:t>to</w:t>
      </w:r>
      <w:r w:rsidR="000B5BA5" w:rsidRPr="000B5BA5">
        <w:rPr>
          <w:rFonts w:ascii="Times New Roman" w:hAnsi="Times New Roman"/>
          <w:sz w:val="24"/>
          <w:szCs w:val="24"/>
        </w:rPr>
        <w:t xml:space="preserve"> assess the specificity</w:t>
      </w:r>
      <w:r w:rsidR="000B5BA5">
        <w:rPr>
          <w:rFonts w:ascii="Times New Roman" w:hAnsi="Times New Roman"/>
          <w:sz w:val="24"/>
          <w:szCs w:val="24"/>
        </w:rPr>
        <w:t xml:space="preserve"> of </w:t>
      </w:r>
      <w:r w:rsidR="008F1976">
        <w:rPr>
          <w:rFonts w:ascii="Times New Roman" w:hAnsi="Times New Roman"/>
          <w:sz w:val="24"/>
          <w:szCs w:val="24"/>
        </w:rPr>
        <w:t xml:space="preserve">the </w:t>
      </w:r>
      <w:r w:rsidR="00D8044B">
        <w:rPr>
          <w:rFonts w:ascii="Times New Roman" w:hAnsi="Times New Roman"/>
          <w:sz w:val="24"/>
          <w:szCs w:val="24"/>
        </w:rPr>
        <w:t>method</w:t>
      </w:r>
      <w:r w:rsidR="000B5BA5" w:rsidRPr="000B5BA5">
        <w:rPr>
          <w:rFonts w:ascii="Times New Roman" w:hAnsi="Times New Roman"/>
          <w:sz w:val="24"/>
          <w:szCs w:val="24"/>
        </w:rPr>
        <w:t xml:space="preserve">. Additionally, the interference of the degradation products against the </w:t>
      </w:r>
      <w:proofErr w:type="spellStart"/>
      <w:r w:rsidR="000B5BA5" w:rsidRPr="000B5BA5">
        <w:rPr>
          <w:rFonts w:ascii="Times New Roman" w:hAnsi="Times New Roman"/>
          <w:sz w:val="24"/>
          <w:szCs w:val="24"/>
        </w:rPr>
        <w:t>rhein</w:t>
      </w:r>
      <w:proofErr w:type="spellEnd"/>
      <w:r w:rsidR="000B5BA5" w:rsidRPr="000B5BA5">
        <w:rPr>
          <w:rFonts w:ascii="Times New Roman" w:hAnsi="Times New Roman"/>
          <w:sz w:val="24"/>
          <w:szCs w:val="24"/>
        </w:rPr>
        <w:t xml:space="preserve">, as illustrated in </w:t>
      </w:r>
      <w:r w:rsidR="000B5BA5" w:rsidRPr="00D8044B">
        <w:rPr>
          <w:rFonts w:ascii="Times New Roman" w:hAnsi="Times New Roman"/>
          <w:sz w:val="24"/>
          <w:szCs w:val="24"/>
        </w:rPr>
        <w:t>Fig</w:t>
      </w:r>
      <w:r w:rsidR="001B5E10">
        <w:rPr>
          <w:rFonts w:ascii="Times New Roman" w:hAnsi="Times New Roman"/>
          <w:sz w:val="24"/>
          <w:szCs w:val="24"/>
        </w:rPr>
        <w:t>.</w:t>
      </w:r>
      <w:r w:rsidR="000B5BA5" w:rsidRPr="00D8044B">
        <w:rPr>
          <w:rFonts w:ascii="Times New Roman" w:hAnsi="Times New Roman"/>
          <w:sz w:val="24"/>
          <w:szCs w:val="24"/>
        </w:rPr>
        <w:t xml:space="preserve"> </w:t>
      </w:r>
      <w:r w:rsidR="00D8044B" w:rsidRPr="00D8044B">
        <w:rPr>
          <w:rFonts w:ascii="Times New Roman" w:hAnsi="Times New Roman"/>
          <w:sz w:val="24"/>
          <w:szCs w:val="24"/>
        </w:rPr>
        <w:t>S</w:t>
      </w:r>
      <w:r w:rsidR="000B5BA5" w:rsidRPr="00D8044B">
        <w:rPr>
          <w:rFonts w:ascii="Times New Roman" w:hAnsi="Times New Roman"/>
          <w:sz w:val="24"/>
          <w:szCs w:val="24"/>
        </w:rPr>
        <w:t>2,</w:t>
      </w:r>
      <w:r w:rsidR="000B5BA5" w:rsidRPr="000B5BA5">
        <w:rPr>
          <w:rFonts w:ascii="Times New Roman" w:hAnsi="Times New Roman"/>
          <w:sz w:val="24"/>
          <w:szCs w:val="24"/>
        </w:rPr>
        <w:t xml:space="preserve"> was used to determine the specificity</w:t>
      </w:r>
      <w:r w:rsidR="00D8044B">
        <w:rPr>
          <w:rFonts w:ascii="Times New Roman" w:hAnsi="Times New Roman"/>
          <w:sz w:val="24"/>
          <w:szCs w:val="24"/>
        </w:rPr>
        <w:t>.</w:t>
      </w:r>
      <w:r w:rsidR="000B5BA5" w:rsidRPr="000B5BA5">
        <w:rPr>
          <w:rFonts w:ascii="Times New Roman" w:hAnsi="Times New Roman"/>
          <w:sz w:val="24"/>
          <w:szCs w:val="24"/>
        </w:rPr>
        <w:t xml:space="preserve"> </w:t>
      </w:r>
    </w:p>
    <w:p w14:paraId="72B91E56" w14:textId="77777777" w:rsidR="001559C8" w:rsidRPr="00100C47" w:rsidRDefault="001559C8" w:rsidP="004131F4">
      <w:pPr>
        <w:pStyle w:val="MDPI31text"/>
        <w:spacing w:line="360" w:lineRule="auto"/>
        <w:ind w:left="720" w:firstLine="0"/>
        <w:rPr>
          <w:rFonts w:ascii="Times New Roman" w:hAnsi="Times New Roman"/>
          <w:bCs/>
          <w:sz w:val="24"/>
          <w:szCs w:val="24"/>
        </w:rPr>
      </w:pPr>
    </w:p>
    <w:p w14:paraId="69DBA193" w14:textId="05DE49E8" w:rsidR="001559C8" w:rsidRPr="00100C47" w:rsidRDefault="001559C8" w:rsidP="004131F4">
      <w:pPr>
        <w:pStyle w:val="MDPI31text"/>
        <w:spacing w:line="360" w:lineRule="auto"/>
        <w:ind w:left="720" w:firstLine="0"/>
        <w:rPr>
          <w:rFonts w:ascii="Times New Roman" w:hAnsi="Times New Roman"/>
          <w:bCs/>
          <w:sz w:val="24"/>
          <w:szCs w:val="24"/>
        </w:rPr>
      </w:pPr>
      <w:r w:rsidRPr="00100C47">
        <w:rPr>
          <w:rFonts w:ascii="Times New Roman" w:hAnsi="Times New Roman"/>
          <w:noProof/>
          <w:sz w:val="24"/>
          <w:szCs w:val="24"/>
        </w:rPr>
        <w:drawing>
          <wp:inline distT="0" distB="0" distL="0" distR="0" wp14:anchorId="3BC5F7E3" wp14:editId="34C3988E">
            <wp:extent cx="3776870" cy="1568401"/>
            <wp:effectExtent l="0" t="0" r="0" b="0"/>
            <wp:docPr id="869004248" name="Picture 11">
              <a:extLst xmlns:a="http://schemas.openxmlformats.org/drawingml/2006/main">
                <a:ext uri="{FF2B5EF4-FFF2-40B4-BE49-F238E27FC236}">
                  <a16:creationId xmlns:a16="http://schemas.microsoft.com/office/drawing/2014/main" id="{947974BB-72A5-11CE-7C20-0AF534D73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47974BB-72A5-11CE-7C20-0AF534D73D08}"/>
                        </a:ext>
                      </a:extLst>
                    </pic:cNvPr>
                    <pic:cNvPicPr>
                      <a:picLocks noChangeAspect="1"/>
                    </pic:cNvPicPr>
                  </pic:nvPicPr>
                  <pic:blipFill>
                    <a:blip r:embed="rId9"/>
                    <a:stretch>
                      <a:fillRect/>
                    </a:stretch>
                  </pic:blipFill>
                  <pic:spPr>
                    <a:xfrm>
                      <a:off x="0" y="0"/>
                      <a:ext cx="3794962" cy="1575914"/>
                    </a:xfrm>
                    <a:prstGeom prst="rect">
                      <a:avLst/>
                    </a:prstGeom>
                  </pic:spPr>
                </pic:pic>
              </a:graphicData>
            </a:graphic>
          </wp:inline>
        </w:drawing>
      </w:r>
    </w:p>
    <w:p w14:paraId="3A0FF87C" w14:textId="77777777" w:rsidR="00F019AF" w:rsidRPr="00100C47" w:rsidRDefault="00F019AF" w:rsidP="001063B5">
      <w:pPr>
        <w:pStyle w:val="Default"/>
      </w:pPr>
    </w:p>
    <w:p w14:paraId="0587670F" w14:textId="751699BE" w:rsidR="00F019AF" w:rsidRPr="00100C47" w:rsidRDefault="001063B5" w:rsidP="00F019AF">
      <w:pPr>
        <w:pStyle w:val="Default"/>
        <w:ind w:left="720"/>
        <w:rPr>
          <w:b/>
          <w:bCs/>
        </w:rPr>
      </w:pPr>
      <w:r w:rsidRPr="00100C47">
        <w:rPr>
          <w:b/>
          <w:color w:val="1F1F1F"/>
        </w:rPr>
        <w:t>Fig</w:t>
      </w:r>
      <w:r w:rsidR="001B5E10">
        <w:rPr>
          <w:b/>
          <w:color w:val="1F1F1F"/>
        </w:rPr>
        <w:t>.</w:t>
      </w:r>
      <w:r w:rsidRPr="00100C47">
        <w:rPr>
          <w:b/>
          <w:color w:val="1F1F1F"/>
        </w:rPr>
        <w:t xml:space="preserve"> </w:t>
      </w:r>
      <w:r w:rsidR="00D8044B">
        <w:rPr>
          <w:b/>
          <w:color w:val="1F1F1F"/>
        </w:rPr>
        <w:t>S</w:t>
      </w:r>
      <w:r w:rsidRPr="00100C47">
        <w:rPr>
          <w:b/>
          <w:color w:val="1F1F1F"/>
        </w:rPr>
        <w:t>2:</w:t>
      </w:r>
      <w:r w:rsidRPr="00100C47">
        <w:rPr>
          <w:color w:val="1F1F1F"/>
        </w:rPr>
        <w:t xml:space="preserve"> </w:t>
      </w:r>
      <w:r w:rsidRPr="00D8044B">
        <w:t xml:space="preserve">Typical HPLC chromatogram of </w:t>
      </w:r>
      <w:proofErr w:type="spellStart"/>
      <w:r w:rsidRPr="00D8044B">
        <w:t>rhein</w:t>
      </w:r>
      <w:proofErr w:type="spellEnd"/>
      <w:r w:rsidRPr="00D8044B">
        <w:t xml:space="preserve"> and IS in plasma matrix </w:t>
      </w:r>
    </w:p>
    <w:p w14:paraId="4ED99F49" w14:textId="77777777" w:rsidR="00F019AF" w:rsidRPr="00100C47" w:rsidRDefault="00F019AF" w:rsidP="00F019AF">
      <w:pPr>
        <w:pStyle w:val="Default"/>
        <w:ind w:left="720"/>
        <w:rPr>
          <w:b/>
          <w:bCs/>
        </w:rPr>
      </w:pPr>
    </w:p>
    <w:p w14:paraId="5DC326FC" w14:textId="0E6B9106" w:rsidR="00F019AF" w:rsidRPr="00D8044B" w:rsidRDefault="00F019AF" w:rsidP="008F1976">
      <w:pPr>
        <w:pStyle w:val="Default"/>
        <w:numPr>
          <w:ilvl w:val="0"/>
          <w:numId w:val="7"/>
        </w:numPr>
        <w:spacing w:line="360" w:lineRule="auto"/>
      </w:pPr>
      <w:r w:rsidRPr="00D8044B">
        <w:rPr>
          <w:b/>
          <w:bCs/>
        </w:rPr>
        <w:t xml:space="preserve">Linearity study </w:t>
      </w:r>
    </w:p>
    <w:p w14:paraId="01A82C52" w14:textId="1DD957D6" w:rsidR="00832402" w:rsidRPr="00D8044B" w:rsidRDefault="001F33A3" w:rsidP="008F1976">
      <w:pPr>
        <w:adjustRightInd w:val="0"/>
        <w:spacing w:line="360" w:lineRule="auto"/>
        <w:jc w:val="both"/>
        <w:rPr>
          <w:rFonts w:ascii="Times New Roman" w:hAnsi="Times New Roman" w:cs="Times New Roman"/>
          <w:bCs/>
          <w:sz w:val="24"/>
          <w:szCs w:val="24"/>
        </w:rPr>
      </w:pPr>
      <w:r w:rsidRPr="00D8044B">
        <w:rPr>
          <w:rFonts w:ascii="Times New Roman" w:hAnsi="Times New Roman" w:cs="Times New Roman"/>
          <w:sz w:val="24"/>
          <w:szCs w:val="24"/>
        </w:rPr>
        <w:t>The investigation on linearity was carried out throughout a range of concentration</w:t>
      </w:r>
      <w:r w:rsidR="00162944" w:rsidRPr="00D8044B">
        <w:rPr>
          <w:rFonts w:ascii="Times New Roman" w:hAnsi="Times New Roman" w:cs="Times New Roman"/>
          <w:sz w:val="24"/>
          <w:szCs w:val="24"/>
        </w:rPr>
        <w:t>s</w:t>
      </w:r>
      <w:r w:rsidRPr="00D8044B">
        <w:rPr>
          <w:rFonts w:ascii="Times New Roman" w:hAnsi="Times New Roman" w:cs="Times New Roman"/>
          <w:bCs/>
          <w:color w:val="FF0000"/>
          <w:sz w:val="24"/>
          <w:szCs w:val="24"/>
        </w:rPr>
        <w:t xml:space="preserve"> </w:t>
      </w:r>
      <w:r w:rsidR="008F1976" w:rsidRPr="008F1976">
        <w:rPr>
          <w:rFonts w:ascii="Times New Roman" w:hAnsi="Times New Roman" w:cs="Times New Roman"/>
          <w:bCs/>
          <w:sz w:val="24"/>
          <w:szCs w:val="24"/>
        </w:rPr>
        <w:t>of</w:t>
      </w:r>
      <w:r w:rsidR="008F1976">
        <w:rPr>
          <w:rFonts w:ascii="Times New Roman" w:hAnsi="Times New Roman" w:cs="Times New Roman"/>
          <w:bCs/>
          <w:color w:val="FF0000"/>
          <w:sz w:val="24"/>
          <w:szCs w:val="24"/>
        </w:rPr>
        <w:t xml:space="preserve"> </w:t>
      </w:r>
      <w:r w:rsidRPr="00D8044B">
        <w:rPr>
          <w:rFonts w:ascii="Times New Roman" w:hAnsi="Times New Roman" w:cs="Times New Roman"/>
          <w:bCs/>
          <w:sz w:val="24"/>
          <w:szCs w:val="24"/>
        </w:rPr>
        <w:t>1µg/ml-5 µg/ml in plasma</w:t>
      </w:r>
      <w:r w:rsidR="00162944" w:rsidRPr="00D8044B">
        <w:rPr>
          <w:rFonts w:ascii="Times New Roman" w:hAnsi="Times New Roman" w:cs="Times New Roman"/>
          <w:bCs/>
          <w:sz w:val="24"/>
          <w:szCs w:val="24"/>
        </w:rPr>
        <w:t xml:space="preserve">. </w:t>
      </w:r>
      <w:r w:rsidR="00832402" w:rsidRPr="00D8044B">
        <w:rPr>
          <w:rFonts w:ascii="Times New Roman" w:hAnsi="Times New Roman" w:cs="Times New Roman"/>
          <w:sz w:val="24"/>
          <w:szCs w:val="24"/>
        </w:rPr>
        <w:t xml:space="preserve">The linear regression analysis of the area ratio (analyte/internal standard) against concentration was plotted. </w:t>
      </w:r>
      <w:r w:rsidR="00565EAF" w:rsidRPr="00D8044B">
        <w:rPr>
          <w:rFonts w:ascii="Times New Roman" w:hAnsi="Times New Roman" w:cs="Times New Roman"/>
          <w:sz w:val="24"/>
          <w:szCs w:val="24"/>
        </w:rPr>
        <w:t>The correlation coefficient (r</w:t>
      </w:r>
      <w:r w:rsidR="00565EAF" w:rsidRPr="00D8044B">
        <w:rPr>
          <w:rFonts w:ascii="Times New Roman" w:hAnsi="Times New Roman" w:cs="Times New Roman"/>
          <w:sz w:val="24"/>
          <w:szCs w:val="24"/>
          <w:vertAlign w:val="superscript"/>
        </w:rPr>
        <w:t>2</w:t>
      </w:r>
      <w:r w:rsidR="00565EAF" w:rsidRPr="00D8044B">
        <w:rPr>
          <w:rFonts w:ascii="Times New Roman" w:hAnsi="Times New Roman" w:cs="Times New Roman"/>
          <w:sz w:val="24"/>
          <w:szCs w:val="24"/>
        </w:rPr>
        <w:t>), which shall be 0.99 or higher, is an acceptability criterion for a calibration curve</w:t>
      </w:r>
      <w:r w:rsidR="00832402" w:rsidRPr="00D8044B">
        <w:rPr>
          <w:rFonts w:ascii="Times New Roman" w:hAnsi="Times New Roman" w:cs="Times New Roman"/>
          <w:sz w:val="24"/>
          <w:szCs w:val="24"/>
        </w:rPr>
        <w:t>.</w:t>
      </w:r>
      <w:r w:rsidR="00213DB2" w:rsidRPr="00D8044B">
        <w:rPr>
          <w:rFonts w:ascii="Times New Roman" w:hAnsi="Times New Roman" w:cs="Times New Roman"/>
          <w:sz w:val="24"/>
          <w:szCs w:val="24"/>
        </w:rPr>
        <w:t xml:space="preserve"> </w:t>
      </w:r>
      <w:r w:rsidR="00213DB2" w:rsidRPr="00D8044B">
        <w:rPr>
          <w:rFonts w:ascii="Times New Roman" w:hAnsi="Times New Roman" w:cs="Times New Roman"/>
          <w:bCs/>
          <w:sz w:val="24"/>
          <w:szCs w:val="24"/>
        </w:rPr>
        <w:t>The lower limit of quantification (LOQ) has a maximum permitted deviation of 20%, whereas the % coefficient of variation (% CV) of each standard concentration should fall within 15% of the nominal value.</w:t>
      </w:r>
    </w:p>
    <w:p w14:paraId="2364C08E" w14:textId="5A8EBB1D" w:rsidR="00832402" w:rsidRPr="00D8044B" w:rsidRDefault="00832402" w:rsidP="00AD3949">
      <w:pPr>
        <w:adjustRightInd w:val="0"/>
        <w:spacing w:line="360" w:lineRule="auto"/>
        <w:jc w:val="both"/>
        <w:rPr>
          <w:rFonts w:ascii="Times New Roman" w:hAnsi="Times New Roman" w:cs="Times New Roman"/>
          <w:bCs/>
          <w:sz w:val="24"/>
          <w:szCs w:val="24"/>
        </w:rPr>
      </w:pPr>
      <w:r w:rsidRPr="00D8044B">
        <w:rPr>
          <w:rFonts w:ascii="Times New Roman" w:hAnsi="Times New Roman" w:cs="Times New Roman"/>
          <w:sz w:val="24"/>
          <w:szCs w:val="24"/>
        </w:rPr>
        <w:t xml:space="preserve">                           % CV= (Standard Deviation /Mean) x 100 </w:t>
      </w:r>
    </w:p>
    <w:p w14:paraId="343FAAB2" w14:textId="290043C3" w:rsidR="00F019AF" w:rsidRPr="00D8044B" w:rsidRDefault="00162944" w:rsidP="00AD3949">
      <w:pPr>
        <w:adjustRightInd w:val="0"/>
        <w:spacing w:line="360" w:lineRule="auto"/>
        <w:jc w:val="both"/>
        <w:rPr>
          <w:rFonts w:ascii="Times New Roman" w:hAnsi="Times New Roman" w:cs="Times New Roman"/>
          <w:bCs/>
          <w:sz w:val="24"/>
          <w:szCs w:val="24"/>
        </w:rPr>
      </w:pPr>
      <w:r w:rsidRPr="00D8044B">
        <w:rPr>
          <w:rFonts w:ascii="Times New Roman" w:hAnsi="Times New Roman" w:cs="Times New Roman"/>
          <w:color w:val="000000"/>
          <w:sz w:val="24"/>
          <w:szCs w:val="24"/>
        </w:rPr>
        <w:t xml:space="preserve">The chromatograms in plasma for the above concentrations were shown in </w:t>
      </w:r>
      <w:r w:rsidRPr="00D8044B">
        <w:rPr>
          <w:rFonts w:ascii="Times New Roman" w:hAnsi="Times New Roman" w:cs="Times New Roman"/>
          <w:bCs/>
          <w:color w:val="000000"/>
          <w:sz w:val="24"/>
          <w:szCs w:val="24"/>
        </w:rPr>
        <w:t>Fig</w:t>
      </w:r>
      <w:r w:rsidR="005C3768">
        <w:rPr>
          <w:rFonts w:ascii="Times New Roman" w:hAnsi="Times New Roman" w:cs="Times New Roman"/>
          <w:bCs/>
          <w:color w:val="000000"/>
          <w:sz w:val="24"/>
          <w:szCs w:val="24"/>
        </w:rPr>
        <w:t>.</w:t>
      </w:r>
      <w:r w:rsidRPr="00D8044B">
        <w:rPr>
          <w:rFonts w:ascii="Times New Roman" w:hAnsi="Times New Roman" w:cs="Times New Roman"/>
          <w:bCs/>
          <w:color w:val="000000"/>
          <w:sz w:val="24"/>
          <w:szCs w:val="24"/>
        </w:rPr>
        <w:t xml:space="preserve"> </w:t>
      </w:r>
      <w:r w:rsidR="00D8044B" w:rsidRPr="00D8044B">
        <w:rPr>
          <w:rFonts w:ascii="Times New Roman" w:hAnsi="Times New Roman" w:cs="Times New Roman"/>
          <w:bCs/>
          <w:color w:val="000000"/>
          <w:sz w:val="24"/>
          <w:szCs w:val="24"/>
        </w:rPr>
        <w:t>S</w:t>
      </w:r>
      <w:r w:rsidR="00F019AF" w:rsidRPr="00D8044B">
        <w:rPr>
          <w:rFonts w:ascii="Times New Roman" w:hAnsi="Times New Roman" w:cs="Times New Roman"/>
          <w:bCs/>
          <w:color w:val="000000"/>
          <w:sz w:val="24"/>
          <w:szCs w:val="24"/>
        </w:rPr>
        <w:t xml:space="preserve">3a and </w:t>
      </w:r>
      <w:r w:rsidR="00D8044B" w:rsidRPr="00D8044B">
        <w:rPr>
          <w:rFonts w:ascii="Times New Roman" w:hAnsi="Times New Roman" w:cs="Times New Roman"/>
          <w:bCs/>
          <w:color w:val="000000"/>
          <w:sz w:val="24"/>
          <w:szCs w:val="24"/>
        </w:rPr>
        <w:t>S</w:t>
      </w:r>
      <w:r w:rsidR="00F019AF" w:rsidRPr="00D8044B">
        <w:rPr>
          <w:rFonts w:ascii="Times New Roman" w:hAnsi="Times New Roman" w:cs="Times New Roman"/>
          <w:bCs/>
          <w:color w:val="000000"/>
          <w:sz w:val="24"/>
          <w:szCs w:val="24"/>
        </w:rPr>
        <w:t>3b</w:t>
      </w:r>
      <w:r w:rsidR="00F019AF" w:rsidRPr="00D8044B">
        <w:rPr>
          <w:rFonts w:ascii="Times New Roman" w:hAnsi="Times New Roman" w:cs="Times New Roman"/>
          <w:b/>
          <w:bCs/>
          <w:color w:val="000000"/>
          <w:sz w:val="24"/>
          <w:szCs w:val="24"/>
        </w:rPr>
        <w:t xml:space="preserve"> </w:t>
      </w:r>
      <w:r w:rsidR="001F33A3" w:rsidRPr="00D8044B">
        <w:rPr>
          <w:rFonts w:ascii="Times New Roman" w:hAnsi="Times New Roman" w:cs="Times New Roman"/>
          <w:bCs/>
          <w:sz w:val="24"/>
          <w:szCs w:val="24"/>
        </w:rPr>
        <w:t>and the equation (y= 3.5337x+0.1825, R</w:t>
      </w:r>
      <w:r w:rsidR="001F33A3" w:rsidRPr="00D8044B">
        <w:rPr>
          <w:rFonts w:ascii="Times New Roman" w:hAnsi="Times New Roman" w:cs="Times New Roman"/>
          <w:bCs/>
          <w:sz w:val="24"/>
          <w:szCs w:val="24"/>
          <w:vertAlign w:val="superscript"/>
        </w:rPr>
        <w:t>2</w:t>
      </w:r>
      <w:r w:rsidR="001F33A3" w:rsidRPr="00D8044B">
        <w:rPr>
          <w:rFonts w:ascii="Times New Roman" w:hAnsi="Times New Roman" w:cs="Times New Roman"/>
          <w:bCs/>
          <w:sz w:val="24"/>
          <w:szCs w:val="24"/>
        </w:rPr>
        <w:t xml:space="preserve">=0.9928) of linearity </w:t>
      </w:r>
      <w:r w:rsidRPr="00D8044B">
        <w:rPr>
          <w:rFonts w:ascii="Times New Roman" w:hAnsi="Times New Roman" w:cs="Times New Roman"/>
          <w:bCs/>
          <w:sz w:val="24"/>
          <w:szCs w:val="24"/>
        </w:rPr>
        <w:t xml:space="preserve">was </w:t>
      </w:r>
      <w:r w:rsidR="001F33A3" w:rsidRPr="00D8044B">
        <w:rPr>
          <w:rFonts w:ascii="Times New Roman" w:hAnsi="Times New Roman" w:cs="Times New Roman"/>
          <w:bCs/>
          <w:sz w:val="24"/>
          <w:szCs w:val="24"/>
        </w:rPr>
        <w:t xml:space="preserve">used to determine the concentration of </w:t>
      </w:r>
      <w:proofErr w:type="spellStart"/>
      <w:r w:rsidR="001F33A3" w:rsidRPr="00D8044B">
        <w:rPr>
          <w:rFonts w:ascii="Times New Roman" w:hAnsi="Times New Roman" w:cs="Times New Roman"/>
          <w:bCs/>
          <w:sz w:val="24"/>
          <w:szCs w:val="24"/>
        </w:rPr>
        <w:t>rhein</w:t>
      </w:r>
      <w:proofErr w:type="spellEnd"/>
      <w:r w:rsidR="001F33A3" w:rsidRPr="00D8044B">
        <w:rPr>
          <w:rFonts w:ascii="Times New Roman" w:hAnsi="Times New Roman" w:cs="Times New Roman"/>
          <w:bCs/>
          <w:sz w:val="24"/>
          <w:szCs w:val="24"/>
        </w:rPr>
        <w:t xml:space="preserve">. </w:t>
      </w:r>
    </w:p>
    <w:p w14:paraId="58DAF092" w14:textId="00A804EA" w:rsidR="00F019AF" w:rsidRPr="00100C47" w:rsidRDefault="00F019AF" w:rsidP="00AD3949">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
          <w:bCs/>
          <w:noProof/>
          <w:color w:val="1F1F1F"/>
        </w:rPr>
        <w:lastRenderedPageBreak/>
        <w:drawing>
          <wp:inline distT="0" distB="0" distL="0" distR="0" wp14:anchorId="48D12DB2" wp14:editId="52245F02">
            <wp:extent cx="3881535" cy="1980886"/>
            <wp:effectExtent l="0" t="0" r="5080" b="635"/>
            <wp:docPr id="1043618625" name="Picture 7">
              <a:extLst xmlns:a="http://schemas.openxmlformats.org/drawingml/2006/main">
                <a:ext uri="{FF2B5EF4-FFF2-40B4-BE49-F238E27FC236}">
                  <a16:creationId xmlns:a16="http://schemas.microsoft.com/office/drawing/2014/main" id="{FAE9513E-FEA7-33EB-5EEC-D5212DC139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AE9513E-FEA7-33EB-5EEC-D5212DC139D5}"/>
                        </a:ext>
                      </a:extLst>
                    </pic:cNvPr>
                    <pic:cNvPicPr>
                      <a:picLocks noChangeAspect="1"/>
                    </pic:cNvPicPr>
                  </pic:nvPicPr>
                  <pic:blipFill>
                    <a:blip r:embed="rId10"/>
                    <a:stretch>
                      <a:fillRect/>
                    </a:stretch>
                  </pic:blipFill>
                  <pic:spPr>
                    <a:xfrm>
                      <a:off x="0" y="0"/>
                      <a:ext cx="3912375" cy="1996625"/>
                    </a:xfrm>
                    <a:prstGeom prst="rect">
                      <a:avLst/>
                    </a:prstGeom>
                  </pic:spPr>
                </pic:pic>
              </a:graphicData>
            </a:graphic>
          </wp:inline>
        </w:drawing>
      </w:r>
    </w:p>
    <w:p w14:paraId="12198A4D" w14:textId="05930FF4" w:rsidR="00F019AF" w:rsidRPr="00100C47" w:rsidRDefault="001063B5" w:rsidP="00AD3949">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Fig</w:t>
      </w:r>
      <w:r w:rsidR="005C3768">
        <w:rPr>
          <w:rFonts w:ascii="Times New Roman" w:hAnsi="Times New Roman" w:cs="Times New Roman"/>
          <w:b/>
          <w:sz w:val="24"/>
          <w:szCs w:val="24"/>
        </w:rPr>
        <w:t>.</w:t>
      </w:r>
      <w:r w:rsidRPr="00100C47">
        <w:rPr>
          <w:rFonts w:ascii="Times New Roman" w:hAnsi="Times New Roman" w:cs="Times New Roman"/>
          <w:b/>
          <w:sz w:val="24"/>
          <w:szCs w:val="24"/>
        </w:rPr>
        <w:t xml:space="preserve"> </w:t>
      </w:r>
      <w:r w:rsidR="000E0B58">
        <w:rPr>
          <w:rFonts w:ascii="Times New Roman" w:hAnsi="Times New Roman" w:cs="Times New Roman"/>
          <w:b/>
          <w:sz w:val="24"/>
          <w:szCs w:val="24"/>
        </w:rPr>
        <w:t>S</w:t>
      </w:r>
      <w:r w:rsidR="00AE1660">
        <w:rPr>
          <w:rFonts w:ascii="Times New Roman" w:hAnsi="Times New Roman" w:cs="Times New Roman"/>
          <w:b/>
          <w:sz w:val="24"/>
          <w:szCs w:val="24"/>
        </w:rPr>
        <w:t>3</w:t>
      </w:r>
      <w:r w:rsidRPr="00100C47">
        <w:rPr>
          <w:rFonts w:ascii="Times New Roman" w:hAnsi="Times New Roman" w:cs="Times New Roman"/>
          <w:b/>
          <w:sz w:val="24"/>
          <w:szCs w:val="24"/>
        </w:rPr>
        <w:t xml:space="preserve">a: </w:t>
      </w:r>
      <w:r w:rsidRPr="00D8044B">
        <w:rPr>
          <w:rFonts w:ascii="Times New Roman" w:hAnsi="Times New Roman" w:cs="Times New Roman"/>
          <w:bCs/>
          <w:sz w:val="24"/>
          <w:szCs w:val="24"/>
        </w:rPr>
        <w:t xml:space="preserve">Typical HPLC overlay chromatograms of </w:t>
      </w:r>
      <w:proofErr w:type="spellStart"/>
      <w:r w:rsidRPr="00D8044B">
        <w:rPr>
          <w:rFonts w:ascii="Times New Roman" w:hAnsi="Times New Roman" w:cs="Times New Roman"/>
          <w:bCs/>
          <w:sz w:val="24"/>
          <w:szCs w:val="24"/>
        </w:rPr>
        <w:t>rhein</w:t>
      </w:r>
      <w:proofErr w:type="spellEnd"/>
      <w:r w:rsidRPr="00D8044B">
        <w:rPr>
          <w:rFonts w:ascii="Times New Roman" w:hAnsi="Times New Roman" w:cs="Times New Roman"/>
          <w:bCs/>
          <w:sz w:val="24"/>
          <w:szCs w:val="24"/>
        </w:rPr>
        <w:t xml:space="preserve"> for linearity in rat plasma.</w:t>
      </w:r>
    </w:p>
    <w:p w14:paraId="798C7418" w14:textId="7A3E2EBF" w:rsidR="00680383" w:rsidRPr="00100C47" w:rsidRDefault="00814127" w:rsidP="00AD3949">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noProof/>
          <w:sz w:val="24"/>
          <w:szCs w:val="24"/>
        </w:rPr>
        <w:drawing>
          <wp:inline distT="0" distB="0" distL="0" distR="0" wp14:anchorId="3E944CBF" wp14:editId="468A4CEB">
            <wp:extent cx="4503576" cy="2065175"/>
            <wp:effectExtent l="0" t="0" r="0" b="0"/>
            <wp:docPr id="2016863337" name="Chart 1">
              <a:extLst xmlns:a="http://schemas.openxmlformats.org/drawingml/2006/main">
                <a:ext uri="{FF2B5EF4-FFF2-40B4-BE49-F238E27FC236}">
                  <a16:creationId xmlns:a16="http://schemas.microsoft.com/office/drawing/2014/main" id="{A64650EF-22B3-AD4D-B468-42814B42BE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634CC2" w14:textId="77777777" w:rsidR="00680383" w:rsidRPr="00100C47" w:rsidRDefault="00680383" w:rsidP="00AD3949">
      <w:pPr>
        <w:adjustRightInd w:val="0"/>
        <w:spacing w:line="360" w:lineRule="auto"/>
        <w:jc w:val="both"/>
        <w:rPr>
          <w:rFonts w:ascii="Times New Roman" w:hAnsi="Times New Roman" w:cs="Times New Roman"/>
          <w:b/>
          <w:sz w:val="24"/>
          <w:szCs w:val="24"/>
        </w:rPr>
      </w:pPr>
    </w:p>
    <w:p w14:paraId="20F6C7B1" w14:textId="28440272" w:rsidR="00832402" w:rsidRDefault="001063B5" w:rsidP="009855BE">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Fig</w:t>
      </w:r>
      <w:r w:rsidR="00601291">
        <w:rPr>
          <w:rFonts w:ascii="Times New Roman" w:hAnsi="Times New Roman" w:cs="Times New Roman"/>
          <w:b/>
          <w:sz w:val="24"/>
          <w:szCs w:val="24"/>
        </w:rPr>
        <w:t>.</w:t>
      </w:r>
      <w:r w:rsidRPr="00100C47">
        <w:rPr>
          <w:rFonts w:ascii="Times New Roman" w:hAnsi="Times New Roman" w:cs="Times New Roman"/>
          <w:b/>
          <w:sz w:val="24"/>
          <w:szCs w:val="24"/>
        </w:rPr>
        <w:t xml:space="preserve"> </w:t>
      </w:r>
      <w:r w:rsidR="000E0B58">
        <w:rPr>
          <w:rFonts w:ascii="Times New Roman" w:hAnsi="Times New Roman" w:cs="Times New Roman"/>
          <w:b/>
          <w:sz w:val="24"/>
          <w:szCs w:val="24"/>
        </w:rPr>
        <w:t>S</w:t>
      </w:r>
      <w:r w:rsidRPr="00100C47">
        <w:rPr>
          <w:rFonts w:ascii="Times New Roman" w:hAnsi="Times New Roman" w:cs="Times New Roman"/>
          <w:b/>
          <w:sz w:val="24"/>
          <w:szCs w:val="24"/>
        </w:rPr>
        <w:t xml:space="preserve">3b: </w:t>
      </w:r>
      <w:r w:rsidRPr="00D8044B">
        <w:rPr>
          <w:rFonts w:ascii="Times New Roman" w:hAnsi="Times New Roman" w:cs="Times New Roman"/>
          <w:bCs/>
          <w:sz w:val="24"/>
          <w:szCs w:val="24"/>
        </w:rPr>
        <w:t xml:space="preserve">Linearity curve of </w:t>
      </w:r>
      <w:proofErr w:type="spellStart"/>
      <w:r w:rsidRPr="00D8044B">
        <w:rPr>
          <w:rFonts w:ascii="Times New Roman" w:hAnsi="Times New Roman" w:cs="Times New Roman"/>
          <w:bCs/>
          <w:sz w:val="24"/>
          <w:szCs w:val="24"/>
        </w:rPr>
        <w:t>rhein</w:t>
      </w:r>
      <w:proofErr w:type="spellEnd"/>
      <w:r w:rsidRPr="00D8044B">
        <w:rPr>
          <w:rFonts w:ascii="Times New Roman" w:hAnsi="Times New Roman" w:cs="Times New Roman"/>
          <w:bCs/>
          <w:sz w:val="24"/>
          <w:szCs w:val="24"/>
        </w:rPr>
        <w:t xml:space="preserve"> for linearity in rat plasma</w:t>
      </w:r>
    </w:p>
    <w:p w14:paraId="6858B84D" w14:textId="682EC268" w:rsidR="00CC5DD8" w:rsidRPr="00100C47" w:rsidRDefault="00CC5DD8" w:rsidP="00A630EE">
      <w:pPr>
        <w:pStyle w:val="Default"/>
        <w:numPr>
          <w:ilvl w:val="0"/>
          <w:numId w:val="7"/>
        </w:numPr>
        <w:spacing w:line="360" w:lineRule="auto"/>
        <w:rPr>
          <w:sz w:val="23"/>
          <w:szCs w:val="23"/>
        </w:rPr>
      </w:pPr>
      <w:r w:rsidRPr="00100C47">
        <w:rPr>
          <w:b/>
          <w:bCs/>
          <w:sz w:val="23"/>
          <w:szCs w:val="23"/>
        </w:rPr>
        <w:t xml:space="preserve">Limit of detection (LOD) and Limit of quantification (LOQ) </w:t>
      </w:r>
    </w:p>
    <w:p w14:paraId="421CD52E" w14:textId="505D7084" w:rsidR="00CC5DD8" w:rsidRPr="00100C47" w:rsidRDefault="007A231C" w:rsidP="00A630EE">
      <w:pPr>
        <w:pStyle w:val="Default"/>
        <w:spacing w:line="360" w:lineRule="auto"/>
        <w:jc w:val="both"/>
      </w:pPr>
      <w:r w:rsidRPr="007A231C">
        <w:t xml:space="preserve">Based on the </w:t>
      </w:r>
      <w:r w:rsidR="008F1976">
        <w:t>signal-to-noise</w:t>
      </w:r>
      <w:r w:rsidRPr="007A231C">
        <w:t xml:space="preserve"> ratio, both the LOD and LOQ were calculated. The lowest concentration level that produced a height of the peak threefold the baseline noise was known as the detection limit. The lowest concentration level that yielded a peak height with a signal to noise ratio greater than ten percent was known as the quantification limit. The minimal amount of analyte in a sample that can be identified but occasionally quantified as a precise value is known as the detection limit of a particular analytical method. </w:t>
      </w:r>
      <w:r w:rsidR="00CC5DD8" w:rsidRPr="00100C47">
        <w:t>The detection limit (DL) may be expressed as</w:t>
      </w:r>
      <w:r w:rsidR="009855BE">
        <w:t xml:space="preserve"> (1)</w:t>
      </w:r>
      <w:r w:rsidR="00CC5DD8" w:rsidRPr="00100C47">
        <w:t xml:space="preserve"> </w:t>
      </w:r>
    </w:p>
    <w:p w14:paraId="68788F78" w14:textId="544345A1" w:rsidR="00CC5DD8" w:rsidRPr="00100C47" w:rsidRDefault="00CC5DD8" w:rsidP="00874BDD">
      <w:pPr>
        <w:adjustRightInd w:val="0"/>
        <w:spacing w:after="0" w:line="360" w:lineRule="auto"/>
        <w:ind w:left="2160" w:firstLine="720"/>
        <w:jc w:val="both"/>
        <w:rPr>
          <w:rFonts w:ascii="Times New Roman" w:hAnsi="Times New Roman" w:cs="Times New Roman"/>
          <w:sz w:val="24"/>
          <w:szCs w:val="24"/>
        </w:rPr>
      </w:pPr>
      <w:r w:rsidRPr="00100C47">
        <w:rPr>
          <w:rFonts w:ascii="Times New Roman" w:hAnsi="Times New Roman" w:cs="Times New Roman"/>
          <w:sz w:val="24"/>
          <w:szCs w:val="24"/>
        </w:rPr>
        <w:t xml:space="preserve">DL=3.3 </w:t>
      </w:r>
      <w:r w:rsidRPr="00100C47">
        <w:rPr>
          <w:rFonts w:ascii="Cambria Math" w:hAnsi="Cambria Math" w:cs="Cambria Math"/>
          <w:sz w:val="24"/>
          <w:szCs w:val="24"/>
        </w:rPr>
        <w:t>𝜎</w:t>
      </w:r>
      <w:r w:rsidRPr="00100C47">
        <w:rPr>
          <w:rFonts w:ascii="Times New Roman" w:hAnsi="Times New Roman" w:cs="Times New Roman"/>
          <w:sz w:val="24"/>
          <w:szCs w:val="24"/>
        </w:rPr>
        <w:t>/</w:t>
      </w:r>
      <w:r w:rsidRPr="00100C47">
        <w:rPr>
          <w:rFonts w:ascii="Cambria Math" w:hAnsi="Cambria Math" w:cs="Cambria Math"/>
          <w:sz w:val="24"/>
          <w:szCs w:val="24"/>
        </w:rPr>
        <w:t>𝑆</w:t>
      </w:r>
      <w:r w:rsidRPr="00100C47">
        <w:rPr>
          <w:rFonts w:ascii="Times New Roman" w:hAnsi="Times New Roman" w:cs="Times New Roman"/>
          <w:sz w:val="24"/>
          <w:szCs w:val="24"/>
        </w:rPr>
        <w:t xml:space="preserve"> </w:t>
      </w:r>
      <w:r w:rsidR="009855BE">
        <w:rPr>
          <w:rFonts w:ascii="Times New Roman" w:hAnsi="Times New Roman" w:cs="Times New Roman"/>
          <w:sz w:val="24"/>
          <w:szCs w:val="24"/>
        </w:rPr>
        <w:t xml:space="preserve">                               (1)</w:t>
      </w:r>
    </w:p>
    <w:p w14:paraId="06A91A1E" w14:textId="05041C04" w:rsidR="00CC5DD8" w:rsidRPr="00100C47" w:rsidRDefault="00CC5DD8" w:rsidP="008F1976">
      <w:pPr>
        <w:pStyle w:val="Default"/>
        <w:spacing w:line="360" w:lineRule="auto"/>
        <w:jc w:val="both"/>
      </w:pPr>
      <w:r w:rsidRPr="00100C47">
        <w:t xml:space="preserve">Where, σ = standard deviation of the response </w:t>
      </w:r>
      <w:r w:rsidR="008F1976">
        <w:t xml:space="preserve">and </w:t>
      </w:r>
      <w:r w:rsidRPr="00100C47">
        <w:t xml:space="preserve">S = slope of the calibration curve </w:t>
      </w:r>
    </w:p>
    <w:p w14:paraId="2CAABDA1" w14:textId="626ECB4F" w:rsidR="00CC5DD8" w:rsidRPr="00100C47" w:rsidRDefault="00CC5DD8" w:rsidP="0093700A">
      <w:pPr>
        <w:pStyle w:val="Default"/>
        <w:spacing w:line="360" w:lineRule="auto"/>
        <w:jc w:val="both"/>
      </w:pPr>
      <w:r w:rsidRPr="00100C47">
        <w:lastRenderedPageBreak/>
        <w:t xml:space="preserve">The </w:t>
      </w:r>
      <w:r w:rsidR="0093700A" w:rsidRPr="0093700A">
        <w:t>smallest quantity of analyte in a sample that can be quantitatively identified using proper accuracy and precision is known as the quantitation limit of an individual analytical method. For low concentrations of chemicals in sample matrices, the quantitation limit is a parameter of quantitative assays that is specifically utilized to detect contaminants and/or metabolite products. The formula for the quantitation limit (QL) is (2).</w:t>
      </w:r>
    </w:p>
    <w:p w14:paraId="2D399B76" w14:textId="2F312562" w:rsidR="00CC5DD8" w:rsidRPr="00100C47" w:rsidRDefault="00CC5DD8" w:rsidP="001063B5">
      <w:pPr>
        <w:pStyle w:val="Default"/>
        <w:spacing w:line="360" w:lineRule="auto"/>
        <w:jc w:val="both"/>
      </w:pPr>
      <w:r w:rsidRPr="00100C47">
        <w:t xml:space="preserve">QL=10 </w:t>
      </w:r>
      <w:r w:rsidRPr="00100C47">
        <w:rPr>
          <w:rFonts w:ascii="Cambria Math" w:hAnsi="Cambria Math" w:cs="Cambria Math"/>
        </w:rPr>
        <w:t>𝜎</w:t>
      </w:r>
      <w:r w:rsidRPr="00100C47">
        <w:t>/</w:t>
      </w:r>
      <w:r w:rsidRPr="00100C47">
        <w:rPr>
          <w:rFonts w:ascii="Cambria Math" w:hAnsi="Cambria Math" w:cs="Cambria Math"/>
        </w:rPr>
        <w:t>𝑆</w:t>
      </w:r>
      <w:r w:rsidRPr="00100C47">
        <w:t xml:space="preserve"> </w:t>
      </w:r>
      <w:r w:rsidR="009855BE">
        <w:t xml:space="preserve">                                     (2)</w:t>
      </w:r>
    </w:p>
    <w:p w14:paraId="41E550C1" w14:textId="0A5FD0DA" w:rsidR="00CC5DD8" w:rsidRPr="00100C47" w:rsidRDefault="00F019AF" w:rsidP="001063B5">
      <w:pPr>
        <w:adjustRightInd w:val="0"/>
        <w:spacing w:after="0" w:line="360" w:lineRule="auto"/>
        <w:jc w:val="both"/>
        <w:rPr>
          <w:rFonts w:ascii="Times New Roman" w:hAnsi="Times New Roman" w:cs="Times New Roman"/>
          <w:color w:val="000000"/>
          <w:sz w:val="24"/>
          <w:szCs w:val="24"/>
          <w:highlight w:val="yellow"/>
        </w:rPr>
      </w:pPr>
      <w:r w:rsidRPr="00100C47">
        <w:rPr>
          <w:rFonts w:ascii="Times New Roman" w:hAnsi="Times New Roman" w:cs="Times New Roman"/>
          <w:sz w:val="24"/>
          <w:szCs w:val="24"/>
        </w:rPr>
        <w:t>The lower limit of quantification (LOQ) was 12 ng/ml and the lower limit of detection (LOD) was 7 ng/ml accordingly.</w:t>
      </w:r>
      <w:r w:rsidRPr="00100C47">
        <w:rPr>
          <w:rFonts w:ascii="Times New Roman" w:hAnsi="Times New Roman" w:cs="Times New Roman"/>
          <w:bCs/>
          <w:color w:val="FF0000"/>
          <w:sz w:val="24"/>
          <w:szCs w:val="24"/>
        </w:rPr>
        <w:t xml:space="preserve"> </w:t>
      </w:r>
      <w:r w:rsidRPr="00100C47">
        <w:rPr>
          <w:rFonts w:ascii="Times New Roman" w:hAnsi="Times New Roman" w:cs="Times New Roman"/>
          <w:bCs/>
          <w:sz w:val="24"/>
          <w:szCs w:val="24"/>
        </w:rPr>
        <w:t xml:space="preserve">It confirmed </w:t>
      </w:r>
      <w:bookmarkStart w:id="1" w:name="_Hlk168750911"/>
      <w:r w:rsidRPr="00100C47">
        <w:rPr>
          <w:rFonts w:ascii="Times New Roman" w:hAnsi="Times New Roman" w:cs="Times New Roman"/>
          <w:bCs/>
          <w:sz w:val="24"/>
          <w:szCs w:val="24"/>
        </w:rPr>
        <w:t xml:space="preserve">the </w:t>
      </w:r>
      <w:r w:rsidRPr="00100C47">
        <w:rPr>
          <w:rFonts w:ascii="Times New Roman" w:hAnsi="Times New Roman" w:cs="Times New Roman"/>
          <w:sz w:val="24"/>
          <w:szCs w:val="24"/>
        </w:rPr>
        <w:t>optimized technique was</w:t>
      </w:r>
      <w:r w:rsidRPr="00100C47">
        <w:rPr>
          <w:rFonts w:ascii="Times New Roman" w:hAnsi="Times New Roman" w:cs="Times New Roman"/>
          <w:bCs/>
          <w:sz w:val="24"/>
          <w:szCs w:val="24"/>
        </w:rPr>
        <w:t xml:space="preserve"> very sensitive to quantifying the lowest concentration of </w:t>
      </w:r>
      <w:proofErr w:type="spellStart"/>
      <w:r w:rsidRPr="00100C47">
        <w:rPr>
          <w:rFonts w:ascii="Times New Roman" w:hAnsi="Times New Roman" w:cs="Times New Roman"/>
          <w:bCs/>
          <w:sz w:val="24"/>
          <w:szCs w:val="24"/>
        </w:rPr>
        <w:t>rhein</w:t>
      </w:r>
      <w:proofErr w:type="spellEnd"/>
      <w:r w:rsidRPr="00100C47">
        <w:rPr>
          <w:rFonts w:ascii="Times New Roman" w:hAnsi="Times New Roman" w:cs="Times New Roman"/>
          <w:bCs/>
          <w:sz w:val="24"/>
          <w:szCs w:val="24"/>
        </w:rPr>
        <w:t>.</w:t>
      </w:r>
      <w:bookmarkEnd w:id="1"/>
    </w:p>
    <w:p w14:paraId="0B4DDB8A" w14:textId="136BB5F3" w:rsidR="00832402" w:rsidRPr="00100C47" w:rsidRDefault="00832402" w:rsidP="00832402">
      <w:pPr>
        <w:pStyle w:val="ListParagraph"/>
        <w:numPr>
          <w:ilvl w:val="0"/>
          <w:numId w:val="9"/>
        </w:numPr>
        <w:spacing w:line="360" w:lineRule="auto"/>
        <w:contextualSpacing/>
        <w:jc w:val="both"/>
        <w:rPr>
          <w:rFonts w:eastAsiaTheme="majorEastAsia"/>
          <w:b/>
          <w:bCs/>
          <w:color w:val="000000" w:themeColor="text1"/>
          <w:kern w:val="24"/>
          <w:sz w:val="24"/>
          <w:szCs w:val="24"/>
          <w:lang w:val="en-IN"/>
        </w:rPr>
      </w:pPr>
      <w:r w:rsidRPr="00100C47">
        <w:rPr>
          <w:rFonts w:eastAsiaTheme="majorEastAsia"/>
          <w:b/>
          <w:bCs/>
          <w:color w:val="000000" w:themeColor="text1"/>
          <w:kern w:val="24"/>
          <w:sz w:val="24"/>
          <w:szCs w:val="24"/>
          <w:lang w:val="en-IN"/>
        </w:rPr>
        <w:t>Matrix effect and % recovery</w:t>
      </w:r>
    </w:p>
    <w:p w14:paraId="5EB303EE" w14:textId="77777777" w:rsidR="00832402" w:rsidRPr="00100C47" w:rsidRDefault="00832402" w:rsidP="00832402">
      <w:pPr>
        <w:spacing w:after="0" w:line="360" w:lineRule="auto"/>
        <w:jc w:val="both"/>
        <w:rPr>
          <w:rFonts w:ascii="Times New Roman" w:eastAsiaTheme="majorEastAsia" w:hAnsi="Times New Roman" w:cs="Times New Roman"/>
          <w:bCs/>
          <w:color w:val="000000" w:themeColor="text1"/>
          <w:kern w:val="24"/>
          <w:sz w:val="24"/>
          <w:szCs w:val="24"/>
        </w:rPr>
      </w:pPr>
      <w:r w:rsidRPr="00100C47">
        <w:rPr>
          <w:rFonts w:ascii="Times New Roman" w:eastAsiaTheme="majorEastAsia" w:hAnsi="Times New Roman" w:cs="Times New Roman"/>
          <w:bCs/>
          <w:color w:val="000000" w:themeColor="text1"/>
          <w:kern w:val="24"/>
          <w:sz w:val="24"/>
          <w:szCs w:val="24"/>
        </w:rPr>
        <w:t xml:space="preserve">The matrix effect and recovery study were carried out by taking 3 different concentrations i.e. low </w:t>
      </w:r>
    </w:p>
    <w:p w14:paraId="718779F5" w14:textId="5F03348D" w:rsidR="00832402" w:rsidRPr="00100C47" w:rsidRDefault="00832402" w:rsidP="00832402">
      <w:pPr>
        <w:spacing w:after="0" w:line="360" w:lineRule="auto"/>
        <w:jc w:val="both"/>
        <w:rPr>
          <w:rFonts w:ascii="Times New Roman" w:hAnsi="Times New Roman" w:cs="Times New Roman"/>
          <w:sz w:val="24"/>
          <w:szCs w:val="24"/>
        </w:rPr>
      </w:pPr>
      <w:r w:rsidRPr="00100C47">
        <w:rPr>
          <w:rFonts w:ascii="Times New Roman" w:hAnsi="Times New Roman" w:cs="Times New Roman"/>
          <w:sz w:val="24"/>
          <w:szCs w:val="24"/>
        </w:rPr>
        <w:t xml:space="preserve">0.05µg, middle 0.5µg, and high 5 µg. </w:t>
      </w:r>
      <w:r w:rsidR="00A21FC9" w:rsidRPr="00100C47">
        <w:rPr>
          <w:rFonts w:ascii="Times New Roman" w:hAnsi="Times New Roman" w:cs="Times New Roman"/>
          <w:sz w:val="24"/>
          <w:szCs w:val="24"/>
        </w:rPr>
        <w:t xml:space="preserve"> It was calculated by using the formula</w:t>
      </w:r>
    </w:p>
    <w:p w14:paraId="340F5C67" w14:textId="69E29356" w:rsidR="00934C5F" w:rsidRPr="00100C47" w:rsidRDefault="00934C5F" w:rsidP="00934C5F">
      <w:pPr>
        <w:autoSpaceDE w:val="0"/>
        <w:autoSpaceDN w:val="0"/>
        <w:adjustRightInd w:val="0"/>
        <w:spacing w:after="0" w:line="360" w:lineRule="auto"/>
        <w:jc w:val="both"/>
        <w:rPr>
          <w:rFonts w:ascii="Times New Roman" w:hAnsi="Times New Roman" w:cs="Times New Roman"/>
          <w:sz w:val="24"/>
          <w:szCs w:val="24"/>
        </w:rPr>
      </w:pPr>
      <w:r w:rsidRPr="00100C47">
        <w:rPr>
          <w:rFonts w:ascii="Times New Roman" w:hAnsi="Times New Roman" w:cs="Times New Roman"/>
          <w:sz w:val="24"/>
          <w:szCs w:val="24"/>
        </w:rPr>
        <w:t>The matrix effect of a biological sample at each level was calculated using equation (</w:t>
      </w:r>
      <w:r w:rsidR="009855BE">
        <w:rPr>
          <w:rFonts w:ascii="Times New Roman" w:hAnsi="Times New Roman" w:cs="Times New Roman"/>
          <w:sz w:val="24"/>
          <w:szCs w:val="24"/>
        </w:rPr>
        <w:t>3</w:t>
      </w:r>
      <w:r w:rsidRPr="00100C47">
        <w:rPr>
          <w:rFonts w:ascii="Times New Roman" w:hAnsi="Times New Roman" w:cs="Times New Roman"/>
          <w:sz w:val="24"/>
          <w:szCs w:val="24"/>
        </w:rPr>
        <w:t xml:space="preserve">) </w:t>
      </w:r>
    </w:p>
    <w:p w14:paraId="3FDB7FDD" w14:textId="5FBB1F12" w:rsidR="00A21FC9" w:rsidRPr="00100C47" w:rsidRDefault="00934C5F" w:rsidP="00FF389F">
      <w:pPr>
        <w:autoSpaceDE w:val="0"/>
        <w:autoSpaceDN w:val="0"/>
        <w:adjustRightInd w:val="0"/>
        <w:spacing w:after="0" w:line="360" w:lineRule="auto"/>
        <w:jc w:val="center"/>
        <w:rPr>
          <w:rFonts w:ascii="Times New Roman" w:hAnsi="Times New Roman" w:cs="Times New Roman"/>
          <w:sz w:val="24"/>
          <w:szCs w:val="24"/>
        </w:rPr>
      </w:pPr>
      <w:r w:rsidRPr="00100C47">
        <w:rPr>
          <w:rFonts w:ascii="Times New Roman" w:hAnsi="Times New Roman" w:cs="Times New Roman"/>
          <w:sz w:val="24"/>
          <w:szCs w:val="24"/>
        </w:rPr>
        <w:t xml:space="preserve">Matrix effect = </w:t>
      </w:r>
      <m:oMath>
        <m:f>
          <m:fPr>
            <m:ctrlPr>
              <w:rPr>
                <w:rFonts w:ascii="Cambria Math" w:hAnsi="Cambria Math" w:cs="Times New Roman"/>
                <w:iCs/>
                <w:sz w:val="24"/>
                <w:szCs w:val="28"/>
              </w:rPr>
            </m:ctrlPr>
          </m:fPr>
          <m:num>
            <m:r>
              <m:rPr>
                <m:sty m:val="p"/>
              </m:rPr>
              <w:rPr>
                <w:rFonts w:ascii="Cambria Math" w:hAnsi="Cambria Math" w:cs="Times New Roman"/>
                <w:sz w:val="24"/>
                <w:szCs w:val="28"/>
              </w:rPr>
              <m:t xml:space="preserve"> Peak area response of sample in absence of matrix ions </m:t>
            </m:r>
          </m:num>
          <m:den>
            <m:r>
              <m:rPr>
                <m:sty m:val="p"/>
              </m:rPr>
              <w:rPr>
                <w:rFonts w:ascii="Cambria Math" w:hAnsi="Cambria Math" w:cs="Times New Roman"/>
                <w:sz w:val="24"/>
                <w:szCs w:val="28"/>
              </w:rPr>
              <m:t>Peak area response of sample in presence of matrix ions</m:t>
            </m:r>
          </m:den>
        </m:f>
      </m:oMath>
      <w:r w:rsidRPr="00100C47">
        <w:rPr>
          <w:rFonts w:ascii="Times New Roman" w:hAnsi="Times New Roman" w:cs="Times New Roman"/>
          <w:sz w:val="24"/>
          <w:szCs w:val="24"/>
        </w:rPr>
        <w:t xml:space="preserve"> x100        (</w:t>
      </w:r>
      <w:r w:rsidR="009855BE">
        <w:rPr>
          <w:rFonts w:ascii="Times New Roman" w:hAnsi="Times New Roman" w:cs="Times New Roman"/>
          <w:sz w:val="24"/>
          <w:szCs w:val="24"/>
        </w:rPr>
        <w:t>3</w:t>
      </w:r>
      <w:r w:rsidRPr="00100C47">
        <w:rPr>
          <w:rFonts w:ascii="Times New Roman" w:hAnsi="Times New Roman" w:cs="Times New Roman"/>
          <w:sz w:val="24"/>
          <w:szCs w:val="24"/>
        </w:rPr>
        <w:t>)</w:t>
      </w:r>
    </w:p>
    <w:p w14:paraId="65535DFB" w14:textId="7020EF09" w:rsidR="00FF389F" w:rsidRPr="00100C47" w:rsidRDefault="00FF389F" w:rsidP="00FF389F">
      <w:pPr>
        <w:autoSpaceDE w:val="0"/>
        <w:autoSpaceDN w:val="0"/>
        <w:adjustRightInd w:val="0"/>
        <w:spacing w:before="240" w:after="0" w:line="360" w:lineRule="auto"/>
        <w:jc w:val="both"/>
        <w:rPr>
          <w:rFonts w:ascii="Times New Roman" w:hAnsi="Times New Roman" w:cs="Times New Roman"/>
          <w:sz w:val="24"/>
          <w:szCs w:val="24"/>
        </w:rPr>
      </w:pPr>
      <w:r w:rsidRPr="00100C47">
        <w:rPr>
          <w:rFonts w:ascii="Times New Roman" w:hAnsi="Times New Roman" w:cs="Times New Roman"/>
          <w:sz w:val="24"/>
          <w:szCs w:val="24"/>
        </w:rPr>
        <w:t>%Recovery of analyte at each level was calculated using equation (</w:t>
      </w:r>
      <w:r w:rsidR="009855BE">
        <w:rPr>
          <w:rFonts w:ascii="Times New Roman" w:hAnsi="Times New Roman" w:cs="Times New Roman"/>
          <w:sz w:val="24"/>
          <w:szCs w:val="24"/>
        </w:rPr>
        <w:t>4</w:t>
      </w:r>
      <w:r w:rsidRPr="00100C47">
        <w:rPr>
          <w:rFonts w:ascii="Times New Roman" w:hAnsi="Times New Roman" w:cs="Times New Roman"/>
          <w:sz w:val="24"/>
          <w:szCs w:val="24"/>
        </w:rPr>
        <w:t xml:space="preserve">) </w:t>
      </w:r>
    </w:p>
    <w:p w14:paraId="7AE16D0B" w14:textId="64718F45" w:rsidR="00FF389F" w:rsidRPr="00100C47" w:rsidRDefault="00FF389F" w:rsidP="001901E7">
      <w:pPr>
        <w:autoSpaceDE w:val="0"/>
        <w:autoSpaceDN w:val="0"/>
        <w:adjustRightInd w:val="0"/>
        <w:spacing w:after="0" w:line="360" w:lineRule="auto"/>
        <w:jc w:val="both"/>
        <w:rPr>
          <w:rFonts w:ascii="Times New Roman" w:hAnsi="Times New Roman" w:cs="Times New Roman"/>
          <w:sz w:val="24"/>
          <w:szCs w:val="24"/>
        </w:rPr>
      </w:pPr>
      <w:r w:rsidRPr="00100C47">
        <w:rPr>
          <w:rFonts w:ascii="Times New Roman" w:hAnsi="Times New Roman" w:cs="Times New Roman"/>
          <w:sz w:val="24"/>
          <w:szCs w:val="24"/>
        </w:rPr>
        <w:t xml:space="preserve">     %Recovery=</w:t>
      </w:r>
      <m:oMath>
        <m:r>
          <w:rPr>
            <w:rFonts w:ascii="Cambria Math" w:hAnsi="Cambria Math" w:cs="Times New Roman"/>
            <w:sz w:val="24"/>
            <w:szCs w:val="24"/>
          </w:rPr>
          <m:t xml:space="preserve"> </m:t>
        </m:r>
        <m:f>
          <m:fPr>
            <m:ctrlPr>
              <w:rPr>
                <w:rFonts w:ascii="Cambria Math" w:hAnsi="Cambria Math" w:cs="Times New Roman"/>
                <w:iCs/>
                <w:sz w:val="28"/>
                <w:szCs w:val="28"/>
              </w:rPr>
            </m:ctrlPr>
          </m:fPr>
          <m:num>
            <m:r>
              <m:rPr>
                <m:sty m:val="p"/>
              </m:rPr>
              <w:rPr>
                <w:rFonts w:ascii="Cambria Math" w:hAnsi="Cambria Math" w:cs="Times New Roman"/>
                <w:sz w:val="28"/>
                <w:szCs w:val="28"/>
              </w:rPr>
              <m:t xml:space="preserve"> Peak area response of sample in presence of pre-spiked matrix ions </m:t>
            </m:r>
          </m:num>
          <m:den>
            <m:r>
              <m:rPr>
                <m:sty m:val="p"/>
              </m:rPr>
              <w:rPr>
                <w:rFonts w:ascii="Cambria Math" w:hAnsi="Cambria Math" w:cs="Times New Roman"/>
                <w:sz w:val="28"/>
                <w:szCs w:val="28"/>
              </w:rPr>
              <m:t>PPeak area response of sample in presence of post-spiked matrix ions</m:t>
            </m:r>
          </m:den>
        </m:f>
      </m:oMath>
      <w:r w:rsidRPr="00100C47">
        <w:rPr>
          <w:rFonts w:ascii="Times New Roman" w:hAnsi="Times New Roman" w:cs="Times New Roman"/>
          <w:sz w:val="24"/>
          <w:szCs w:val="24"/>
        </w:rPr>
        <w:t>x100</w:t>
      </w:r>
      <w:r w:rsidRPr="00100C47">
        <w:rPr>
          <w:rFonts w:ascii="Times New Roman" w:hAnsi="Times New Roman" w:cs="Times New Roman"/>
          <w:b/>
          <w:bCs/>
          <w:sz w:val="24"/>
          <w:szCs w:val="24"/>
        </w:rPr>
        <w:t xml:space="preserve">     </w:t>
      </w:r>
      <w:r w:rsidR="001901E7" w:rsidRPr="001901E7">
        <w:rPr>
          <w:rFonts w:ascii="Times New Roman" w:hAnsi="Times New Roman" w:cs="Times New Roman"/>
          <w:sz w:val="24"/>
          <w:szCs w:val="24"/>
        </w:rPr>
        <w:t>(4)</w:t>
      </w:r>
      <w:r w:rsidRPr="001901E7">
        <w:rPr>
          <w:rFonts w:ascii="Times New Roman" w:hAnsi="Times New Roman" w:cs="Times New Roman"/>
          <w:sz w:val="24"/>
          <w:szCs w:val="24"/>
        </w:rPr>
        <w:t xml:space="preserve">                                                                                                                     </w:t>
      </w:r>
    </w:p>
    <w:p w14:paraId="7D9E0B58" w14:textId="3F219386" w:rsidR="00CC5DD8" w:rsidRPr="00100C47" w:rsidRDefault="00832402" w:rsidP="00317CEC">
      <w:pPr>
        <w:spacing w:after="0" w:line="360" w:lineRule="auto"/>
        <w:jc w:val="both"/>
        <w:rPr>
          <w:rFonts w:ascii="Times New Roman" w:eastAsiaTheme="minorEastAsia" w:hAnsi="Times New Roman" w:cs="Times New Roman"/>
          <w:color w:val="000000" w:themeColor="text1"/>
          <w:kern w:val="24"/>
          <w:sz w:val="24"/>
          <w:szCs w:val="24"/>
          <w:lang w:eastAsia="en-IN"/>
        </w:rPr>
      </w:pPr>
      <w:r w:rsidRPr="00100C47">
        <w:rPr>
          <w:rFonts w:ascii="Times New Roman" w:eastAsiaTheme="minorEastAsia" w:hAnsi="Times New Roman" w:cs="Times New Roman"/>
          <w:color w:val="000000" w:themeColor="text1"/>
          <w:kern w:val="24"/>
          <w:sz w:val="24"/>
          <w:szCs w:val="24"/>
          <w:lang w:eastAsia="en-IN"/>
        </w:rPr>
        <w:t xml:space="preserve">The % </w:t>
      </w:r>
      <w:r w:rsidRPr="00100C47">
        <w:rPr>
          <w:rFonts w:ascii="Times New Roman" w:hAnsi="Times New Roman" w:cs="Times New Roman"/>
          <w:bCs/>
          <w:color w:val="000000"/>
          <w:sz w:val="24"/>
          <w:szCs w:val="24"/>
        </w:rPr>
        <w:t xml:space="preserve">matrix effect </w:t>
      </w:r>
      <w:r w:rsidRPr="00100C47">
        <w:rPr>
          <w:rFonts w:ascii="Times New Roman" w:eastAsiaTheme="minorEastAsia" w:hAnsi="Times New Roman" w:cs="Times New Roman"/>
          <w:color w:val="000000" w:themeColor="text1"/>
          <w:kern w:val="24"/>
          <w:sz w:val="24"/>
          <w:szCs w:val="24"/>
          <w:lang w:eastAsia="en-IN"/>
        </w:rPr>
        <w:t xml:space="preserve">ranged between 95% to 105% and % </w:t>
      </w:r>
      <w:r w:rsidRPr="00100C47">
        <w:rPr>
          <w:rFonts w:ascii="Times New Roman" w:hAnsi="Times New Roman" w:cs="Times New Roman"/>
          <w:bCs/>
          <w:color w:val="000000"/>
          <w:sz w:val="24"/>
          <w:szCs w:val="24"/>
        </w:rPr>
        <w:t xml:space="preserve">recovery </w:t>
      </w:r>
      <w:r w:rsidRPr="00100C47">
        <w:rPr>
          <w:rFonts w:ascii="Times New Roman" w:eastAsiaTheme="minorEastAsia" w:hAnsi="Times New Roman" w:cs="Times New Roman"/>
          <w:color w:val="000000" w:themeColor="text1"/>
          <w:kern w:val="24"/>
          <w:sz w:val="24"/>
          <w:szCs w:val="24"/>
          <w:lang w:eastAsia="en-IN"/>
        </w:rPr>
        <w:t>of the extracted sample was found between 85-94%. At different concentration levels</w:t>
      </w:r>
      <w:r w:rsidR="008F1976">
        <w:rPr>
          <w:rFonts w:ascii="Times New Roman" w:eastAsiaTheme="minorEastAsia" w:hAnsi="Times New Roman" w:cs="Times New Roman"/>
          <w:color w:val="000000" w:themeColor="text1"/>
          <w:kern w:val="24"/>
          <w:sz w:val="24"/>
          <w:szCs w:val="24"/>
          <w:lang w:eastAsia="en-IN"/>
        </w:rPr>
        <w:t>,</w:t>
      </w:r>
      <w:r w:rsidR="00317CEC" w:rsidRPr="00100C47">
        <w:rPr>
          <w:rFonts w:ascii="Times New Roman" w:eastAsiaTheme="minorEastAsia" w:hAnsi="Times New Roman" w:cs="Times New Roman"/>
          <w:color w:val="000000" w:themeColor="text1"/>
          <w:kern w:val="24"/>
          <w:sz w:val="24"/>
          <w:szCs w:val="24"/>
          <w:lang w:eastAsia="en-IN"/>
        </w:rPr>
        <w:t xml:space="preserve"> Rhein</w:t>
      </w:r>
      <w:r w:rsidRPr="00100C47">
        <w:rPr>
          <w:rFonts w:ascii="Times New Roman" w:eastAsiaTheme="minorEastAsia" w:hAnsi="Times New Roman" w:cs="Times New Roman"/>
          <w:color w:val="000000" w:themeColor="text1"/>
          <w:kern w:val="24"/>
          <w:sz w:val="24"/>
          <w:szCs w:val="24"/>
          <w:lang w:eastAsia="en-IN"/>
        </w:rPr>
        <w:t xml:space="preserve"> showed reasonably high extraction efficacy as shown in </w:t>
      </w:r>
      <w:r w:rsidR="006F720F" w:rsidRPr="00D8044B">
        <w:rPr>
          <w:rFonts w:ascii="Times New Roman" w:eastAsiaTheme="minorEastAsia" w:hAnsi="Times New Roman" w:cs="Times New Roman"/>
          <w:color w:val="000000" w:themeColor="text1"/>
          <w:kern w:val="24"/>
          <w:sz w:val="24"/>
          <w:szCs w:val="24"/>
          <w:lang w:eastAsia="en-IN"/>
        </w:rPr>
        <w:t xml:space="preserve">Table </w:t>
      </w:r>
      <w:r w:rsidR="00D8044B" w:rsidRPr="00D8044B">
        <w:rPr>
          <w:rFonts w:ascii="Times New Roman" w:eastAsiaTheme="minorEastAsia" w:hAnsi="Times New Roman" w:cs="Times New Roman"/>
          <w:color w:val="000000" w:themeColor="text1"/>
          <w:kern w:val="24"/>
          <w:sz w:val="24"/>
          <w:szCs w:val="24"/>
          <w:lang w:eastAsia="en-IN"/>
        </w:rPr>
        <w:t>S</w:t>
      </w:r>
      <w:r w:rsidR="00A630EE" w:rsidRPr="00D8044B">
        <w:rPr>
          <w:rFonts w:ascii="Times New Roman" w:eastAsiaTheme="minorEastAsia" w:hAnsi="Times New Roman" w:cs="Times New Roman"/>
          <w:color w:val="000000" w:themeColor="text1"/>
          <w:kern w:val="24"/>
          <w:sz w:val="24"/>
          <w:szCs w:val="24"/>
          <w:lang w:eastAsia="en-IN"/>
        </w:rPr>
        <w:t>2</w:t>
      </w:r>
      <w:r w:rsidRPr="00D8044B">
        <w:rPr>
          <w:rFonts w:ascii="Times New Roman" w:eastAsiaTheme="minorEastAsia" w:hAnsi="Times New Roman" w:cs="Times New Roman"/>
          <w:color w:val="000000" w:themeColor="text1"/>
          <w:kern w:val="24"/>
          <w:sz w:val="24"/>
          <w:szCs w:val="24"/>
          <w:lang w:eastAsia="en-IN"/>
        </w:rPr>
        <w:t>.</w:t>
      </w:r>
      <w:r w:rsidRPr="00100C47">
        <w:rPr>
          <w:rFonts w:ascii="Times New Roman" w:eastAsiaTheme="minorEastAsia" w:hAnsi="Times New Roman" w:cs="Times New Roman"/>
          <w:color w:val="000000" w:themeColor="text1"/>
          <w:kern w:val="24"/>
          <w:sz w:val="24"/>
          <w:szCs w:val="24"/>
          <w:lang w:eastAsia="en-IN"/>
        </w:rPr>
        <w:t xml:space="preserve"> Consistently more than </w:t>
      </w:r>
      <w:r w:rsidR="006F720F" w:rsidRPr="00100C47">
        <w:rPr>
          <w:rFonts w:ascii="Times New Roman" w:eastAsiaTheme="minorEastAsia" w:hAnsi="Times New Roman" w:cs="Times New Roman"/>
          <w:color w:val="000000" w:themeColor="text1"/>
          <w:kern w:val="24"/>
          <w:sz w:val="24"/>
          <w:szCs w:val="24"/>
          <w:lang w:eastAsia="en-IN"/>
        </w:rPr>
        <w:t>90</w:t>
      </w:r>
      <w:r w:rsidRPr="00100C47">
        <w:rPr>
          <w:rFonts w:ascii="Times New Roman" w:eastAsiaTheme="minorEastAsia" w:hAnsi="Times New Roman" w:cs="Times New Roman"/>
          <w:color w:val="000000" w:themeColor="text1"/>
          <w:kern w:val="24"/>
          <w:sz w:val="24"/>
          <w:szCs w:val="24"/>
          <w:lang w:eastAsia="en-IN"/>
        </w:rPr>
        <w:t xml:space="preserve"> % of the drug was extracted from </w:t>
      </w:r>
      <w:r w:rsidR="008F1976">
        <w:rPr>
          <w:rFonts w:ascii="Times New Roman" w:eastAsiaTheme="minorEastAsia" w:hAnsi="Times New Roman" w:cs="Times New Roman"/>
          <w:color w:val="000000" w:themeColor="text1"/>
          <w:kern w:val="24"/>
          <w:sz w:val="24"/>
          <w:szCs w:val="24"/>
          <w:lang w:eastAsia="en-IN"/>
        </w:rPr>
        <w:t xml:space="preserve">the </w:t>
      </w:r>
      <w:r w:rsidR="00317CEC" w:rsidRPr="00100C47">
        <w:rPr>
          <w:rFonts w:ascii="Times New Roman" w:eastAsiaTheme="minorEastAsia" w:hAnsi="Times New Roman" w:cs="Times New Roman"/>
          <w:color w:val="000000" w:themeColor="text1"/>
          <w:kern w:val="24"/>
          <w:sz w:val="24"/>
          <w:szCs w:val="24"/>
          <w:lang w:eastAsia="en-IN"/>
        </w:rPr>
        <w:t xml:space="preserve">plasma </w:t>
      </w:r>
      <w:r w:rsidRPr="00100C47">
        <w:rPr>
          <w:rFonts w:ascii="Times New Roman" w:eastAsiaTheme="minorEastAsia" w:hAnsi="Times New Roman" w:cs="Times New Roman"/>
          <w:color w:val="000000" w:themeColor="text1"/>
          <w:kern w:val="24"/>
          <w:sz w:val="24"/>
          <w:szCs w:val="24"/>
          <w:lang w:eastAsia="en-IN"/>
        </w:rPr>
        <w:t>matrix.</w:t>
      </w:r>
    </w:p>
    <w:p w14:paraId="53580811" w14:textId="31427DD8" w:rsidR="00317CEC" w:rsidRPr="00100C47" w:rsidRDefault="00A21FC9" w:rsidP="00F019AF">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T</w:t>
      </w:r>
      <w:r w:rsidR="00F019AF" w:rsidRPr="00100C47">
        <w:rPr>
          <w:rFonts w:ascii="Times New Roman" w:hAnsi="Times New Roman" w:cs="Times New Roman"/>
          <w:color w:val="000000"/>
          <w:sz w:val="24"/>
          <w:szCs w:val="24"/>
        </w:rPr>
        <w:t xml:space="preserve">he extraction recovery and matrix effect for </w:t>
      </w:r>
      <w:proofErr w:type="spellStart"/>
      <w:r w:rsidR="00F019AF" w:rsidRPr="00100C47">
        <w:rPr>
          <w:rFonts w:ascii="Times New Roman" w:hAnsi="Times New Roman" w:cs="Times New Roman"/>
          <w:color w:val="000000"/>
          <w:sz w:val="24"/>
          <w:szCs w:val="24"/>
        </w:rPr>
        <w:t>rhein</w:t>
      </w:r>
      <w:proofErr w:type="spellEnd"/>
      <w:r w:rsidR="00F019AF" w:rsidRPr="00100C47">
        <w:rPr>
          <w:rFonts w:ascii="Times New Roman" w:hAnsi="Times New Roman" w:cs="Times New Roman"/>
          <w:color w:val="000000"/>
          <w:sz w:val="24"/>
          <w:szCs w:val="24"/>
        </w:rPr>
        <w:t xml:space="preserve"> in plasma samples at concentrations </w:t>
      </w:r>
      <w:r w:rsidRPr="00100C47">
        <w:rPr>
          <w:rFonts w:ascii="Times New Roman" w:hAnsi="Times New Roman" w:cs="Times New Roman"/>
          <w:sz w:val="24"/>
          <w:szCs w:val="24"/>
        </w:rPr>
        <w:t xml:space="preserve">0.05µg, 0.5µg, and 5 µg </w:t>
      </w:r>
      <w:r w:rsidR="00F019AF" w:rsidRPr="00100C47">
        <w:rPr>
          <w:rFonts w:ascii="Times New Roman" w:hAnsi="Times New Roman" w:cs="Times New Roman"/>
          <w:color w:val="000000"/>
          <w:sz w:val="24"/>
          <w:szCs w:val="24"/>
        </w:rPr>
        <w:t xml:space="preserve">were </w:t>
      </w:r>
      <w:bookmarkStart w:id="2" w:name="_Hlk184900163"/>
      <w:r w:rsidR="00A630EE" w:rsidRPr="00100C47">
        <w:rPr>
          <w:rFonts w:ascii="Times New Roman" w:hAnsi="Times New Roman" w:cs="Times New Roman"/>
          <w:color w:val="000000"/>
          <w:sz w:val="24"/>
          <w:szCs w:val="24"/>
        </w:rPr>
        <w:t>8</w:t>
      </w:r>
      <w:r w:rsidR="00FF56EA">
        <w:rPr>
          <w:rFonts w:ascii="Times New Roman" w:hAnsi="Times New Roman" w:cs="Times New Roman"/>
          <w:color w:val="000000"/>
          <w:sz w:val="24"/>
          <w:szCs w:val="24"/>
        </w:rPr>
        <w:t>5.78</w:t>
      </w:r>
      <w:r w:rsidR="00A630EE" w:rsidRPr="00100C47">
        <w:rPr>
          <w:rFonts w:ascii="Times New Roman" w:hAnsi="Times New Roman" w:cs="Times New Roman"/>
          <w:color w:val="000000"/>
          <w:sz w:val="24"/>
          <w:szCs w:val="24"/>
        </w:rPr>
        <w:t>-89</w:t>
      </w:r>
      <w:r w:rsidR="00FF56EA">
        <w:rPr>
          <w:rFonts w:ascii="Times New Roman" w:hAnsi="Times New Roman" w:cs="Times New Roman"/>
          <w:color w:val="000000"/>
          <w:sz w:val="24"/>
          <w:szCs w:val="24"/>
        </w:rPr>
        <w:t>.03</w:t>
      </w:r>
      <w:r w:rsidR="00A630EE" w:rsidRPr="00100C47">
        <w:rPr>
          <w:rFonts w:ascii="Times New Roman" w:hAnsi="Times New Roman" w:cs="Times New Roman"/>
          <w:color w:val="000000"/>
          <w:sz w:val="24"/>
          <w:szCs w:val="24"/>
        </w:rPr>
        <w:t>% and 94</w:t>
      </w:r>
      <w:r w:rsidR="00FF56EA">
        <w:rPr>
          <w:rFonts w:ascii="Times New Roman" w:hAnsi="Times New Roman" w:cs="Times New Roman"/>
          <w:color w:val="000000"/>
          <w:sz w:val="24"/>
          <w:szCs w:val="24"/>
        </w:rPr>
        <w:t>.78</w:t>
      </w:r>
      <w:r w:rsidR="00A630EE" w:rsidRPr="00100C47">
        <w:rPr>
          <w:rFonts w:ascii="Times New Roman" w:hAnsi="Times New Roman" w:cs="Times New Roman"/>
          <w:color w:val="000000"/>
          <w:sz w:val="24"/>
          <w:szCs w:val="24"/>
        </w:rPr>
        <w:t>-103</w:t>
      </w:r>
      <w:r w:rsidR="00FF56EA">
        <w:rPr>
          <w:rFonts w:ascii="Times New Roman" w:hAnsi="Times New Roman" w:cs="Times New Roman"/>
          <w:color w:val="000000"/>
          <w:sz w:val="24"/>
          <w:szCs w:val="24"/>
        </w:rPr>
        <w:t>.43</w:t>
      </w:r>
      <w:r w:rsidR="00A630EE" w:rsidRPr="00100C47">
        <w:rPr>
          <w:rFonts w:ascii="Times New Roman" w:hAnsi="Times New Roman" w:cs="Times New Roman"/>
          <w:color w:val="000000"/>
          <w:sz w:val="24"/>
          <w:szCs w:val="24"/>
        </w:rPr>
        <w:t>% respectively</w:t>
      </w:r>
      <w:bookmarkEnd w:id="2"/>
      <w:r w:rsidR="00A630EE" w:rsidRPr="00100C47">
        <w:rPr>
          <w:rFonts w:ascii="Times New Roman" w:hAnsi="Times New Roman" w:cs="Times New Roman"/>
          <w:color w:val="000000"/>
          <w:sz w:val="24"/>
          <w:szCs w:val="24"/>
        </w:rPr>
        <w:t xml:space="preserve">. </w:t>
      </w:r>
      <w:r w:rsidR="00F019AF" w:rsidRPr="00100C47">
        <w:rPr>
          <w:rFonts w:ascii="Times New Roman" w:hAnsi="Times New Roman" w:cs="Times New Roman"/>
          <w:color w:val="000000"/>
          <w:sz w:val="24"/>
          <w:szCs w:val="24"/>
        </w:rPr>
        <w:t xml:space="preserve">These data indicated that there were no significant matrix effects for </w:t>
      </w:r>
      <w:proofErr w:type="spellStart"/>
      <w:r w:rsidR="00F019AF" w:rsidRPr="00100C47">
        <w:rPr>
          <w:rFonts w:ascii="Times New Roman" w:hAnsi="Times New Roman" w:cs="Times New Roman"/>
          <w:color w:val="000000"/>
          <w:sz w:val="24"/>
          <w:szCs w:val="24"/>
        </w:rPr>
        <w:t>rhein</w:t>
      </w:r>
      <w:proofErr w:type="spellEnd"/>
      <w:r w:rsidR="00F019AF" w:rsidRPr="00100C47">
        <w:rPr>
          <w:rFonts w:ascii="Times New Roman" w:hAnsi="Times New Roman" w:cs="Times New Roman"/>
          <w:color w:val="000000"/>
          <w:sz w:val="24"/>
          <w:szCs w:val="24"/>
        </w:rPr>
        <w:t>.</w:t>
      </w:r>
    </w:p>
    <w:p w14:paraId="23B5CF9E" w14:textId="77777777" w:rsidR="008F1976" w:rsidRDefault="008F1976" w:rsidP="00F019AF">
      <w:pPr>
        <w:adjustRightInd w:val="0"/>
        <w:spacing w:line="360" w:lineRule="auto"/>
        <w:jc w:val="both"/>
        <w:rPr>
          <w:rFonts w:ascii="Times New Roman" w:hAnsi="Times New Roman" w:cs="Times New Roman"/>
          <w:b/>
          <w:bCs/>
          <w:color w:val="000000"/>
          <w:sz w:val="24"/>
          <w:szCs w:val="24"/>
        </w:rPr>
      </w:pPr>
    </w:p>
    <w:p w14:paraId="1306C0BD" w14:textId="77777777" w:rsidR="008F1976" w:rsidRDefault="008F1976" w:rsidP="00F019AF">
      <w:pPr>
        <w:adjustRightInd w:val="0"/>
        <w:spacing w:line="360" w:lineRule="auto"/>
        <w:jc w:val="both"/>
        <w:rPr>
          <w:rFonts w:ascii="Times New Roman" w:hAnsi="Times New Roman" w:cs="Times New Roman"/>
          <w:b/>
          <w:bCs/>
          <w:color w:val="000000"/>
          <w:sz w:val="24"/>
          <w:szCs w:val="24"/>
        </w:rPr>
      </w:pPr>
    </w:p>
    <w:p w14:paraId="3D5FAD93" w14:textId="77777777" w:rsidR="008F1976" w:rsidRDefault="008F1976" w:rsidP="00F019AF">
      <w:pPr>
        <w:adjustRightInd w:val="0"/>
        <w:spacing w:line="360" w:lineRule="auto"/>
        <w:jc w:val="both"/>
        <w:rPr>
          <w:rFonts w:ascii="Times New Roman" w:hAnsi="Times New Roman" w:cs="Times New Roman"/>
          <w:b/>
          <w:bCs/>
          <w:color w:val="000000"/>
          <w:sz w:val="24"/>
          <w:szCs w:val="24"/>
        </w:rPr>
      </w:pPr>
    </w:p>
    <w:p w14:paraId="0A222CA6" w14:textId="77777777" w:rsidR="008F1976" w:rsidRDefault="008F1976" w:rsidP="00F019AF">
      <w:pPr>
        <w:adjustRightInd w:val="0"/>
        <w:spacing w:line="360" w:lineRule="auto"/>
        <w:jc w:val="both"/>
        <w:rPr>
          <w:rFonts w:ascii="Times New Roman" w:hAnsi="Times New Roman" w:cs="Times New Roman"/>
          <w:b/>
          <w:bCs/>
          <w:color w:val="000000"/>
          <w:sz w:val="24"/>
          <w:szCs w:val="24"/>
        </w:rPr>
      </w:pPr>
    </w:p>
    <w:p w14:paraId="0D39113F" w14:textId="77777777" w:rsidR="008F1976" w:rsidRDefault="008F1976" w:rsidP="00F019AF">
      <w:pPr>
        <w:adjustRightInd w:val="0"/>
        <w:spacing w:line="360" w:lineRule="auto"/>
        <w:jc w:val="both"/>
        <w:rPr>
          <w:rFonts w:ascii="Times New Roman" w:hAnsi="Times New Roman" w:cs="Times New Roman"/>
          <w:b/>
          <w:bCs/>
          <w:color w:val="000000"/>
          <w:sz w:val="24"/>
          <w:szCs w:val="24"/>
        </w:rPr>
      </w:pPr>
    </w:p>
    <w:p w14:paraId="1299C40F" w14:textId="5C17843D" w:rsidR="004C20F1" w:rsidRPr="00100C47" w:rsidRDefault="00A630EE" w:rsidP="00F019AF">
      <w:pPr>
        <w:adjustRightInd w:val="0"/>
        <w:spacing w:line="360" w:lineRule="auto"/>
        <w:jc w:val="both"/>
        <w:rPr>
          <w:rFonts w:ascii="Times New Roman" w:hAnsi="Times New Roman" w:cs="Times New Roman"/>
          <w:b/>
          <w:bCs/>
          <w:color w:val="000000"/>
          <w:sz w:val="24"/>
          <w:szCs w:val="24"/>
        </w:rPr>
      </w:pPr>
      <w:r w:rsidRPr="00100C47">
        <w:rPr>
          <w:rFonts w:ascii="Times New Roman" w:hAnsi="Times New Roman" w:cs="Times New Roman"/>
          <w:b/>
          <w:bCs/>
          <w:color w:val="000000"/>
          <w:sz w:val="24"/>
          <w:szCs w:val="24"/>
        </w:rPr>
        <w:lastRenderedPageBreak/>
        <w:t xml:space="preserve">Table </w:t>
      </w:r>
      <w:r w:rsidR="00D8044B">
        <w:rPr>
          <w:rFonts w:ascii="Times New Roman" w:hAnsi="Times New Roman" w:cs="Times New Roman"/>
          <w:b/>
          <w:bCs/>
          <w:color w:val="000000"/>
          <w:sz w:val="24"/>
          <w:szCs w:val="24"/>
        </w:rPr>
        <w:t>S</w:t>
      </w:r>
      <w:r w:rsidRPr="00100C47">
        <w:rPr>
          <w:rFonts w:ascii="Times New Roman" w:hAnsi="Times New Roman" w:cs="Times New Roman"/>
          <w:b/>
          <w:bCs/>
          <w:color w:val="000000"/>
          <w:sz w:val="24"/>
          <w:szCs w:val="24"/>
        </w:rPr>
        <w:t xml:space="preserve">2: </w:t>
      </w:r>
      <w:r w:rsidR="00A63DEC" w:rsidRPr="00D8044B">
        <w:rPr>
          <w:rFonts w:ascii="Times New Roman" w:hAnsi="Times New Roman" w:cs="Times New Roman"/>
          <w:color w:val="000000"/>
          <w:sz w:val="24"/>
          <w:szCs w:val="24"/>
        </w:rPr>
        <w:t xml:space="preserve">% recovery and matrix effect of </w:t>
      </w:r>
      <w:proofErr w:type="spellStart"/>
      <w:r w:rsidR="00A63DEC" w:rsidRPr="00D8044B">
        <w:rPr>
          <w:rFonts w:ascii="Times New Roman" w:hAnsi="Times New Roman" w:cs="Times New Roman"/>
          <w:color w:val="000000"/>
          <w:sz w:val="24"/>
          <w:szCs w:val="24"/>
        </w:rPr>
        <w:t>rhein</w:t>
      </w:r>
      <w:proofErr w:type="spellEnd"/>
      <w:r w:rsidR="00A63DEC" w:rsidRPr="00D8044B">
        <w:rPr>
          <w:rFonts w:ascii="Times New Roman" w:hAnsi="Times New Roman" w:cs="Times New Roman"/>
          <w:color w:val="000000"/>
          <w:sz w:val="24"/>
          <w:szCs w:val="24"/>
        </w:rPr>
        <w:t xml:space="preserve"> determined in plasma</w:t>
      </w:r>
    </w:p>
    <w:tbl>
      <w:tblPr>
        <w:tblStyle w:val="TableGrid"/>
        <w:tblW w:w="9741" w:type="dxa"/>
        <w:tblLook w:val="04A0" w:firstRow="1" w:lastRow="0" w:firstColumn="1" w:lastColumn="0" w:noHBand="0" w:noVBand="1"/>
      </w:tblPr>
      <w:tblGrid>
        <w:gridCol w:w="1602"/>
        <w:gridCol w:w="1843"/>
        <w:gridCol w:w="1721"/>
        <w:gridCol w:w="1721"/>
        <w:gridCol w:w="1427"/>
        <w:gridCol w:w="1427"/>
      </w:tblGrid>
      <w:tr w:rsidR="006F720F" w:rsidRPr="00100C47" w14:paraId="07B32803" w14:textId="77777777" w:rsidTr="006F720F">
        <w:trPr>
          <w:trHeight w:val="559"/>
        </w:trPr>
        <w:tc>
          <w:tcPr>
            <w:tcW w:w="1602" w:type="dxa"/>
          </w:tcPr>
          <w:p w14:paraId="029FC530" w14:textId="5B267976" w:rsidR="006F720F" w:rsidRPr="00100C47" w:rsidRDefault="006F720F" w:rsidP="00F019AF">
            <w:pPr>
              <w:adjustRightInd w:val="0"/>
              <w:spacing w:line="360" w:lineRule="auto"/>
              <w:jc w:val="both"/>
              <w:rPr>
                <w:rFonts w:ascii="Times New Roman" w:hAnsi="Times New Roman" w:cs="Times New Roman"/>
                <w:b/>
                <w:bCs/>
                <w:color w:val="000000"/>
                <w:sz w:val="24"/>
                <w:szCs w:val="24"/>
              </w:rPr>
            </w:pPr>
            <w:r w:rsidRPr="00100C47">
              <w:rPr>
                <w:rFonts w:ascii="Times New Roman" w:hAnsi="Times New Roman" w:cs="Times New Roman"/>
                <w:b/>
                <w:bCs/>
                <w:color w:val="000000"/>
                <w:sz w:val="24"/>
                <w:szCs w:val="24"/>
              </w:rPr>
              <w:t>Rhein conc</w:t>
            </w:r>
          </w:p>
        </w:tc>
        <w:tc>
          <w:tcPr>
            <w:tcW w:w="1843" w:type="dxa"/>
          </w:tcPr>
          <w:p w14:paraId="465C76F6" w14:textId="70E70B47" w:rsidR="006F720F" w:rsidRPr="00100C47" w:rsidRDefault="008F1976" w:rsidP="00F019AF">
            <w:pPr>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Unextracted</w:t>
            </w:r>
            <w:r w:rsidR="006F720F" w:rsidRPr="00100C47">
              <w:rPr>
                <w:rFonts w:ascii="Times New Roman" w:hAnsi="Times New Roman" w:cs="Times New Roman"/>
                <w:b/>
                <w:bCs/>
                <w:color w:val="000000"/>
                <w:sz w:val="24"/>
                <w:szCs w:val="24"/>
              </w:rPr>
              <w:t xml:space="preserve"> </w:t>
            </w:r>
            <w:proofErr w:type="spellStart"/>
            <w:r w:rsidR="006F720F" w:rsidRPr="00100C47">
              <w:rPr>
                <w:rFonts w:ascii="Times New Roman" w:hAnsi="Times New Roman" w:cs="Times New Roman"/>
                <w:b/>
                <w:bCs/>
                <w:color w:val="000000"/>
                <w:sz w:val="24"/>
                <w:szCs w:val="24"/>
              </w:rPr>
              <w:t>rhein</w:t>
            </w:r>
            <w:proofErr w:type="spellEnd"/>
            <w:r w:rsidR="006F720F" w:rsidRPr="00100C47">
              <w:rPr>
                <w:rFonts w:ascii="Times New Roman" w:hAnsi="Times New Roman" w:cs="Times New Roman"/>
                <w:b/>
                <w:bCs/>
                <w:color w:val="000000"/>
                <w:sz w:val="24"/>
                <w:szCs w:val="24"/>
              </w:rPr>
              <w:t xml:space="preserve"> AUC</w:t>
            </w:r>
          </w:p>
        </w:tc>
        <w:tc>
          <w:tcPr>
            <w:tcW w:w="1721" w:type="dxa"/>
          </w:tcPr>
          <w:p w14:paraId="6AEAC512" w14:textId="3DFC4828" w:rsidR="006F720F" w:rsidRPr="00100C47" w:rsidRDefault="006F720F" w:rsidP="00F019AF">
            <w:pPr>
              <w:adjustRightInd w:val="0"/>
              <w:spacing w:line="360" w:lineRule="auto"/>
              <w:jc w:val="both"/>
              <w:rPr>
                <w:rFonts w:ascii="Times New Roman" w:hAnsi="Times New Roman" w:cs="Times New Roman"/>
                <w:b/>
                <w:bCs/>
                <w:color w:val="000000"/>
                <w:sz w:val="24"/>
                <w:szCs w:val="24"/>
              </w:rPr>
            </w:pPr>
            <w:r w:rsidRPr="00100C47">
              <w:rPr>
                <w:rFonts w:ascii="Times New Roman" w:hAnsi="Times New Roman" w:cs="Times New Roman"/>
                <w:b/>
                <w:bCs/>
                <w:color w:val="000000"/>
                <w:sz w:val="24"/>
                <w:szCs w:val="24"/>
              </w:rPr>
              <w:t>Extracted pre-spiked Rhein AUC</w:t>
            </w:r>
          </w:p>
        </w:tc>
        <w:tc>
          <w:tcPr>
            <w:tcW w:w="1721" w:type="dxa"/>
          </w:tcPr>
          <w:p w14:paraId="4B97344E" w14:textId="2C3849E7" w:rsidR="006F720F" w:rsidRPr="00100C47" w:rsidRDefault="006F720F" w:rsidP="00F019AF">
            <w:pPr>
              <w:adjustRightInd w:val="0"/>
              <w:spacing w:line="360" w:lineRule="auto"/>
              <w:jc w:val="both"/>
              <w:rPr>
                <w:rFonts w:ascii="Times New Roman" w:hAnsi="Times New Roman" w:cs="Times New Roman"/>
                <w:b/>
                <w:bCs/>
                <w:color w:val="000000"/>
                <w:sz w:val="24"/>
                <w:szCs w:val="24"/>
              </w:rPr>
            </w:pPr>
            <w:r w:rsidRPr="00100C47">
              <w:rPr>
                <w:rFonts w:ascii="Times New Roman" w:hAnsi="Times New Roman" w:cs="Times New Roman"/>
                <w:b/>
                <w:bCs/>
                <w:color w:val="000000"/>
                <w:sz w:val="24"/>
                <w:szCs w:val="24"/>
              </w:rPr>
              <w:t>Extracted post-spiked Rhein AUC</w:t>
            </w:r>
          </w:p>
        </w:tc>
        <w:tc>
          <w:tcPr>
            <w:tcW w:w="1427" w:type="dxa"/>
          </w:tcPr>
          <w:p w14:paraId="788DD29C" w14:textId="18F81FBE" w:rsidR="006F720F" w:rsidRPr="00100C47" w:rsidRDefault="006F720F" w:rsidP="00F019AF">
            <w:pPr>
              <w:adjustRightInd w:val="0"/>
              <w:spacing w:line="360" w:lineRule="auto"/>
              <w:jc w:val="both"/>
              <w:rPr>
                <w:rFonts w:ascii="Times New Roman" w:hAnsi="Times New Roman" w:cs="Times New Roman"/>
                <w:b/>
                <w:bCs/>
                <w:color w:val="000000"/>
                <w:sz w:val="24"/>
                <w:szCs w:val="24"/>
              </w:rPr>
            </w:pPr>
            <w:r w:rsidRPr="00100C47">
              <w:rPr>
                <w:rFonts w:ascii="Times New Roman" w:hAnsi="Times New Roman" w:cs="Times New Roman"/>
                <w:b/>
                <w:bCs/>
                <w:color w:val="000000"/>
                <w:sz w:val="24"/>
                <w:szCs w:val="24"/>
              </w:rPr>
              <w:t>Recovery %</w:t>
            </w:r>
          </w:p>
        </w:tc>
        <w:tc>
          <w:tcPr>
            <w:tcW w:w="1427" w:type="dxa"/>
          </w:tcPr>
          <w:p w14:paraId="02BE7C6A" w14:textId="7D0BC8F0" w:rsidR="006F720F" w:rsidRPr="00100C47" w:rsidRDefault="006F720F" w:rsidP="00F019AF">
            <w:pPr>
              <w:adjustRightInd w:val="0"/>
              <w:spacing w:line="360" w:lineRule="auto"/>
              <w:jc w:val="both"/>
              <w:rPr>
                <w:rFonts w:ascii="Times New Roman" w:hAnsi="Times New Roman" w:cs="Times New Roman"/>
                <w:b/>
                <w:bCs/>
                <w:color w:val="000000"/>
                <w:sz w:val="24"/>
                <w:szCs w:val="24"/>
              </w:rPr>
            </w:pPr>
            <w:r w:rsidRPr="00100C47">
              <w:rPr>
                <w:rFonts w:ascii="Times New Roman" w:hAnsi="Times New Roman" w:cs="Times New Roman"/>
                <w:b/>
                <w:bCs/>
                <w:color w:val="000000"/>
                <w:sz w:val="24"/>
                <w:szCs w:val="24"/>
              </w:rPr>
              <w:t>Matrix effect %</w:t>
            </w:r>
          </w:p>
        </w:tc>
      </w:tr>
      <w:tr w:rsidR="006F720F" w:rsidRPr="00100C47" w14:paraId="28F6E066" w14:textId="77777777" w:rsidTr="006F720F">
        <w:trPr>
          <w:trHeight w:val="275"/>
        </w:trPr>
        <w:tc>
          <w:tcPr>
            <w:tcW w:w="1602" w:type="dxa"/>
          </w:tcPr>
          <w:p w14:paraId="7F12ACD7" w14:textId="7A9CE54F" w:rsidR="006F720F" w:rsidRPr="00100C47" w:rsidRDefault="005B18E8"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 xml:space="preserve">0.05 </w:t>
            </w:r>
            <w:r w:rsidRPr="00100C47">
              <w:rPr>
                <w:rFonts w:ascii="Times New Roman" w:hAnsi="Times New Roman" w:cs="Times New Roman"/>
                <w:sz w:val="24"/>
                <w:szCs w:val="24"/>
              </w:rPr>
              <w:t>µg</w:t>
            </w:r>
          </w:p>
        </w:tc>
        <w:tc>
          <w:tcPr>
            <w:tcW w:w="1843" w:type="dxa"/>
          </w:tcPr>
          <w:p w14:paraId="0A7DB0D4" w14:textId="7AE4C49C"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1589</w:t>
            </w:r>
          </w:p>
        </w:tc>
        <w:tc>
          <w:tcPr>
            <w:tcW w:w="1721" w:type="dxa"/>
          </w:tcPr>
          <w:p w14:paraId="6AD085CA" w14:textId="4B9A427C"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1278</w:t>
            </w:r>
          </w:p>
        </w:tc>
        <w:tc>
          <w:tcPr>
            <w:tcW w:w="1721" w:type="dxa"/>
          </w:tcPr>
          <w:p w14:paraId="5CA9868D" w14:textId="4A5B3EBB"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1409</w:t>
            </w:r>
          </w:p>
        </w:tc>
        <w:tc>
          <w:tcPr>
            <w:tcW w:w="1427" w:type="dxa"/>
          </w:tcPr>
          <w:p w14:paraId="635A4F8A" w14:textId="7C200C9E"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89.03</w:t>
            </w:r>
          </w:p>
        </w:tc>
        <w:tc>
          <w:tcPr>
            <w:tcW w:w="1427" w:type="dxa"/>
          </w:tcPr>
          <w:p w14:paraId="6E9BA5EA" w14:textId="7C8AE118"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97.03</w:t>
            </w:r>
          </w:p>
        </w:tc>
      </w:tr>
      <w:tr w:rsidR="006F720F" w:rsidRPr="00100C47" w14:paraId="0BFFCAE2" w14:textId="77777777" w:rsidTr="006F720F">
        <w:trPr>
          <w:trHeight w:val="284"/>
        </w:trPr>
        <w:tc>
          <w:tcPr>
            <w:tcW w:w="1602" w:type="dxa"/>
          </w:tcPr>
          <w:p w14:paraId="220B6F6A" w14:textId="70160185" w:rsidR="006F720F" w:rsidRPr="00100C47" w:rsidRDefault="005B18E8"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0.</w:t>
            </w:r>
            <w:r w:rsidR="006F720F" w:rsidRPr="00100C47">
              <w:rPr>
                <w:rFonts w:ascii="Times New Roman" w:hAnsi="Times New Roman" w:cs="Times New Roman"/>
                <w:color w:val="000000"/>
                <w:sz w:val="24"/>
                <w:szCs w:val="24"/>
              </w:rPr>
              <w:t>5</w:t>
            </w:r>
            <w:r w:rsidRPr="00100C47">
              <w:rPr>
                <w:rFonts w:ascii="Times New Roman" w:hAnsi="Times New Roman" w:cs="Times New Roman"/>
                <w:color w:val="000000"/>
                <w:sz w:val="24"/>
                <w:szCs w:val="24"/>
              </w:rPr>
              <w:t xml:space="preserve"> </w:t>
            </w:r>
            <w:r w:rsidRPr="00100C47">
              <w:rPr>
                <w:rFonts w:ascii="Times New Roman" w:hAnsi="Times New Roman" w:cs="Times New Roman"/>
                <w:sz w:val="24"/>
                <w:szCs w:val="24"/>
              </w:rPr>
              <w:t>µg</w:t>
            </w:r>
          </w:p>
        </w:tc>
        <w:tc>
          <w:tcPr>
            <w:tcW w:w="1843" w:type="dxa"/>
          </w:tcPr>
          <w:p w14:paraId="2BBDFE7D" w14:textId="0522DF0D"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7602</w:t>
            </w:r>
          </w:p>
        </w:tc>
        <w:tc>
          <w:tcPr>
            <w:tcW w:w="1721" w:type="dxa"/>
          </w:tcPr>
          <w:p w14:paraId="43E73D5B" w14:textId="78685BB8"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6109</w:t>
            </w:r>
          </w:p>
        </w:tc>
        <w:tc>
          <w:tcPr>
            <w:tcW w:w="1721" w:type="dxa"/>
          </w:tcPr>
          <w:p w14:paraId="192992B8" w14:textId="6D77A469"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6207</w:t>
            </w:r>
          </w:p>
        </w:tc>
        <w:tc>
          <w:tcPr>
            <w:tcW w:w="1427" w:type="dxa"/>
          </w:tcPr>
          <w:p w14:paraId="11FB193B" w14:textId="4932DBE9"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8</w:t>
            </w:r>
            <w:r w:rsidR="00A630EE" w:rsidRPr="00100C47">
              <w:rPr>
                <w:rFonts w:ascii="Times New Roman" w:hAnsi="Times New Roman" w:cs="Times New Roman"/>
                <w:color w:val="000000"/>
                <w:sz w:val="24"/>
                <w:szCs w:val="24"/>
              </w:rPr>
              <w:t>5</w:t>
            </w:r>
            <w:r w:rsidRPr="00100C47">
              <w:rPr>
                <w:rFonts w:ascii="Times New Roman" w:hAnsi="Times New Roman" w:cs="Times New Roman"/>
                <w:color w:val="000000"/>
                <w:sz w:val="24"/>
                <w:szCs w:val="24"/>
              </w:rPr>
              <w:t>.78</w:t>
            </w:r>
          </w:p>
        </w:tc>
        <w:tc>
          <w:tcPr>
            <w:tcW w:w="1427" w:type="dxa"/>
          </w:tcPr>
          <w:p w14:paraId="6AEE5B55" w14:textId="2312EF1B"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94.78</w:t>
            </w:r>
          </w:p>
        </w:tc>
      </w:tr>
      <w:tr w:rsidR="006F720F" w:rsidRPr="00100C47" w14:paraId="3F6AB194" w14:textId="77777777" w:rsidTr="006F720F">
        <w:trPr>
          <w:trHeight w:val="275"/>
        </w:trPr>
        <w:tc>
          <w:tcPr>
            <w:tcW w:w="1602" w:type="dxa"/>
          </w:tcPr>
          <w:p w14:paraId="6F16F4C6" w14:textId="3580B76F" w:rsidR="006F720F" w:rsidRPr="00100C47" w:rsidRDefault="005B18E8"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 xml:space="preserve">5 </w:t>
            </w:r>
            <w:r w:rsidRPr="00100C47">
              <w:rPr>
                <w:rFonts w:ascii="Times New Roman" w:hAnsi="Times New Roman" w:cs="Times New Roman"/>
                <w:sz w:val="24"/>
                <w:szCs w:val="24"/>
              </w:rPr>
              <w:t>µg</w:t>
            </w:r>
          </w:p>
        </w:tc>
        <w:tc>
          <w:tcPr>
            <w:tcW w:w="1843" w:type="dxa"/>
          </w:tcPr>
          <w:p w14:paraId="5EB9445E" w14:textId="4DD60094"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76142</w:t>
            </w:r>
          </w:p>
        </w:tc>
        <w:tc>
          <w:tcPr>
            <w:tcW w:w="1721" w:type="dxa"/>
          </w:tcPr>
          <w:p w14:paraId="57B2607A" w14:textId="569397A1"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66895</w:t>
            </w:r>
          </w:p>
        </w:tc>
        <w:tc>
          <w:tcPr>
            <w:tcW w:w="1721" w:type="dxa"/>
          </w:tcPr>
          <w:p w14:paraId="712C0035" w14:textId="06CC3233"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65832</w:t>
            </w:r>
          </w:p>
        </w:tc>
        <w:tc>
          <w:tcPr>
            <w:tcW w:w="1427" w:type="dxa"/>
          </w:tcPr>
          <w:p w14:paraId="4ECF14A3" w14:textId="7B6B1682"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8</w:t>
            </w:r>
            <w:r w:rsidR="00A630EE" w:rsidRPr="00100C47">
              <w:rPr>
                <w:rFonts w:ascii="Times New Roman" w:hAnsi="Times New Roman" w:cs="Times New Roman"/>
                <w:color w:val="000000"/>
                <w:sz w:val="24"/>
                <w:szCs w:val="24"/>
              </w:rPr>
              <w:t>6</w:t>
            </w:r>
            <w:r w:rsidRPr="00100C47">
              <w:rPr>
                <w:rFonts w:ascii="Times New Roman" w:hAnsi="Times New Roman" w:cs="Times New Roman"/>
                <w:color w:val="000000"/>
                <w:sz w:val="24"/>
                <w:szCs w:val="24"/>
              </w:rPr>
              <w:t>.52</w:t>
            </w:r>
          </w:p>
        </w:tc>
        <w:tc>
          <w:tcPr>
            <w:tcW w:w="1427" w:type="dxa"/>
          </w:tcPr>
          <w:p w14:paraId="4010F3EE" w14:textId="5FF68C02" w:rsidR="006F720F" w:rsidRPr="00100C47" w:rsidRDefault="006F720F" w:rsidP="00A63DEC">
            <w:pPr>
              <w:adjustRightInd w:val="0"/>
              <w:spacing w:line="360" w:lineRule="auto"/>
              <w:jc w:val="both"/>
              <w:rPr>
                <w:rFonts w:ascii="Times New Roman" w:hAnsi="Times New Roman" w:cs="Times New Roman"/>
                <w:color w:val="000000"/>
                <w:sz w:val="24"/>
                <w:szCs w:val="24"/>
              </w:rPr>
            </w:pPr>
            <w:r w:rsidRPr="00100C47">
              <w:rPr>
                <w:rFonts w:ascii="Times New Roman" w:hAnsi="Times New Roman" w:cs="Times New Roman"/>
                <w:color w:val="000000"/>
                <w:sz w:val="24"/>
                <w:szCs w:val="24"/>
              </w:rPr>
              <w:t>103.43</w:t>
            </w:r>
          </w:p>
        </w:tc>
      </w:tr>
    </w:tbl>
    <w:p w14:paraId="6984FF2F" w14:textId="1169667F" w:rsidR="004C20F1" w:rsidRPr="00100C47" w:rsidRDefault="004C20F1" w:rsidP="00F019AF">
      <w:pPr>
        <w:adjustRightInd w:val="0"/>
        <w:spacing w:line="360" w:lineRule="auto"/>
        <w:jc w:val="both"/>
        <w:rPr>
          <w:rFonts w:ascii="Times New Roman" w:hAnsi="Times New Roman" w:cs="Times New Roman"/>
          <w:color w:val="000000"/>
        </w:rPr>
      </w:pPr>
    </w:p>
    <w:p w14:paraId="30454816" w14:textId="09BBFB6D" w:rsidR="002D6F9F" w:rsidRPr="001D18E0" w:rsidRDefault="002D6F9F" w:rsidP="001D18E0">
      <w:pPr>
        <w:pStyle w:val="ListParagraph"/>
        <w:numPr>
          <w:ilvl w:val="0"/>
          <w:numId w:val="9"/>
        </w:numPr>
        <w:adjustRightInd w:val="0"/>
        <w:spacing w:line="360" w:lineRule="auto"/>
        <w:jc w:val="both"/>
        <w:rPr>
          <w:b/>
          <w:sz w:val="24"/>
          <w:szCs w:val="24"/>
        </w:rPr>
      </w:pPr>
      <w:r w:rsidRPr="001D18E0">
        <w:rPr>
          <w:b/>
          <w:sz w:val="24"/>
          <w:szCs w:val="24"/>
        </w:rPr>
        <w:t>Precision and accuracy</w:t>
      </w:r>
    </w:p>
    <w:p w14:paraId="4A6EFCCB" w14:textId="0ED21056" w:rsidR="00C01D53" w:rsidRPr="00100C47" w:rsidRDefault="00C01D53" w:rsidP="00C01D53">
      <w:pPr>
        <w:adjustRightInd w:val="0"/>
        <w:spacing w:line="360" w:lineRule="auto"/>
        <w:ind w:left="360"/>
        <w:jc w:val="both"/>
        <w:rPr>
          <w:rFonts w:ascii="Times New Roman" w:hAnsi="Times New Roman" w:cs="Times New Roman"/>
          <w:sz w:val="24"/>
          <w:szCs w:val="24"/>
        </w:rPr>
      </w:pPr>
      <w:r w:rsidRPr="00100C47">
        <w:rPr>
          <w:rFonts w:ascii="Times New Roman" w:hAnsi="Times New Roman" w:cs="Times New Roman"/>
          <w:sz w:val="24"/>
          <w:szCs w:val="24"/>
        </w:rPr>
        <w:t>The precision of the bioanalytical method was determined by assaying three concentration levels (low</w:t>
      </w:r>
      <w:r w:rsidR="005B18E8" w:rsidRPr="00100C47">
        <w:rPr>
          <w:rFonts w:ascii="Times New Roman" w:hAnsi="Times New Roman" w:cs="Times New Roman"/>
          <w:sz w:val="24"/>
          <w:szCs w:val="24"/>
        </w:rPr>
        <w:t xml:space="preserve"> 0.05µg</w:t>
      </w:r>
      <w:r w:rsidRPr="00100C47">
        <w:rPr>
          <w:rFonts w:ascii="Times New Roman" w:hAnsi="Times New Roman" w:cs="Times New Roman"/>
          <w:sz w:val="24"/>
          <w:szCs w:val="24"/>
        </w:rPr>
        <w:t>, middle</w:t>
      </w:r>
      <w:r w:rsidR="005B18E8" w:rsidRPr="00100C47">
        <w:rPr>
          <w:rFonts w:ascii="Times New Roman" w:hAnsi="Times New Roman" w:cs="Times New Roman"/>
          <w:sz w:val="24"/>
          <w:szCs w:val="24"/>
        </w:rPr>
        <w:t xml:space="preserve"> 0.5µg</w:t>
      </w:r>
      <w:r w:rsidR="008F1976">
        <w:rPr>
          <w:rFonts w:ascii="Times New Roman" w:hAnsi="Times New Roman" w:cs="Times New Roman"/>
          <w:sz w:val="24"/>
          <w:szCs w:val="24"/>
        </w:rPr>
        <w:t>,</w:t>
      </w:r>
      <w:r w:rsidRPr="00100C47">
        <w:rPr>
          <w:rFonts w:ascii="Times New Roman" w:hAnsi="Times New Roman" w:cs="Times New Roman"/>
          <w:sz w:val="24"/>
          <w:szCs w:val="24"/>
        </w:rPr>
        <w:t xml:space="preserve"> and high</w:t>
      </w:r>
      <w:r w:rsidR="005B18E8" w:rsidRPr="00100C47">
        <w:rPr>
          <w:rFonts w:ascii="Times New Roman" w:hAnsi="Times New Roman" w:cs="Times New Roman"/>
          <w:sz w:val="24"/>
          <w:szCs w:val="24"/>
        </w:rPr>
        <w:t xml:space="preserve"> 5µg</w:t>
      </w:r>
      <w:r w:rsidRPr="00100C47">
        <w:rPr>
          <w:rFonts w:ascii="Times New Roman" w:hAnsi="Times New Roman" w:cs="Times New Roman"/>
          <w:sz w:val="24"/>
          <w:szCs w:val="24"/>
        </w:rPr>
        <w:t>) and estimating standard deviation (SD) and relative standard deviation/ coefficient variation (CV). The intra-day and inter-day precision was determined by analyzing three samples at three different times and determining SD, and % CV</w:t>
      </w:r>
      <w:r w:rsidR="009855BE">
        <w:rPr>
          <w:rFonts w:ascii="Times New Roman" w:hAnsi="Times New Roman" w:cs="Times New Roman"/>
          <w:sz w:val="24"/>
          <w:szCs w:val="24"/>
        </w:rPr>
        <w:t xml:space="preserve"> as shown in </w:t>
      </w:r>
      <w:r w:rsidR="009855BE" w:rsidRPr="00D8044B">
        <w:rPr>
          <w:rFonts w:ascii="Times New Roman" w:hAnsi="Times New Roman" w:cs="Times New Roman"/>
          <w:sz w:val="24"/>
          <w:szCs w:val="24"/>
        </w:rPr>
        <w:t xml:space="preserve">Table </w:t>
      </w:r>
      <w:r w:rsidR="00D8044B" w:rsidRPr="00D8044B">
        <w:rPr>
          <w:rFonts w:ascii="Times New Roman" w:hAnsi="Times New Roman" w:cs="Times New Roman"/>
          <w:sz w:val="24"/>
          <w:szCs w:val="24"/>
        </w:rPr>
        <w:t>S</w:t>
      </w:r>
      <w:r w:rsidR="009855BE" w:rsidRPr="00D8044B">
        <w:rPr>
          <w:rFonts w:ascii="Times New Roman" w:hAnsi="Times New Roman" w:cs="Times New Roman"/>
          <w:sz w:val="24"/>
          <w:szCs w:val="24"/>
        </w:rPr>
        <w:t>3</w:t>
      </w:r>
      <w:r w:rsidRPr="00D8044B">
        <w:rPr>
          <w:rFonts w:ascii="Times New Roman" w:hAnsi="Times New Roman" w:cs="Times New Roman"/>
          <w:sz w:val="24"/>
          <w:szCs w:val="24"/>
        </w:rPr>
        <w:t>.</w:t>
      </w:r>
      <w:r w:rsidRPr="00100C47">
        <w:rPr>
          <w:rFonts w:ascii="Times New Roman" w:hAnsi="Times New Roman" w:cs="Times New Roman"/>
          <w:sz w:val="24"/>
          <w:szCs w:val="24"/>
        </w:rPr>
        <w:t xml:space="preserve"> </w:t>
      </w:r>
    </w:p>
    <w:p w14:paraId="279DED66" w14:textId="0EC3966D" w:rsidR="00011D22" w:rsidRPr="003C0ECF" w:rsidRDefault="005C2172" w:rsidP="00011D22">
      <w:pPr>
        <w:tabs>
          <w:tab w:val="left" w:pos="5891"/>
        </w:tabs>
        <w:spacing w:after="0" w:line="360" w:lineRule="auto"/>
        <w:jc w:val="both"/>
        <w:rPr>
          <w:rFonts w:ascii="Times New Roman" w:hAnsi="Times New Roman" w:cs="Times New Roman"/>
          <w:sz w:val="24"/>
          <w:szCs w:val="24"/>
        </w:rPr>
      </w:pPr>
      <w:r w:rsidRPr="005C2172">
        <w:rPr>
          <w:rFonts w:ascii="Times New Roman" w:hAnsi="Times New Roman" w:cs="Times New Roman"/>
          <w:sz w:val="24"/>
          <w:szCs w:val="24"/>
        </w:rPr>
        <w:t>The percentage coefficient of variation (% CV), which is used to measure precision, was determined using equation (5).</w:t>
      </w:r>
    </w:p>
    <w:p w14:paraId="70A922B7" w14:textId="34EA6A45" w:rsidR="00011D22" w:rsidRPr="00100C47" w:rsidRDefault="00011D22" w:rsidP="00011D22">
      <w:pPr>
        <w:tabs>
          <w:tab w:val="left" w:pos="5891"/>
        </w:tabs>
        <w:spacing w:after="0" w:line="360" w:lineRule="auto"/>
        <w:jc w:val="center"/>
        <w:rPr>
          <w:rFonts w:ascii="Times New Roman" w:hAnsi="Times New Roman" w:cs="Times New Roman"/>
          <w:b/>
          <w:bCs/>
          <w:sz w:val="24"/>
          <w:szCs w:val="24"/>
        </w:rPr>
      </w:pPr>
      <w:r w:rsidRPr="00100C47">
        <w:rPr>
          <w:rFonts w:ascii="Times New Roman" w:hAnsi="Times New Roman" w:cs="Times New Roman"/>
          <w:sz w:val="24"/>
          <w:szCs w:val="24"/>
        </w:rPr>
        <w:t xml:space="preserve">% CV = (Standard deviation /Mean) x 100  </w:t>
      </w:r>
      <w:r w:rsidRPr="00100C47">
        <w:rPr>
          <w:rFonts w:ascii="Times New Roman" w:hAnsi="Times New Roman" w:cs="Times New Roman"/>
          <w:b/>
          <w:bCs/>
          <w:sz w:val="24"/>
          <w:szCs w:val="24"/>
        </w:rPr>
        <w:t xml:space="preserve">                    (</w:t>
      </w:r>
      <w:r w:rsidR="009855BE">
        <w:rPr>
          <w:rFonts w:ascii="Times New Roman" w:hAnsi="Times New Roman" w:cs="Times New Roman"/>
          <w:b/>
          <w:bCs/>
          <w:sz w:val="24"/>
          <w:szCs w:val="24"/>
        </w:rPr>
        <w:t>5</w:t>
      </w:r>
      <w:r w:rsidRPr="00100C47">
        <w:rPr>
          <w:rFonts w:ascii="Times New Roman" w:hAnsi="Times New Roman" w:cs="Times New Roman"/>
          <w:b/>
          <w:bCs/>
          <w:sz w:val="24"/>
          <w:szCs w:val="24"/>
        </w:rPr>
        <w:t>)</w:t>
      </w:r>
    </w:p>
    <w:p w14:paraId="23A5BD52" w14:textId="1609B9C9" w:rsidR="00011D22" w:rsidRPr="00CC0CD3" w:rsidRDefault="00CC0CD3" w:rsidP="00CC0CD3">
      <w:pPr>
        <w:pStyle w:val="ListParagraph"/>
        <w:widowControl/>
        <w:numPr>
          <w:ilvl w:val="0"/>
          <w:numId w:val="10"/>
        </w:numPr>
        <w:tabs>
          <w:tab w:val="left" w:pos="5891"/>
        </w:tabs>
        <w:autoSpaceDE/>
        <w:autoSpaceDN/>
        <w:spacing w:line="360" w:lineRule="auto"/>
        <w:contextualSpacing/>
        <w:jc w:val="both"/>
        <w:rPr>
          <w:sz w:val="24"/>
          <w:szCs w:val="24"/>
        </w:rPr>
      </w:pPr>
      <w:r w:rsidRPr="00CC0CD3">
        <w:rPr>
          <w:sz w:val="24"/>
          <w:szCs w:val="24"/>
        </w:rPr>
        <w:t xml:space="preserve">Calculating the percentage coefficient of variation (% CV) of the findings acquired that same day allowed the determination of intra-day precision. </w:t>
      </w:r>
    </w:p>
    <w:p w14:paraId="285CA990" w14:textId="11A174BE" w:rsidR="00011D22" w:rsidRPr="00100C47" w:rsidRDefault="00CC0CD3" w:rsidP="00011D22">
      <w:pPr>
        <w:pStyle w:val="ListParagraph"/>
        <w:widowControl/>
        <w:numPr>
          <w:ilvl w:val="0"/>
          <w:numId w:val="10"/>
        </w:numPr>
        <w:tabs>
          <w:tab w:val="left" w:pos="5891"/>
        </w:tabs>
        <w:autoSpaceDE/>
        <w:autoSpaceDN/>
        <w:spacing w:line="360" w:lineRule="auto"/>
        <w:contextualSpacing/>
        <w:jc w:val="both"/>
        <w:rPr>
          <w:sz w:val="24"/>
          <w:szCs w:val="24"/>
        </w:rPr>
      </w:pPr>
      <w:r w:rsidRPr="00CC0CD3">
        <w:rPr>
          <w:sz w:val="24"/>
          <w:szCs w:val="24"/>
        </w:rPr>
        <w:t>Calculating the percentage coefficient of variation (% CV) of the outcomes gathered over a minimum of two days allowed for the determination of inter-day precision.</w:t>
      </w:r>
    </w:p>
    <w:p w14:paraId="459942D6" w14:textId="7A0861A8" w:rsidR="005B18E8" w:rsidRPr="00100C47" w:rsidRDefault="0093700A" w:rsidP="005B18E8">
      <w:pPr>
        <w:tabs>
          <w:tab w:val="left" w:pos="5891"/>
        </w:tabs>
        <w:spacing w:after="0" w:line="360" w:lineRule="auto"/>
        <w:jc w:val="both"/>
        <w:rPr>
          <w:rFonts w:ascii="Times New Roman" w:hAnsi="Times New Roman" w:cs="Times New Roman"/>
          <w:sz w:val="24"/>
          <w:szCs w:val="24"/>
        </w:rPr>
      </w:pPr>
      <w:r w:rsidRPr="0093700A">
        <w:rPr>
          <w:rFonts w:ascii="Times New Roman" w:hAnsi="Times New Roman" w:cs="Times New Roman"/>
          <w:sz w:val="24"/>
          <w:szCs w:val="24"/>
        </w:rPr>
        <w:t xml:space="preserve">The accuracy is expressed as the nominal percentage of the concentration and was determined using equation (6). </w:t>
      </w:r>
    </w:p>
    <w:p w14:paraId="23A5E549" w14:textId="40EA8D63" w:rsidR="005B18E8" w:rsidRPr="00100C47" w:rsidRDefault="005B18E8" w:rsidP="005B18E8">
      <w:pPr>
        <w:tabs>
          <w:tab w:val="left" w:pos="5891"/>
        </w:tabs>
        <w:spacing w:after="0" w:line="360" w:lineRule="auto"/>
        <w:jc w:val="center"/>
        <w:rPr>
          <w:rFonts w:ascii="Times New Roman" w:hAnsi="Times New Roman" w:cs="Times New Roman"/>
          <w:b/>
          <w:bCs/>
          <w:sz w:val="24"/>
          <w:szCs w:val="24"/>
        </w:rPr>
      </w:pPr>
      <w:r w:rsidRPr="00100C47">
        <w:rPr>
          <w:rFonts w:ascii="Times New Roman" w:hAnsi="Times New Roman" w:cs="Times New Roman"/>
          <w:sz w:val="24"/>
          <w:szCs w:val="24"/>
        </w:rPr>
        <w:t>% Nominal = (Measured concentration/Actual concentration) x 100</w:t>
      </w:r>
      <w:r w:rsidRPr="00100C47">
        <w:rPr>
          <w:rFonts w:ascii="Times New Roman" w:hAnsi="Times New Roman" w:cs="Times New Roman"/>
          <w:b/>
          <w:bCs/>
          <w:sz w:val="24"/>
          <w:szCs w:val="24"/>
        </w:rPr>
        <w:t xml:space="preserve">          (</w:t>
      </w:r>
      <w:r w:rsidR="009855BE">
        <w:rPr>
          <w:rFonts w:ascii="Times New Roman" w:hAnsi="Times New Roman" w:cs="Times New Roman"/>
          <w:b/>
          <w:bCs/>
          <w:sz w:val="24"/>
          <w:szCs w:val="24"/>
        </w:rPr>
        <w:t>6</w:t>
      </w:r>
      <w:r w:rsidRPr="00100C47">
        <w:rPr>
          <w:rFonts w:ascii="Times New Roman" w:hAnsi="Times New Roman" w:cs="Times New Roman"/>
          <w:b/>
          <w:bCs/>
          <w:sz w:val="24"/>
          <w:szCs w:val="24"/>
        </w:rPr>
        <w:t>)</w:t>
      </w:r>
    </w:p>
    <w:p w14:paraId="2E59D752" w14:textId="6D26F133" w:rsidR="005B18E8" w:rsidRPr="00100C47" w:rsidRDefault="0084547B" w:rsidP="005B18E8">
      <w:pPr>
        <w:pStyle w:val="ListParagraph"/>
        <w:widowControl/>
        <w:numPr>
          <w:ilvl w:val="0"/>
          <w:numId w:val="11"/>
        </w:numPr>
        <w:tabs>
          <w:tab w:val="left" w:pos="5891"/>
        </w:tabs>
        <w:autoSpaceDE/>
        <w:autoSpaceDN/>
        <w:spacing w:line="360" w:lineRule="auto"/>
        <w:contextualSpacing/>
        <w:jc w:val="both"/>
        <w:rPr>
          <w:sz w:val="24"/>
          <w:szCs w:val="24"/>
        </w:rPr>
      </w:pPr>
      <w:r w:rsidRPr="0084547B">
        <w:rPr>
          <w:sz w:val="24"/>
          <w:szCs w:val="24"/>
        </w:rPr>
        <w:t>The mean of the percentage nominal at every level was given after calculating the % nominal of the estimated concentration from the actual values for quality control samples at any concentration level evaluated in a single day. This allowed for a measurement of intra-day accuracy</w:t>
      </w:r>
      <w:r w:rsidR="005B18E8" w:rsidRPr="00100C47">
        <w:rPr>
          <w:sz w:val="24"/>
          <w:szCs w:val="24"/>
        </w:rPr>
        <w:t xml:space="preserve">. </w:t>
      </w:r>
    </w:p>
    <w:p w14:paraId="506DAB32" w14:textId="0700BB5F" w:rsidR="0084547B" w:rsidRPr="0084547B" w:rsidRDefault="0084547B" w:rsidP="0084547B">
      <w:pPr>
        <w:pStyle w:val="ListParagraph"/>
        <w:numPr>
          <w:ilvl w:val="0"/>
          <w:numId w:val="11"/>
        </w:numPr>
        <w:tabs>
          <w:tab w:val="left" w:pos="5891"/>
        </w:tabs>
        <w:spacing w:line="360" w:lineRule="auto"/>
        <w:contextualSpacing/>
        <w:jc w:val="both"/>
        <w:rPr>
          <w:sz w:val="24"/>
          <w:szCs w:val="24"/>
        </w:rPr>
      </w:pPr>
      <w:r w:rsidRPr="0084547B">
        <w:rPr>
          <w:sz w:val="24"/>
          <w:szCs w:val="24"/>
        </w:rPr>
        <w:t xml:space="preserve">The percentage nominal of the estimated concentration was derived from the actual </w:t>
      </w:r>
      <w:r w:rsidRPr="0084547B">
        <w:rPr>
          <w:sz w:val="24"/>
          <w:szCs w:val="24"/>
        </w:rPr>
        <w:lastRenderedPageBreak/>
        <w:t xml:space="preserve">value for quality control samples at every level studied across a minimum of two days </w:t>
      </w:r>
      <w:r w:rsidR="008F1976">
        <w:rPr>
          <w:sz w:val="24"/>
          <w:szCs w:val="24"/>
        </w:rPr>
        <w:t>to</w:t>
      </w:r>
      <w:r w:rsidRPr="0084547B">
        <w:rPr>
          <w:sz w:val="24"/>
          <w:szCs w:val="24"/>
        </w:rPr>
        <w:t xml:space="preserve"> determine inter-day accuracy. The mean of the percentage nominal at every level was then noted. </w:t>
      </w:r>
    </w:p>
    <w:p w14:paraId="0B03BB40" w14:textId="1B4F79A9" w:rsidR="002474D9" w:rsidRPr="00100C47" w:rsidRDefault="002474D9" w:rsidP="002474D9">
      <w:pPr>
        <w:adjustRightInd w:val="0"/>
        <w:spacing w:line="360" w:lineRule="auto"/>
        <w:jc w:val="both"/>
        <w:rPr>
          <w:rFonts w:ascii="Times New Roman" w:hAnsi="Times New Roman" w:cs="Times New Roman"/>
          <w:b/>
          <w:bCs/>
          <w:sz w:val="24"/>
          <w:szCs w:val="24"/>
        </w:rPr>
      </w:pPr>
      <w:r w:rsidRPr="00100C47">
        <w:rPr>
          <w:rFonts w:ascii="Times New Roman" w:hAnsi="Times New Roman" w:cs="Times New Roman"/>
          <w:b/>
          <w:bCs/>
          <w:sz w:val="24"/>
          <w:szCs w:val="24"/>
        </w:rPr>
        <w:t xml:space="preserve">Acceptance criteria: </w:t>
      </w:r>
    </w:p>
    <w:p w14:paraId="2C547097" w14:textId="77777777" w:rsidR="002474D9" w:rsidRPr="00100C47" w:rsidRDefault="002474D9" w:rsidP="002474D9">
      <w:pPr>
        <w:pStyle w:val="ListParagraph"/>
        <w:numPr>
          <w:ilvl w:val="0"/>
          <w:numId w:val="11"/>
        </w:numPr>
        <w:adjustRightInd w:val="0"/>
        <w:spacing w:line="360" w:lineRule="auto"/>
        <w:jc w:val="both"/>
        <w:rPr>
          <w:sz w:val="24"/>
          <w:szCs w:val="24"/>
        </w:rPr>
      </w:pPr>
      <w:r w:rsidRPr="00100C47">
        <w:rPr>
          <w:sz w:val="24"/>
          <w:szCs w:val="24"/>
        </w:rPr>
        <w:t xml:space="preserve">Accuracy: ± 15% of nominal concentrations; except ± 20% at LOQ. </w:t>
      </w:r>
    </w:p>
    <w:p w14:paraId="60E9CF92" w14:textId="2DA2C2B6" w:rsidR="00903CA3" w:rsidRPr="00100C47" w:rsidRDefault="002474D9" w:rsidP="00903CA3">
      <w:pPr>
        <w:pStyle w:val="ListParagraph"/>
        <w:numPr>
          <w:ilvl w:val="0"/>
          <w:numId w:val="11"/>
        </w:numPr>
        <w:adjustRightInd w:val="0"/>
        <w:spacing w:line="360" w:lineRule="auto"/>
        <w:jc w:val="both"/>
        <w:rPr>
          <w:sz w:val="24"/>
          <w:szCs w:val="24"/>
        </w:rPr>
      </w:pPr>
      <w:r w:rsidRPr="00100C47">
        <w:rPr>
          <w:sz w:val="24"/>
          <w:szCs w:val="24"/>
        </w:rPr>
        <w:t xml:space="preserve">Precision: </w:t>
      </w:r>
      <w:bookmarkStart w:id="3" w:name="_Hlk184900603"/>
      <w:r w:rsidRPr="00100C47">
        <w:rPr>
          <w:sz w:val="24"/>
          <w:szCs w:val="24"/>
        </w:rPr>
        <w:t>± 15% CV</w:t>
      </w:r>
      <w:bookmarkEnd w:id="3"/>
      <w:r w:rsidRPr="00100C47">
        <w:rPr>
          <w:sz w:val="24"/>
          <w:szCs w:val="24"/>
        </w:rPr>
        <w:t>, except ± 20% CV at LOQ</w:t>
      </w:r>
    </w:p>
    <w:p w14:paraId="412572AE" w14:textId="13DC1A98" w:rsidR="00903CA3" w:rsidRPr="00100C47" w:rsidRDefault="00903CA3" w:rsidP="00903CA3">
      <w:pPr>
        <w:adjustRightInd w:val="0"/>
        <w:spacing w:line="360" w:lineRule="auto"/>
        <w:jc w:val="both"/>
        <w:rPr>
          <w:rFonts w:ascii="Times New Roman" w:hAnsi="Times New Roman" w:cs="Times New Roman"/>
          <w:sz w:val="24"/>
          <w:szCs w:val="24"/>
        </w:rPr>
      </w:pPr>
      <w:r w:rsidRPr="00100C47">
        <w:rPr>
          <w:rFonts w:ascii="Times New Roman" w:hAnsi="Times New Roman" w:cs="Times New Roman"/>
          <w:b/>
          <w:sz w:val="24"/>
          <w:szCs w:val="24"/>
        </w:rPr>
        <w:t xml:space="preserve">Table </w:t>
      </w:r>
      <w:r w:rsidR="00D8044B">
        <w:rPr>
          <w:rFonts w:ascii="Times New Roman" w:hAnsi="Times New Roman" w:cs="Times New Roman"/>
          <w:b/>
          <w:sz w:val="24"/>
          <w:szCs w:val="24"/>
        </w:rPr>
        <w:t>S</w:t>
      </w:r>
      <w:r w:rsidRPr="00100C47">
        <w:rPr>
          <w:rFonts w:ascii="Times New Roman" w:hAnsi="Times New Roman" w:cs="Times New Roman"/>
          <w:b/>
          <w:sz w:val="24"/>
          <w:szCs w:val="24"/>
        </w:rPr>
        <w:t xml:space="preserve">3: </w:t>
      </w:r>
      <w:bookmarkStart w:id="4" w:name="_Hlk184900535"/>
      <w:r w:rsidRPr="00100C47">
        <w:rPr>
          <w:rFonts w:ascii="Times New Roman" w:hAnsi="Times New Roman" w:cs="Times New Roman"/>
          <w:bCs/>
          <w:sz w:val="24"/>
          <w:szCs w:val="24"/>
        </w:rPr>
        <w:t xml:space="preserve">Intra-day and inter-day precision and accuracy </w:t>
      </w:r>
      <w:bookmarkEnd w:id="4"/>
      <w:r w:rsidRPr="00100C47">
        <w:rPr>
          <w:rFonts w:ascii="Times New Roman" w:hAnsi="Times New Roman" w:cs="Times New Roman"/>
          <w:bCs/>
          <w:sz w:val="24"/>
          <w:szCs w:val="24"/>
        </w:rPr>
        <w:t>of Rhein determined by the bioanalytical method</w:t>
      </w:r>
    </w:p>
    <w:tbl>
      <w:tblPr>
        <w:tblStyle w:val="TableGrid"/>
        <w:tblW w:w="0" w:type="auto"/>
        <w:tblLook w:val="04A0" w:firstRow="1" w:lastRow="0" w:firstColumn="1" w:lastColumn="0" w:noHBand="0" w:noVBand="1"/>
      </w:tblPr>
      <w:tblGrid>
        <w:gridCol w:w="1075"/>
        <w:gridCol w:w="1715"/>
        <w:gridCol w:w="1075"/>
        <w:gridCol w:w="1260"/>
        <w:gridCol w:w="1606"/>
        <w:gridCol w:w="1297"/>
        <w:gridCol w:w="1322"/>
      </w:tblGrid>
      <w:tr w:rsidR="00C53B0C" w:rsidRPr="00100C47" w14:paraId="7457404B" w14:textId="77777777" w:rsidTr="00196388">
        <w:tc>
          <w:tcPr>
            <w:tcW w:w="1075" w:type="dxa"/>
          </w:tcPr>
          <w:p w14:paraId="1579BD63" w14:textId="3B5AB0B6" w:rsidR="00C53B0C" w:rsidRPr="00100C47" w:rsidRDefault="00C53B0C" w:rsidP="00196388">
            <w:pPr>
              <w:adjustRightInd w:val="0"/>
              <w:spacing w:line="360" w:lineRule="auto"/>
              <w:jc w:val="center"/>
              <w:rPr>
                <w:rFonts w:ascii="Times New Roman" w:hAnsi="Times New Roman" w:cs="Times New Roman"/>
                <w:b/>
                <w:sz w:val="24"/>
                <w:szCs w:val="24"/>
              </w:rPr>
            </w:pPr>
            <w:r w:rsidRPr="00100C47">
              <w:rPr>
                <w:rFonts w:ascii="Times New Roman" w:hAnsi="Times New Roman" w:cs="Times New Roman"/>
                <w:b/>
                <w:sz w:val="24"/>
                <w:szCs w:val="24"/>
              </w:rPr>
              <w:t>Rhein Conc.</w:t>
            </w:r>
          </w:p>
        </w:tc>
        <w:tc>
          <w:tcPr>
            <w:tcW w:w="4050" w:type="dxa"/>
            <w:gridSpan w:val="3"/>
          </w:tcPr>
          <w:p w14:paraId="6B20A4D3" w14:textId="3EFC4A92" w:rsidR="00C53B0C" w:rsidRPr="00100C47" w:rsidRDefault="00C53B0C" w:rsidP="00196388">
            <w:pPr>
              <w:adjustRightInd w:val="0"/>
              <w:spacing w:line="360" w:lineRule="auto"/>
              <w:jc w:val="center"/>
              <w:rPr>
                <w:rFonts w:ascii="Times New Roman" w:hAnsi="Times New Roman" w:cs="Times New Roman"/>
                <w:b/>
                <w:sz w:val="24"/>
                <w:szCs w:val="24"/>
              </w:rPr>
            </w:pPr>
            <w:r w:rsidRPr="00100C47">
              <w:rPr>
                <w:rFonts w:ascii="Times New Roman" w:hAnsi="Times New Roman" w:cs="Times New Roman"/>
                <w:b/>
                <w:sz w:val="24"/>
                <w:szCs w:val="24"/>
              </w:rPr>
              <w:t>Intra-day (n=3)</w:t>
            </w:r>
          </w:p>
        </w:tc>
        <w:tc>
          <w:tcPr>
            <w:tcW w:w="4225" w:type="dxa"/>
            <w:gridSpan w:val="3"/>
          </w:tcPr>
          <w:p w14:paraId="5386C598" w14:textId="213E3418" w:rsidR="00C53B0C" w:rsidRPr="00100C47" w:rsidRDefault="00C53B0C" w:rsidP="00196388">
            <w:pPr>
              <w:adjustRightInd w:val="0"/>
              <w:spacing w:line="360" w:lineRule="auto"/>
              <w:jc w:val="center"/>
              <w:rPr>
                <w:rFonts w:ascii="Times New Roman" w:hAnsi="Times New Roman" w:cs="Times New Roman"/>
                <w:b/>
                <w:sz w:val="24"/>
                <w:szCs w:val="24"/>
              </w:rPr>
            </w:pPr>
            <w:r w:rsidRPr="00100C47">
              <w:rPr>
                <w:rFonts w:ascii="Times New Roman" w:hAnsi="Times New Roman" w:cs="Times New Roman"/>
                <w:b/>
                <w:sz w:val="24"/>
                <w:szCs w:val="24"/>
              </w:rPr>
              <w:t>Int</w:t>
            </w:r>
            <w:r w:rsidR="00CF4EB0" w:rsidRPr="00100C47">
              <w:rPr>
                <w:rFonts w:ascii="Times New Roman" w:hAnsi="Times New Roman" w:cs="Times New Roman"/>
                <w:b/>
                <w:sz w:val="24"/>
                <w:szCs w:val="24"/>
              </w:rPr>
              <w:t>er</w:t>
            </w:r>
            <w:r w:rsidRPr="00100C47">
              <w:rPr>
                <w:rFonts w:ascii="Times New Roman" w:hAnsi="Times New Roman" w:cs="Times New Roman"/>
                <w:b/>
                <w:sz w:val="24"/>
                <w:szCs w:val="24"/>
              </w:rPr>
              <w:t>-day (n=3)</w:t>
            </w:r>
          </w:p>
        </w:tc>
      </w:tr>
      <w:tr w:rsidR="00196388" w:rsidRPr="00100C47" w14:paraId="78477571" w14:textId="77777777" w:rsidTr="00196388">
        <w:tc>
          <w:tcPr>
            <w:tcW w:w="1075" w:type="dxa"/>
          </w:tcPr>
          <w:p w14:paraId="524A628C" w14:textId="77777777" w:rsidR="00196388" w:rsidRPr="00100C47" w:rsidRDefault="00196388" w:rsidP="00C47118">
            <w:pPr>
              <w:adjustRightInd w:val="0"/>
              <w:spacing w:line="360" w:lineRule="auto"/>
              <w:jc w:val="both"/>
              <w:rPr>
                <w:rFonts w:ascii="Times New Roman" w:hAnsi="Times New Roman" w:cs="Times New Roman"/>
                <w:bCs/>
                <w:sz w:val="24"/>
                <w:szCs w:val="24"/>
              </w:rPr>
            </w:pPr>
          </w:p>
        </w:tc>
        <w:tc>
          <w:tcPr>
            <w:tcW w:w="2790" w:type="dxa"/>
            <w:gridSpan w:val="2"/>
          </w:tcPr>
          <w:p w14:paraId="23FD746C" w14:textId="3882D763" w:rsidR="00196388" w:rsidRPr="00100C47" w:rsidRDefault="00196388" w:rsidP="00196388">
            <w:pPr>
              <w:adjustRightInd w:val="0"/>
              <w:spacing w:line="360" w:lineRule="auto"/>
              <w:jc w:val="center"/>
              <w:rPr>
                <w:rFonts w:ascii="Times New Roman" w:hAnsi="Times New Roman" w:cs="Times New Roman"/>
                <w:b/>
                <w:sz w:val="24"/>
                <w:szCs w:val="24"/>
              </w:rPr>
            </w:pPr>
            <w:r w:rsidRPr="00100C47">
              <w:rPr>
                <w:rFonts w:ascii="Times New Roman" w:hAnsi="Times New Roman" w:cs="Times New Roman"/>
                <w:b/>
                <w:sz w:val="24"/>
                <w:szCs w:val="24"/>
              </w:rPr>
              <w:t>Precision</w:t>
            </w:r>
          </w:p>
        </w:tc>
        <w:tc>
          <w:tcPr>
            <w:tcW w:w="1260" w:type="dxa"/>
          </w:tcPr>
          <w:p w14:paraId="4D680E0D" w14:textId="5290E64D" w:rsidR="00196388" w:rsidRPr="00100C47" w:rsidRDefault="0019638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Accuracy</w:t>
            </w:r>
          </w:p>
        </w:tc>
        <w:tc>
          <w:tcPr>
            <w:tcW w:w="2903" w:type="dxa"/>
            <w:gridSpan w:val="2"/>
          </w:tcPr>
          <w:p w14:paraId="3034B90F" w14:textId="4F77EBFE" w:rsidR="00196388" w:rsidRPr="00100C47" w:rsidRDefault="00196388" w:rsidP="00196388">
            <w:pPr>
              <w:adjustRightInd w:val="0"/>
              <w:spacing w:line="360" w:lineRule="auto"/>
              <w:jc w:val="center"/>
              <w:rPr>
                <w:rFonts w:ascii="Times New Roman" w:hAnsi="Times New Roman" w:cs="Times New Roman"/>
                <w:b/>
                <w:sz w:val="24"/>
                <w:szCs w:val="24"/>
              </w:rPr>
            </w:pPr>
            <w:r w:rsidRPr="00100C47">
              <w:rPr>
                <w:rFonts w:ascii="Times New Roman" w:hAnsi="Times New Roman" w:cs="Times New Roman"/>
                <w:b/>
                <w:sz w:val="24"/>
                <w:szCs w:val="24"/>
              </w:rPr>
              <w:t>Precision</w:t>
            </w:r>
          </w:p>
        </w:tc>
        <w:tc>
          <w:tcPr>
            <w:tcW w:w="1322" w:type="dxa"/>
          </w:tcPr>
          <w:p w14:paraId="71AC4106" w14:textId="0CDC8D2B" w:rsidR="00196388" w:rsidRPr="00100C47" w:rsidRDefault="0019638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Accuracy</w:t>
            </w:r>
          </w:p>
        </w:tc>
      </w:tr>
      <w:tr w:rsidR="00C47118" w:rsidRPr="00100C47" w14:paraId="0AE2DBF2" w14:textId="77777777" w:rsidTr="00196388">
        <w:tc>
          <w:tcPr>
            <w:tcW w:w="1075" w:type="dxa"/>
          </w:tcPr>
          <w:p w14:paraId="68717067" w14:textId="77777777" w:rsidR="00C47118" w:rsidRPr="00100C47" w:rsidRDefault="00C47118" w:rsidP="00C47118">
            <w:pPr>
              <w:adjustRightInd w:val="0"/>
              <w:spacing w:line="360" w:lineRule="auto"/>
              <w:jc w:val="both"/>
              <w:rPr>
                <w:rFonts w:ascii="Times New Roman" w:hAnsi="Times New Roman" w:cs="Times New Roman"/>
                <w:bCs/>
                <w:sz w:val="24"/>
                <w:szCs w:val="24"/>
              </w:rPr>
            </w:pPr>
          </w:p>
        </w:tc>
        <w:tc>
          <w:tcPr>
            <w:tcW w:w="1715" w:type="dxa"/>
          </w:tcPr>
          <w:p w14:paraId="62F1FF19" w14:textId="5A0BDAE5" w:rsidR="00C47118" w:rsidRPr="00100C47" w:rsidRDefault="00C4711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Mean</w:t>
            </w:r>
          </w:p>
        </w:tc>
        <w:tc>
          <w:tcPr>
            <w:tcW w:w="1075" w:type="dxa"/>
          </w:tcPr>
          <w:p w14:paraId="78D4608F" w14:textId="1792AB35" w:rsidR="00C47118" w:rsidRPr="00100C47" w:rsidRDefault="00C4711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%CV</w:t>
            </w:r>
          </w:p>
        </w:tc>
        <w:tc>
          <w:tcPr>
            <w:tcW w:w="1260" w:type="dxa"/>
          </w:tcPr>
          <w:p w14:paraId="06893F2B" w14:textId="70BEC23A" w:rsidR="00C47118" w:rsidRPr="00100C47" w:rsidRDefault="00C4711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w:t>
            </w:r>
          </w:p>
        </w:tc>
        <w:tc>
          <w:tcPr>
            <w:tcW w:w="1606" w:type="dxa"/>
          </w:tcPr>
          <w:p w14:paraId="5A4919C7" w14:textId="0420539C" w:rsidR="00C47118" w:rsidRPr="00100C47" w:rsidRDefault="00C4711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Mean</w:t>
            </w:r>
          </w:p>
        </w:tc>
        <w:tc>
          <w:tcPr>
            <w:tcW w:w="1297" w:type="dxa"/>
          </w:tcPr>
          <w:p w14:paraId="416EDA3C" w14:textId="673448DC" w:rsidR="00C47118" w:rsidRPr="00100C47" w:rsidRDefault="00C4711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%CV</w:t>
            </w:r>
          </w:p>
        </w:tc>
        <w:tc>
          <w:tcPr>
            <w:tcW w:w="1322" w:type="dxa"/>
          </w:tcPr>
          <w:p w14:paraId="54B6FBB3" w14:textId="5BDBFACF" w:rsidR="00C47118" w:rsidRPr="00100C47" w:rsidRDefault="00C47118" w:rsidP="00C47118">
            <w:pPr>
              <w:adjustRightInd w:val="0"/>
              <w:spacing w:line="360" w:lineRule="auto"/>
              <w:jc w:val="both"/>
              <w:rPr>
                <w:rFonts w:ascii="Times New Roman" w:hAnsi="Times New Roman" w:cs="Times New Roman"/>
                <w:b/>
                <w:sz w:val="24"/>
                <w:szCs w:val="24"/>
              </w:rPr>
            </w:pPr>
            <w:r w:rsidRPr="00100C47">
              <w:rPr>
                <w:rFonts w:ascii="Times New Roman" w:hAnsi="Times New Roman" w:cs="Times New Roman"/>
                <w:b/>
                <w:sz w:val="24"/>
                <w:szCs w:val="24"/>
              </w:rPr>
              <w:t>%</w:t>
            </w:r>
          </w:p>
        </w:tc>
      </w:tr>
      <w:tr w:rsidR="00174E96" w:rsidRPr="00100C47" w14:paraId="218A2DF2" w14:textId="77777777" w:rsidTr="00196388">
        <w:tc>
          <w:tcPr>
            <w:tcW w:w="1075" w:type="dxa"/>
          </w:tcPr>
          <w:p w14:paraId="1C554C8D" w14:textId="38EB449F"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 xml:space="preserve">0.05 </w:t>
            </w:r>
            <w:r w:rsidRPr="00100C47">
              <w:rPr>
                <w:rFonts w:ascii="Times New Roman" w:hAnsi="Times New Roman" w:cs="Times New Roman"/>
                <w:sz w:val="24"/>
                <w:szCs w:val="24"/>
              </w:rPr>
              <w:t>µg</w:t>
            </w:r>
          </w:p>
        </w:tc>
        <w:tc>
          <w:tcPr>
            <w:tcW w:w="1715" w:type="dxa"/>
          </w:tcPr>
          <w:p w14:paraId="0F668BE7" w14:textId="7BD939C0"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51.01±0.34</w:t>
            </w:r>
          </w:p>
        </w:tc>
        <w:tc>
          <w:tcPr>
            <w:tcW w:w="1075" w:type="dxa"/>
          </w:tcPr>
          <w:p w14:paraId="6C11C5C0" w14:textId="5B0BA93E"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1.21</w:t>
            </w:r>
          </w:p>
        </w:tc>
        <w:tc>
          <w:tcPr>
            <w:tcW w:w="1260" w:type="dxa"/>
          </w:tcPr>
          <w:p w14:paraId="00DC56BB" w14:textId="2A6808DE"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98.39</w:t>
            </w:r>
          </w:p>
        </w:tc>
        <w:tc>
          <w:tcPr>
            <w:tcW w:w="1606" w:type="dxa"/>
          </w:tcPr>
          <w:p w14:paraId="1FF800B4" w14:textId="29474C8E" w:rsidR="00174E96" w:rsidRPr="00100C47" w:rsidRDefault="009E46CF"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62</w:t>
            </w:r>
            <w:r w:rsidR="00174E96" w:rsidRPr="00100C47">
              <w:rPr>
                <w:rFonts w:ascii="Times New Roman" w:hAnsi="Times New Roman" w:cs="Times New Roman"/>
                <w:bCs/>
                <w:sz w:val="24"/>
                <w:szCs w:val="24"/>
              </w:rPr>
              <w:t>.01±0.</w:t>
            </w:r>
            <w:r w:rsidRPr="00100C47">
              <w:rPr>
                <w:rFonts w:ascii="Times New Roman" w:hAnsi="Times New Roman" w:cs="Times New Roman"/>
                <w:bCs/>
                <w:sz w:val="24"/>
                <w:szCs w:val="24"/>
              </w:rPr>
              <w:t>42</w:t>
            </w:r>
          </w:p>
        </w:tc>
        <w:tc>
          <w:tcPr>
            <w:tcW w:w="1297" w:type="dxa"/>
          </w:tcPr>
          <w:p w14:paraId="083FB8C9" w14:textId="4CF66929" w:rsidR="00174E96" w:rsidRPr="00100C47" w:rsidRDefault="00F41A58"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1.57</w:t>
            </w:r>
          </w:p>
        </w:tc>
        <w:tc>
          <w:tcPr>
            <w:tcW w:w="1322" w:type="dxa"/>
          </w:tcPr>
          <w:p w14:paraId="0FA0A943" w14:textId="34387C86" w:rsidR="00174E96" w:rsidRPr="00100C47" w:rsidRDefault="00196388"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102.04%</w:t>
            </w:r>
          </w:p>
        </w:tc>
      </w:tr>
      <w:tr w:rsidR="00174E96" w:rsidRPr="00100C47" w14:paraId="7AA42D89" w14:textId="77777777" w:rsidTr="00196388">
        <w:tc>
          <w:tcPr>
            <w:tcW w:w="1075" w:type="dxa"/>
          </w:tcPr>
          <w:p w14:paraId="4D115A64" w14:textId="03652CE9"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 xml:space="preserve">0.5 </w:t>
            </w:r>
            <w:r w:rsidRPr="00100C47">
              <w:rPr>
                <w:rFonts w:ascii="Times New Roman" w:hAnsi="Times New Roman" w:cs="Times New Roman"/>
                <w:sz w:val="24"/>
                <w:szCs w:val="24"/>
              </w:rPr>
              <w:t>µg</w:t>
            </w:r>
          </w:p>
        </w:tc>
        <w:tc>
          <w:tcPr>
            <w:tcW w:w="1715" w:type="dxa"/>
          </w:tcPr>
          <w:p w14:paraId="2DC59CBD" w14:textId="411CBC34"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521.62 ±0.24</w:t>
            </w:r>
          </w:p>
        </w:tc>
        <w:tc>
          <w:tcPr>
            <w:tcW w:w="1075" w:type="dxa"/>
          </w:tcPr>
          <w:p w14:paraId="111AB7C2" w14:textId="183EC180"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2.36</w:t>
            </w:r>
          </w:p>
        </w:tc>
        <w:tc>
          <w:tcPr>
            <w:tcW w:w="1260" w:type="dxa"/>
          </w:tcPr>
          <w:p w14:paraId="490850B0" w14:textId="5878059D"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99.87</w:t>
            </w:r>
          </w:p>
        </w:tc>
        <w:tc>
          <w:tcPr>
            <w:tcW w:w="1606" w:type="dxa"/>
          </w:tcPr>
          <w:p w14:paraId="5F0C4727" w14:textId="6E63A602" w:rsidR="00174E96" w:rsidRPr="00100C47" w:rsidRDefault="009E46CF"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619</w:t>
            </w:r>
            <w:r w:rsidR="00174E96" w:rsidRPr="00100C47">
              <w:rPr>
                <w:rFonts w:ascii="Times New Roman" w:hAnsi="Times New Roman" w:cs="Times New Roman"/>
                <w:bCs/>
                <w:sz w:val="24"/>
                <w:szCs w:val="24"/>
              </w:rPr>
              <w:t>.62 ±0.</w:t>
            </w:r>
            <w:r w:rsidRPr="00100C47">
              <w:rPr>
                <w:rFonts w:ascii="Times New Roman" w:hAnsi="Times New Roman" w:cs="Times New Roman"/>
                <w:bCs/>
                <w:sz w:val="24"/>
                <w:szCs w:val="24"/>
              </w:rPr>
              <w:t>51</w:t>
            </w:r>
          </w:p>
        </w:tc>
        <w:tc>
          <w:tcPr>
            <w:tcW w:w="1297" w:type="dxa"/>
          </w:tcPr>
          <w:p w14:paraId="75128D7D" w14:textId="3F0E50B9" w:rsidR="00174E96" w:rsidRPr="00100C47" w:rsidRDefault="00F41A58"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3.01</w:t>
            </w:r>
          </w:p>
        </w:tc>
        <w:tc>
          <w:tcPr>
            <w:tcW w:w="1322" w:type="dxa"/>
          </w:tcPr>
          <w:p w14:paraId="63CAEAF2" w14:textId="20E0B63A" w:rsidR="00174E96" w:rsidRPr="00100C47" w:rsidRDefault="00196388"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104.12%</w:t>
            </w:r>
          </w:p>
        </w:tc>
      </w:tr>
      <w:tr w:rsidR="00174E96" w:rsidRPr="00100C47" w14:paraId="6C153FE9" w14:textId="77777777" w:rsidTr="00196388">
        <w:tc>
          <w:tcPr>
            <w:tcW w:w="1075" w:type="dxa"/>
          </w:tcPr>
          <w:p w14:paraId="0773E8FE" w14:textId="3D67014E"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 xml:space="preserve">5 </w:t>
            </w:r>
            <w:r w:rsidRPr="00100C47">
              <w:rPr>
                <w:rFonts w:ascii="Times New Roman" w:hAnsi="Times New Roman" w:cs="Times New Roman"/>
                <w:sz w:val="24"/>
                <w:szCs w:val="24"/>
              </w:rPr>
              <w:t>µg</w:t>
            </w:r>
          </w:p>
        </w:tc>
        <w:tc>
          <w:tcPr>
            <w:tcW w:w="1715" w:type="dxa"/>
          </w:tcPr>
          <w:p w14:paraId="04BE1472" w14:textId="73838196"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5027±0.41</w:t>
            </w:r>
          </w:p>
        </w:tc>
        <w:tc>
          <w:tcPr>
            <w:tcW w:w="1075" w:type="dxa"/>
          </w:tcPr>
          <w:p w14:paraId="0B23076C" w14:textId="11DC48EB"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3.78</w:t>
            </w:r>
          </w:p>
        </w:tc>
        <w:tc>
          <w:tcPr>
            <w:tcW w:w="1260" w:type="dxa"/>
          </w:tcPr>
          <w:p w14:paraId="59E081F1" w14:textId="159A0EAA" w:rsidR="00174E96" w:rsidRPr="00100C47" w:rsidRDefault="00174E96"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98.03</w:t>
            </w:r>
          </w:p>
        </w:tc>
        <w:tc>
          <w:tcPr>
            <w:tcW w:w="1606" w:type="dxa"/>
          </w:tcPr>
          <w:p w14:paraId="14E5CDE0" w14:textId="3C86B297" w:rsidR="00174E96" w:rsidRPr="00100C47" w:rsidRDefault="009E46CF"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6023</w:t>
            </w:r>
            <w:r w:rsidR="00174E96" w:rsidRPr="00100C47">
              <w:rPr>
                <w:rFonts w:ascii="Times New Roman" w:hAnsi="Times New Roman" w:cs="Times New Roman"/>
                <w:bCs/>
                <w:sz w:val="24"/>
                <w:szCs w:val="24"/>
              </w:rPr>
              <w:t>±0.</w:t>
            </w:r>
            <w:r w:rsidR="00F41A58" w:rsidRPr="00100C47">
              <w:rPr>
                <w:rFonts w:ascii="Times New Roman" w:hAnsi="Times New Roman" w:cs="Times New Roman"/>
                <w:bCs/>
                <w:sz w:val="24"/>
                <w:szCs w:val="24"/>
              </w:rPr>
              <w:t>73</w:t>
            </w:r>
          </w:p>
        </w:tc>
        <w:tc>
          <w:tcPr>
            <w:tcW w:w="1297" w:type="dxa"/>
          </w:tcPr>
          <w:p w14:paraId="4F17BD40" w14:textId="30A7C09E" w:rsidR="00174E96" w:rsidRPr="00100C47" w:rsidRDefault="00F41A58"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4.7</w:t>
            </w:r>
            <w:r w:rsidR="00196388" w:rsidRPr="00100C47">
              <w:rPr>
                <w:rFonts w:ascii="Times New Roman" w:hAnsi="Times New Roman" w:cs="Times New Roman"/>
                <w:bCs/>
                <w:sz w:val="24"/>
                <w:szCs w:val="24"/>
              </w:rPr>
              <w:t>1</w:t>
            </w:r>
          </w:p>
        </w:tc>
        <w:tc>
          <w:tcPr>
            <w:tcW w:w="1322" w:type="dxa"/>
          </w:tcPr>
          <w:p w14:paraId="5CC426E6" w14:textId="2776E6DD" w:rsidR="00174E96" w:rsidRPr="00100C47" w:rsidRDefault="00196388" w:rsidP="00174E96">
            <w:pPr>
              <w:adjustRightInd w:val="0"/>
              <w:spacing w:line="360" w:lineRule="auto"/>
              <w:jc w:val="both"/>
              <w:rPr>
                <w:rFonts w:ascii="Times New Roman" w:hAnsi="Times New Roman" w:cs="Times New Roman"/>
                <w:bCs/>
                <w:sz w:val="24"/>
                <w:szCs w:val="24"/>
              </w:rPr>
            </w:pPr>
            <w:r w:rsidRPr="00100C47">
              <w:rPr>
                <w:rFonts w:ascii="Times New Roman" w:hAnsi="Times New Roman" w:cs="Times New Roman"/>
                <w:bCs/>
                <w:sz w:val="24"/>
                <w:szCs w:val="24"/>
              </w:rPr>
              <w:t>103.23%</w:t>
            </w:r>
          </w:p>
        </w:tc>
      </w:tr>
    </w:tbl>
    <w:p w14:paraId="6A93ABEE" w14:textId="77777777" w:rsidR="002D6F9F" w:rsidRPr="00100C47" w:rsidRDefault="002D6F9F" w:rsidP="002D6F9F">
      <w:pPr>
        <w:adjustRightInd w:val="0"/>
        <w:spacing w:line="360" w:lineRule="auto"/>
        <w:jc w:val="both"/>
        <w:rPr>
          <w:rFonts w:ascii="Times New Roman" w:hAnsi="Times New Roman" w:cs="Times New Roman"/>
          <w:bCs/>
          <w:sz w:val="24"/>
          <w:szCs w:val="24"/>
        </w:rPr>
      </w:pPr>
    </w:p>
    <w:p w14:paraId="42CB03CA" w14:textId="59C8E720" w:rsidR="002474D9" w:rsidRDefault="002474D9" w:rsidP="002D6F9F">
      <w:pPr>
        <w:adjustRightInd w:val="0"/>
        <w:spacing w:line="360" w:lineRule="auto"/>
        <w:jc w:val="both"/>
        <w:rPr>
          <w:rFonts w:ascii="Times New Roman" w:hAnsi="Times New Roman" w:cs="Times New Roman"/>
          <w:bCs/>
          <w:sz w:val="24"/>
          <w:szCs w:val="24"/>
        </w:rPr>
      </w:pPr>
    </w:p>
    <w:p w14:paraId="1BDE9359" w14:textId="77777777" w:rsidR="009855BE" w:rsidRDefault="009855BE" w:rsidP="002D6F9F">
      <w:pPr>
        <w:adjustRightInd w:val="0"/>
        <w:spacing w:line="360" w:lineRule="auto"/>
        <w:jc w:val="both"/>
        <w:rPr>
          <w:rFonts w:ascii="Times New Roman" w:hAnsi="Times New Roman" w:cs="Times New Roman"/>
          <w:bCs/>
          <w:sz w:val="24"/>
          <w:szCs w:val="24"/>
        </w:rPr>
      </w:pPr>
    </w:p>
    <w:p w14:paraId="2F668A2D" w14:textId="77777777" w:rsidR="00100C47" w:rsidRPr="00100C47" w:rsidRDefault="00100C47" w:rsidP="00426AA7">
      <w:pPr>
        <w:adjustRightInd w:val="0"/>
        <w:spacing w:line="360" w:lineRule="auto"/>
        <w:jc w:val="center"/>
        <w:rPr>
          <w:rFonts w:ascii="Times New Roman" w:hAnsi="Times New Roman" w:cs="Times New Roman"/>
          <w:sz w:val="24"/>
          <w:szCs w:val="24"/>
        </w:rPr>
      </w:pPr>
    </w:p>
    <w:sectPr w:rsidR="00100C47" w:rsidRPr="00100C47">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B8FD7" w14:textId="77777777" w:rsidR="00E00AAF" w:rsidRDefault="00E00AAF" w:rsidP="00C83A28">
      <w:pPr>
        <w:spacing w:after="0" w:line="240" w:lineRule="auto"/>
      </w:pPr>
      <w:r>
        <w:separator/>
      </w:r>
    </w:p>
  </w:endnote>
  <w:endnote w:type="continuationSeparator" w:id="0">
    <w:p w14:paraId="3D268361" w14:textId="77777777" w:rsidR="00E00AAF" w:rsidRDefault="00E00AAF" w:rsidP="00C8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altName w:val="Segoe Print"/>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438B" w14:textId="5A559B4A" w:rsidR="00C83A28" w:rsidRDefault="00C83A28">
    <w:pPr>
      <w:pStyle w:val="Footer"/>
    </w:pPr>
    <w:r>
      <w:rPr>
        <w:noProof/>
      </w:rPr>
      <mc:AlternateContent>
        <mc:Choice Requires="wps">
          <w:drawing>
            <wp:anchor distT="0" distB="0" distL="0" distR="0" simplePos="0" relativeHeight="251659264" behindDoc="0" locked="0" layoutInCell="1" allowOverlap="1" wp14:anchorId="21335EBF" wp14:editId="1A06F943">
              <wp:simplePos x="635" y="635"/>
              <wp:positionH relativeFrom="page">
                <wp:align>left</wp:align>
              </wp:positionH>
              <wp:positionV relativeFrom="page">
                <wp:align>bottom</wp:align>
              </wp:positionV>
              <wp:extent cx="2085975" cy="335280"/>
              <wp:effectExtent l="0" t="0" r="9525" b="0"/>
              <wp:wrapNone/>
              <wp:docPr id="75185480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CDAB62A" w14:textId="3D8B0E7F" w:rsidR="00C83A28" w:rsidRPr="00C83A28" w:rsidRDefault="00C83A28" w:rsidP="00C83A28">
                          <w:pPr>
                            <w:spacing w:after="0"/>
                            <w:rPr>
                              <w:rFonts w:ascii="Rockwell" w:eastAsia="Rockwell" w:hAnsi="Rockwell" w:cs="Rockwell"/>
                              <w:noProof/>
                              <w:color w:val="0078D7"/>
                              <w:sz w:val="18"/>
                              <w:szCs w:val="18"/>
                            </w:rPr>
                          </w:pPr>
                          <w:r w:rsidRPr="00C83A2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335EB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0CDAB62A" w14:textId="3D8B0E7F" w:rsidR="00C83A28" w:rsidRPr="00C83A28" w:rsidRDefault="00C83A28" w:rsidP="00C83A28">
                    <w:pPr>
                      <w:spacing w:after="0"/>
                      <w:rPr>
                        <w:rFonts w:ascii="Rockwell" w:eastAsia="Rockwell" w:hAnsi="Rockwell" w:cs="Rockwell"/>
                        <w:noProof/>
                        <w:color w:val="0078D7"/>
                        <w:sz w:val="18"/>
                        <w:szCs w:val="18"/>
                      </w:rPr>
                    </w:pPr>
                    <w:r w:rsidRPr="00C83A2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DDF7" w14:textId="30E92539" w:rsidR="00C83A28" w:rsidRDefault="00C83A28">
    <w:pPr>
      <w:pStyle w:val="Footer"/>
    </w:pPr>
    <w:r>
      <w:rPr>
        <w:noProof/>
      </w:rPr>
      <mc:AlternateContent>
        <mc:Choice Requires="wps">
          <w:drawing>
            <wp:anchor distT="0" distB="0" distL="0" distR="0" simplePos="0" relativeHeight="251660288" behindDoc="0" locked="0" layoutInCell="1" allowOverlap="1" wp14:anchorId="7B45B85C" wp14:editId="15073211">
              <wp:simplePos x="914400" y="9431079"/>
              <wp:positionH relativeFrom="page">
                <wp:align>left</wp:align>
              </wp:positionH>
              <wp:positionV relativeFrom="page">
                <wp:align>bottom</wp:align>
              </wp:positionV>
              <wp:extent cx="2085975" cy="335280"/>
              <wp:effectExtent l="0" t="0" r="9525" b="0"/>
              <wp:wrapNone/>
              <wp:docPr id="4080784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B2C102A" w14:textId="0474EA9C" w:rsidR="00C83A28" w:rsidRPr="00C83A28" w:rsidRDefault="00C83A28" w:rsidP="00C83A28">
                          <w:pPr>
                            <w:spacing w:after="0"/>
                            <w:rPr>
                              <w:rFonts w:ascii="Rockwell" w:eastAsia="Rockwell" w:hAnsi="Rockwell" w:cs="Rockwell"/>
                              <w:noProof/>
                              <w:color w:val="0078D7"/>
                              <w:sz w:val="18"/>
                              <w:szCs w:val="18"/>
                            </w:rPr>
                          </w:pPr>
                          <w:r w:rsidRPr="00C83A2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5B85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1B2C102A" w14:textId="0474EA9C" w:rsidR="00C83A28" w:rsidRPr="00C83A28" w:rsidRDefault="00C83A28" w:rsidP="00C83A28">
                    <w:pPr>
                      <w:spacing w:after="0"/>
                      <w:rPr>
                        <w:rFonts w:ascii="Rockwell" w:eastAsia="Rockwell" w:hAnsi="Rockwell" w:cs="Rockwell"/>
                        <w:noProof/>
                        <w:color w:val="0078D7"/>
                        <w:sz w:val="18"/>
                        <w:szCs w:val="18"/>
                      </w:rPr>
                    </w:pPr>
                    <w:r w:rsidRPr="00C83A2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1D982" w14:textId="6DDCC946" w:rsidR="00C83A28" w:rsidRDefault="00C83A28">
    <w:pPr>
      <w:pStyle w:val="Footer"/>
    </w:pPr>
    <w:r>
      <w:rPr>
        <w:noProof/>
      </w:rPr>
      <mc:AlternateContent>
        <mc:Choice Requires="wps">
          <w:drawing>
            <wp:anchor distT="0" distB="0" distL="0" distR="0" simplePos="0" relativeHeight="251658240" behindDoc="0" locked="0" layoutInCell="1" allowOverlap="1" wp14:anchorId="4A227106" wp14:editId="2C52F3E7">
              <wp:simplePos x="635" y="635"/>
              <wp:positionH relativeFrom="page">
                <wp:align>left</wp:align>
              </wp:positionH>
              <wp:positionV relativeFrom="page">
                <wp:align>bottom</wp:align>
              </wp:positionV>
              <wp:extent cx="2085975" cy="335280"/>
              <wp:effectExtent l="0" t="0" r="9525" b="0"/>
              <wp:wrapNone/>
              <wp:docPr id="11674164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B60B91C" w14:textId="48AA6F51" w:rsidR="00C83A28" w:rsidRPr="00C83A28" w:rsidRDefault="00C83A28" w:rsidP="00C83A28">
                          <w:pPr>
                            <w:spacing w:after="0"/>
                            <w:rPr>
                              <w:rFonts w:ascii="Rockwell" w:eastAsia="Rockwell" w:hAnsi="Rockwell" w:cs="Rockwell"/>
                              <w:noProof/>
                              <w:color w:val="0078D7"/>
                              <w:sz w:val="18"/>
                              <w:szCs w:val="18"/>
                            </w:rPr>
                          </w:pPr>
                          <w:r w:rsidRPr="00C83A2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22710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B60B91C" w14:textId="48AA6F51" w:rsidR="00C83A28" w:rsidRPr="00C83A28" w:rsidRDefault="00C83A28" w:rsidP="00C83A28">
                    <w:pPr>
                      <w:spacing w:after="0"/>
                      <w:rPr>
                        <w:rFonts w:ascii="Rockwell" w:eastAsia="Rockwell" w:hAnsi="Rockwell" w:cs="Rockwell"/>
                        <w:noProof/>
                        <w:color w:val="0078D7"/>
                        <w:sz w:val="18"/>
                        <w:szCs w:val="18"/>
                      </w:rPr>
                    </w:pPr>
                    <w:r w:rsidRPr="00C83A2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1DE57" w14:textId="77777777" w:rsidR="00E00AAF" w:rsidRDefault="00E00AAF" w:rsidP="00C83A28">
      <w:pPr>
        <w:spacing w:after="0" w:line="240" w:lineRule="auto"/>
      </w:pPr>
      <w:r>
        <w:separator/>
      </w:r>
    </w:p>
  </w:footnote>
  <w:footnote w:type="continuationSeparator" w:id="0">
    <w:p w14:paraId="48A34781" w14:textId="77777777" w:rsidR="00E00AAF" w:rsidRDefault="00E00AAF" w:rsidP="00C83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4FE"/>
    <w:multiLevelType w:val="multilevel"/>
    <w:tmpl w:val="82BE3B56"/>
    <w:lvl w:ilvl="0">
      <w:start w:val="3"/>
      <w:numFmt w:val="decimal"/>
      <w:lvlText w:val="%1."/>
      <w:lvlJc w:val="left"/>
      <w:pPr>
        <w:ind w:left="480" w:hanging="480"/>
      </w:pPr>
      <w:rPr>
        <w:rFonts w:hint="default"/>
        <w:b/>
        <w:i w:val="0"/>
      </w:rPr>
    </w:lvl>
    <w:lvl w:ilvl="1">
      <w:start w:val="10"/>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 w15:restartNumberingAfterBreak="0">
    <w:nsid w:val="0B697EF7"/>
    <w:multiLevelType w:val="hybridMultilevel"/>
    <w:tmpl w:val="228A79C0"/>
    <w:lvl w:ilvl="0" w:tplc="3666636C">
      <w:start w:val="1"/>
      <w:numFmt w:val="lowerLetter"/>
      <w:lvlText w:val="%1."/>
      <w:lvlJc w:val="left"/>
      <w:pPr>
        <w:ind w:left="720" w:hanging="360"/>
      </w:pPr>
      <w:rPr>
        <w:rFonts w:eastAsiaTheme="majorEastAsia" w:hint="default"/>
        <w:b/>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627C"/>
    <w:multiLevelType w:val="hybridMultilevel"/>
    <w:tmpl w:val="FF7A7C5E"/>
    <w:lvl w:ilvl="0" w:tplc="FFFFFFFF">
      <w:start w:val="1"/>
      <w:numFmt w:val="lowerLetter"/>
      <w:lvlText w:val="%1)"/>
      <w:lvlJc w:val="left"/>
      <w:pPr>
        <w:ind w:left="6120" w:hanging="360"/>
      </w:pPr>
      <w:rPr>
        <w:rFonts w:asciiTheme="minorHAnsi" w:hAnsiTheme="minorHAnsi" w:cstheme="minorBidi" w:hint="default"/>
      </w:rPr>
    </w:lvl>
    <w:lvl w:ilvl="1" w:tplc="FFFFFFFF" w:tentative="1">
      <w:start w:val="1"/>
      <w:numFmt w:val="lowerLetter"/>
      <w:lvlText w:val="%2."/>
      <w:lvlJc w:val="left"/>
      <w:pPr>
        <w:ind w:left="6840" w:hanging="360"/>
      </w:pPr>
    </w:lvl>
    <w:lvl w:ilvl="2" w:tplc="FFFFFFFF" w:tentative="1">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14DF5F2F"/>
    <w:multiLevelType w:val="hybridMultilevel"/>
    <w:tmpl w:val="C71C2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06F0E"/>
    <w:multiLevelType w:val="multilevel"/>
    <w:tmpl w:val="90BAD0C2"/>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B944FD8"/>
    <w:multiLevelType w:val="multilevel"/>
    <w:tmpl w:val="7B84FCE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D0C3FD9"/>
    <w:multiLevelType w:val="multilevel"/>
    <w:tmpl w:val="7B84FCE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40AA0976"/>
    <w:multiLevelType w:val="multilevel"/>
    <w:tmpl w:val="21C4C162"/>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6254390"/>
    <w:multiLevelType w:val="hybridMultilevel"/>
    <w:tmpl w:val="6D582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9240BF"/>
    <w:multiLevelType w:val="hybridMultilevel"/>
    <w:tmpl w:val="84C4BF86"/>
    <w:lvl w:ilvl="0" w:tplc="5426AB34">
      <w:start w:val="1"/>
      <w:numFmt w:val="lowerLetter"/>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0" w15:restartNumberingAfterBreak="0">
    <w:nsid w:val="5F6A36A1"/>
    <w:multiLevelType w:val="multilevel"/>
    <w:tmpl w:val="07E2EA3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B5827"/>
    <w:multiLevelType w:val="hybridMultilevel"/>
    <w:tmpl w:val="3496EE5A"/>
    <w:lvl w:ilvl="0" w:tplc="7AF2002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7610D"/>
    <w:multiLevelType w:val="hybridMultilevel"/>
    <w:tmpl w:val="0930EA16"/>
    <w:lvl w:ilvl="0" w:tplc="303E06D2">
      <w:start w:val="1"/>
      <w:numFmt w:val="lowerLetter"/>
      <w:lvlText w:val="%1)"/>
      <w:lvlJc w:val="left"/>
      <w:pPr>
        <w:ind w:left="6120" w:hanging="360"/>
      </w:pPr>
      <w:rPr>
        <w:rFonts w:asciiTheme="minorHAnsi" w:hAnsiTheme="minorHAnsi" w:cstheme="minorBidi"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6C11189C"/>
    <w:multiLevelType w:val="hybridMultilevel"/>
    <w:tmpl w:val="7A58DE3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B3BE0"/>
    <w:multiLevelType w:val="hybridMultilevel"/>
    <w:tmpl w:val="FF7A7C5E"/>
    <w:lvl w:ilvl="0" w:tplc="81143A9C">
      <w:start w:val="1"/>
      <w:numFmt w:val="lowerLetter"/>
      <w:lvlText w:val="%1)"/>
      <w:lvlJc w:val="left"/>
      <w:pPr>
        <w:ind w:left="6120" w:hanging="360"/>
      </w:pPr>
      <w:rPr>
        <w:rFonts w:asciiTheme="minorHAnsi" w:hAnsiTheme="minorHAnsi" w:cstheme="minorBidi"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15:restartNumberingAfterBreak="0">
    <w:nsid w:val="7D3F33E9"/>
    <w:multiLevelType w:val="hybridMultilevel"/>
    <w:tmpl w:val="D6285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D31F4"/>
    <w:multiLevelType w:val="hybridMultilevel"/>
    <w:tmpl w:val="145A2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5697215">
    <w:abstractNumId w:val="5"/>
  </w:num>
  <w:num w:numId="2" w16cid:durableId="584653069">
    <w:abstractNumId w:val="6"/>
  </w:num>
  <w:num w:numId="3" w16cid:durableId="199167371">
    <w:abstractNumId w:val="7"/>
  </w:num>
  <w:num w:numId="4" w16cid:durableId="1890916510">
    <w:abstractNumId w:val="0"/>
  </w:num>
  <w:num w:numId="5" w16cid:durableId="1117405783">
    <w:abstractNumId w:val="4"/>
  </w:num>
  <w:num w:numId="6" w16cid:durableId="47266241">
    <w:abstractNumId w:val="10"/>
  </w:num>
  <w:num w:numId="7" w16cid:durableId="1525631260">
    <w:abstractNumId w:val="11"/>
  </w:num>
  <w:num w:numId="8" w16cid:durableId="1252084892">
    <w:abstractNumId w:val="3"/>
  </w:num>
  <w:num w:numId="9" w16cid:durableId="799615256">
    <w:abstractNumId w:val="13"/>
  </w:num>
  <w:num w:numId="10" w16cid:durableId="128938496">
    <w:abstractNumId w:val="8"/>
  </w:num>
  <w:num w:numId="11" w16cid:durableId="655649024">
    <w:abstractNumId w:val="16"/>
  </w:num>
  <w:num w:numId="12" w16cid:durableId="214700545">
    <w:abstractNumId w:val="1"/>
  </w:num>
  <w:num w:numId="13" w16cid:durableId="2021739055">
    <w:abstractNumId w:val="9"/>
  </w:num>
  <w:num w:numId="14" w16cid:durableId="39256162">
    <w:abstractNumId w:val="15"/>
  </w:num>
  <w:num w:numId="15" w16cid:durableId="934439833">
    <w:abstractNumId w:val="12"/>
  </w:num>
  <w:num w:numId="16" w16cid:durableId="1053432995">
    <w:abstractNumId w:val="14"/>
  </w:num>
  <w:num w:numId="17" w16cid:durableId="138347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MDUwNrKwMARiEyUdpeDU4uLM/DyQAkPDWgCOIQVqLQAAAA=="/>
  </w:docVars>
  <w:rsids>
    <w:rsidRoot w:val="004E294D"/>
    <w:rsid w:val="00003712"/>
    <w:rsid w:val="00011D22"/>
    <w:rsid w:val="00032F9E"/>
    <w:rsid w:val="00042A33"/>
    <w:rsid w:val="000443B1"/>
    <w:rsid w:val="000502EA"/>
    <w:rsid w:val="00066017"/>
    <w:rsid w:val="0007186C"/>
    <w:rsid w:val="00074328"/>
    <w:rsid w:val="000A0DB9"/>
    <w:rsid w:val="000B5BA5"/>
    <w:rsid w:val="000E0B58"/>
    <w:rsid w:val="000E6478"/>
    <w:rsid w:val="000F1829"/>
    <w:rsid w:val="000F776F"/>
    <w:rsid w:val="00100C47"/>
    <w:rsid w:val="0010617D"/>
    <w:rsid w:val="001063B5"/>
    <w:rsid w:val="0013052E"/>
    <w:rsid w:val="00141441"/>
    <w:rsid w:val="0015275A"/>
    <w:rsid w:val="001559C8"/>
    <w:rsid w:val="00162005"/>
    <w:rsid w:val="00162944"/>
    <w:rsid w:val="001675BD"/>
    <w:rsid w:val="00174E96"/>
    <w:rsid w:val="00180D33"/>
    <w:rsid w:val="001901E7"/>
    <w:rsid w:val="00195F5A"/>
    <w:rsid w:val="00196388"/>
    <w:rsid w:val="001A3376"/>
    <w:rsid w:val="001B0F5A"/>
    <w:rsid w:val="001B26BA"/>
    <w:rsid w:val="001B5E10"/>
    <w:rsid w:val="001B7414"/>
    <w:rsid w:val="001C6CD3"/>
    <w:rsid w:val="001D18E0"/>
    <w:rsid w:val="001D3990"/>
    <w:rsid w:val="001E4D61"/>
    <w:rsid w:val="001E5556"/>
    <w:rsid w:val="001F33A3"/>
    <w:rsid w:val="00210F70"/>
    <w:rsid w:val="00213DB2"/>
    <w:rsid w:val="00217C70"/>
    <w:rsid w:val="00231B70"/>
    <w:rsid w:val="002474D9"/>
    <w:rsid w:val="00255810"/>
    <w:rsid w:val="00257AFB"/>
    <w:rsid w:val="00261A65"/>
    <w:rsid w:val="0026483E"/>
    <w:rsid w:val="00271AB3"/>
    <w:rsid w:val="00290B03"/>
    <w:rsid w:val="0029266B"/>
    <w:rsid w:val="002B38E9"/>
    <w:rsid w:val="002C1049"/>
    <w:rsid w:val="002C2023"/>
    <w:rsid w:val="002D5FB9"/>
    <w:rsid w:val="002D6F9F"/>
    <w:rsid w:val="002D6FD7"/>
    <w:rsid w:val="002E5EA5"/>
    <w:rsid w:val="00305808"/>
    <w:rsid w:val="00317CEC"/>
    <w:rsid w:val="00321EFD"/>
    <w:rsid w:val="00341392"/>
    <w:rsid w:val="003569D0"/>
    <w:rsid w:val="00362C59"/>
    <w:rsid w:val="00365258"/>
    <w:rsid w:val="00382AFC"/>
    <w:rsid w:val="0039112E"/>
    <w:rsid w:val="003A27F2"/>
    <w:rsid w:val="003B5284"/>
    <w:rsid w:val="003B5BBE"/>
    <w:rsid w:val="003C05B6"/>
    <w:rsid w:val="003C0ECF"/>
    <w:rsid w:val="003D5415"/>
    <w:rsid w:val="003F19B8"/>
    <w:rsid w:val="003F29AB"/>
    <w:rsid w:val="004131F4"/>
    <w:rsid w:val="0041609F"/>
    <w:rsid w:val="0042016E"/>
    <w:rsid w:val="004266B5"/>
    <w:rsid w:val="00426AA7"/>
    <w:rsid w:val="00432259"/>
    <w:rsid w:val="00435FB8"/>
    <w:rsid w:val="00440493"/>
    <w:rsid w:val="00442934"/>
    <w:rsid w:val="00444563"/>
    <w:rsid w:val="00466E27"/>
    <w:rsid w:val="00477BC6"/>
    <w:rsid w:val="00481D1D"/>
    <w:rsid w:val="004827C7"/>
    <w:rsid w:val="00482E32"/>
    <w:rsid w:val="0048553D"/>
    <w:rsid w:val="0049380A"/>
    <w:rsid w:val="004976F0"/>
    <w:rsid w:val="004C20F1"/>
    <w:rsid w:val="004C6B4B"/>
    <w:rsid w:val="004D37A4"/>
    <w:rsid w:val="004D7C99"/>
    <w:rsid w:val="004E294D"/>
    <w:rsid w:val="004F7E55"/>
    <w:rsid w:val="00502127"/>
    <w:rsid w:val="00514588"/>
    <w:rsid w:val="00526499"/>
    <w:rsid w:val="00541E9D"/>
    <w:rsid w:val="00542EE4"/>
    <w:rsid w:val="00544E6D"/>
    <w:rsid w:val="00565EAF"/>
    <w:rsid w:val="0058179B"/>
    <w:rsid w:val="00581862"/>
    <w:rsid w:val="00584F52"/>
    <w:rsid w:val="00586904"/>
    <w:rsid w:val="00590301"/>
    <w:rsid w:val="005950C7"/>
    <w:rsid w:val="005A3BAF"/>
    <w:rsid w:val="005B18E8"/>
    <w:rsid w:val="005C14D5"/>
    <w:rsid w:val="005C2172"/>
    <w:rsid w:val="005C3768"/>
    <w:rsid w:val="005D115F"/>
    <w:rsid w:val="005E06CD"/>
    <w:rsid w:val="00601291"/>
    <w:rsid w:val="006116B9"/>
    <w:rsid w:val="00620A03"/>
    <w:rsid w:val="00620D90"/>
    <w:rsid w:val="0062657B"/>
    <w:rsid w:val="00650946"/>
    <w:rsid w:val="00657BFC"/>
    <w:rsid w:val="00667E32"/>
    <w:rsid w:val="00675E76"/>
    <w:rsid w:val="00680383"/>
    <w:rsid w:val="006809CC"/>
    <w:rsid w:val="00682AD0"/>
    <w:rsid w:val="006B5CA3"/>
    <w:rsid w:val="006C21FA"/>
    <w:rsid w:val="006C732F"/>
    <w:rsid w:val="006C7C61"/>
    <w:rsid w:val="006F720F"/>
    <w:rsid w:val="007005AE"/>
    <w:rsid w:val="00733516"/>
    <w:rsid w:val="00760034"/>
    <w:rsid w:val="007A231C"/>
    <w:rsid w:val="007B1456"/>
    <w:rsid w:val="007B53D7"/>
    <w:rsid w:val="007C0CA0"/>
    <w:rsid w:val="007D3154"/>
    <w:rsid w:val="007D4EE9"/>
    <w:rsid w:val="007E06EB"/>
    <w:rsid w:val="00806073"/>
    <w:rsid w:val="00814127"/>
    <w:rsid w:val="00832402"/>
    <w:rsid w:val="0084547B"/>
    <w:rsid w:val="00874BDD"/>
    <w:rsid w:val="00885391"/>
    <w:rsid w:val="00893F13"/>
    <w:rsid w:val="00895E5A"/>
    <w:rsid w:val="008967D0"/>
    <w:rsid w:val="008B0721"/>
    <w:rsid w:val="008D2EFC"/>
    <w:rsid w:val="008E088B"/>
    <w:rsid w:val="008E2C1E"/>
    <w:rsid w:val="008F1976"/>
    <w:rsid w:val="008F6886"/>
    <w:rsid w:val="00902FD1"/>
    <w:rsid w:val="00903CA3"/>
    <w:rsid w:val="00924F14"/>
    <w:rsid w:val="00925F22"/>
    <w:rsid w:val="00934C5F"/>
    <w:rsid w:val="0093700A"/>
    <w:rsid w:val="00974D63"/>
    <w:rsid w:val="0097524E"/>
    <w:rsid w:val="009855BE"/>
    <w:rsid w:val="009B0553"/>
    <w:rsid w:val="009C5F43"/>
    <w:rsid w:val="009C6B66"/>
    <w:rsid w:val="009C7452"/>
    <w:rsid w:val="009E46CF"/>
    <w:rsid w:val="009F1768"/>
    <w:rsid w:val="009F78F4"/>
    <w:rsid w:val="00A13840"/>
    <w:rsid w:val="00A165F2"/>
    <w:rsid w:val="00A210F0"/>
    <w:rsid w:val="00A21A4C"/>
    <w:rsid w:val="00A21FC9"/>
    <w:rsid w:val="00A25745"/>
    <w:rsid w:val="00A36F61"/>
    <w:rsid w:val="00A630EE"/>
    <w:rsid w:val="00A63DEC"/>
    <w:rsid w:val="00A70774"/>
    <w:rsid w:val="00A771BB"/>
    <w:rsid w:val="00AB1B36"/>
    <w:rsid w:val="00AC52A9"/>
    <w:rsid w:val="00AC7060"/>
    <w:rsid w:val="00AC7BA2"/>
    <w:rsid w:val="00AD3949"/>
    <w:rsid w:val="00AE1660"/>
    <w:rsid w:val="00AE315C"/>
    <w:rsid w:val="00AE5E35"/>
    <w:rsid w:val="00B0166C"/>
    <w:rsid w:val="00B909D2"/>
    <w:rsid w:val="00BC5629"/>
    <w:rsid w:val="00BE1F42"/>
    <w:rsid w:val="00BE6C32"/>
    <w:rsid w:val="00C01D53"/>
    <w:rsid w:val="00C47118"/>
    <w:rsid w:val="00C53B0C"/>
    <w:rsid w:val="00C656D2"/>
    <w:rsid w:val="00C77F50"/>
    <w:rsid w:val="00C83A28"/>
    <w:rsid w:val="00CB5BDF"/>
    <w:rsid w:val="00CB7992"/>
    <w:rsid w:val="00CC0CD3"/>
    <w:rsid w:val="00CC5DD8"/>
    <w:rsid w:val="00CD005D"/>
    <w:rsid w:val="00CD37DE"/>
    <w:rsid w:val="00CE2EF1"/>
    <w:rsid w:val="00CE45CD"/>
    <w:rsid w:val="00CF037A"/>
    <w:rsid w:val="00CF4EB0"/>
    <w:rsid w:val="00D348C9"/>
    <w:rsid w:val="00D47FCD"/>
    <w:rsid w:val="00D50F35"/>
    <w:rsid w:val="00D55F14"/>
    <w:rsid w:val="00D70F5D"/>
    <w:rsid w:val="00D8044B"/>
    <w:rsid w:val="00D922DD"/>
    <w:rsid w:val="00D93CF2"/>
    <w:rsid w:val="00DA4073"/>
    <w:rsid w:val="00DE0405"/>
    <w:rsid w:val="00DF3764"/>
    <w:rsid w:val="00E00AAF"/>
    <w:rsid w:val="00E13D90"/>
    <w:rsid w:val="00E222E4"/>
    <w:rsid w:val="00E62597"/>
    <w:rsid w:val="00E643F4"/>
    <w:rsid w:val="00E67EB0"/>
    <w:rsid w:val="00E75071"/>
    <w:rsid w:val="00E85D0C"/>
    <w:rsid w:val="00E9356B"/>
    <w:rsid w:val="00EB3542"/>
    <w:rsid w:val="00EB5972"/>
    <w:rsid w:val="00EE3921"/>
    <w:rsid w:val="00EF065A"/>
    <w:rsid w:val="00EF077B"/>
    <w:rsid w:val="00EF3D67"/>
    <w:rsid w:val="00EF5B44"/>
    <w:rsid w:val="00EF743E"/>
    <w:rsid w:val="00F019AF"/>
    <w:rsid w:val="00F1091E"/>
    <w:rsid w:val="00F1154E"/>
    <w:rsid w:val="00F14278"/>
    <w:rsid w:val="00F2569A"/>
    <w:rsid w:val="00F406B4"/>
    <w:rsid w:val="00F414F4"/>
    <w:rsid w:val="00F41A58"/>
    <w:rsid w:val="00F51FD4"/>
    <w:rsid w:val="00F623B9"/>
    <w:rsid w:val="00F66929"/>
    <w:rsid w:val="00F74470"/>
    <w:rsid w:val="00F77ED3"/>
    <w:rsid w:val="00F91057"/>
    <w:rsid w:val="00FC19E4"/>
    <w:rsid w:val="00FD3842"/>
    <w:rsid w:val="00FE02AE"/>
    <w:rsid w:val="00FF2AD4"/>
    <w:rsid w:val="00FF389F"/>
    <w:rsid w:val="00FF5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FAD3C"/>
  <w15:chartTrackingRefBased/>
  <w15:docId w15:val="{79142CB3-6F0C-4FF0-B420-FBA7821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A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042A33"/>
    <w:pPr>
      <w:widowControl w:val="0"/>
      <w:autoSpaceDE w:val="0"/>
      <w:autoSpaceDN w:val="0"/>
      <w:spacing w:after="0" w:line="240" w:lineRule="auto"/>
      <w:ind w:left="480" w:right="116" w:firstLine="360"/>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42A33"/>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623B9"/>
    <w:pPr>
      <w:widowControl w:val="0"/>
      <w:autoSpaceDE w:val="0"/>
      <w:autoSpaceDN w:val="0"/>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DPI31text">
    <w:name w:val="MDPI_3.1_text"/>
    <w:qFormat/>
    <w:rsid w:val="00365258"/>
    <w:pPr>
      <w:adjustRightInd w:val="0"/>
      <w:snapToGrid w:val="0"/>
      <w:spacing w:after="0" w:line="228" w:lineRule="auto"/>
      <w:ind w:left="2608" w:firstLine="425"/>
      <w:jc w:val="both"/>
    </w:pPr>
    <w:rPr>
      <w:rFonts w:ascii="Palatino Linotype" w:eastAsia="Times New Roman" w:hAnsi="Palatino Linotype" w:cs="Times New Roman"/>
      <w:color w:val="000000"/>
      <w:kern w:val="0"/>
      <w:sz w:val="20"/>
      <w:lang w:eastAsia="de-DE" w:bidi="en-US"/>
      <w14:ligatures w14:val="none"/>
    </w:rPr>
  </w:style>
  <w:style w:type="paragraph" w:customStyle="1" w:styleId="Paragraph">
    <w:name w:val="Paragraph"/>
    <w:basedOn w:val="Normal"/>
    <w:next w:val="Normal"/>
    <w:qFormat/>
    <w:rsid w:val="001E5556"/>
    <w:pPr>
      <w:widowControl w:val="0"/>
      <w:spacing w:before="240" w:after="0" w:line="480" w:lineRule="auto"/>
    </w:pPr>
    <w:rPr>
      <w:rFonts w:ascii="Times New Roman" w:eastAsia="Times New Roman" w:hAnsi="Times New Roman" w:cs="Times New Roman"/>
      <w:kern w:val="0"/>
      <w:sz w:val="24"/>
      <w:szCs w:val="24"/>
      <w:lang w:val="en-GB" w:eastAsia="en-GB"/>
      <w14:ligatures w14:val="none"/>
    </w:rPr>
  </w:style>
  <w:style w:type="paragraph" w:customStyle="1" w:styleId="MDPI51figurecaption">
    <w:name w:val="MDPI_5.1_figure_caption"/>
    <w:qFormat/>
    <w:rsid w:val="00481D1D"/>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481D1D"/>
    <w:pPr>
      <w:adjustRightInd w:val="0"/>
      <w:snapToGrid w:val="0"/>
      <w:spacing w:before="240" w:after="120" w:line="240" w:lineRule="auto"/>
      <w:jc w:val="center"/>
    </w:pPr>
    <w:rPr>
      <w:rFonts w:ascii="Palatino Linotype" w:eastAsia="Times New Roman" w:hAnsi="Palatino Linotype" w:cs="Times New Roman"/>
      <w:color w:val="000000"/>
      <w:kern w:val="0"/>
      <w:sz w:val="20"/>
      <w:szCs w:val="20"/>
      <w:lang w:eastAsia="de-DE" w:bidi="en-US"/>
      <w14:ligatures w14:val="none"/>
    </w:rPr>
  </w:style>
  <w:style w:type="paragraph" w:customStyle="1" w:styleId="MDPI22heading2">
    <w:name w:val="MDPI_2.2_heading2"/>
    <w:qFormat/>
    <w:rsid w:val="007D4EE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eastAsia="de-DE" w:bidi="en-US"/>
      <w14:ligatures w14:val="none"/>
    </w:rPr>
  </w:style>
  <w:style w:type="paragraph" w:customStyle="1" w:styleId="MDPI21heading1">
    <w:name w:val="MDPI_2.1_heading1"/>
    <w:qFormat/>
    <w:rsid w:val="001F33A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14:ligatures w14:val="none"/>
    </w:rPr>
  </w:style>
  <w:style w:type="character" w:styleId="CommentReference">
    <w:name w:val="annotation reference"/>
    <w:basedOn w:val="DefaultParagraphFont"/>
    <w:uiPriority w:val="99"/>
    <w:unhideWhenUsed/>
    <w:rsid w:val="003A27F2"/>
    <w:rPr>
      <w:sz w:val="16"/>
      <w:szCs w:val="16"/>
    </w:rPr>
  </w:style>
  <w:style w:type="paragraph" w:styleId="CommentText">
    <w:name w:val="annotation text"/>
    <w:basedOn w:val="Normal"/>
    <w:link w:val="CommentTextChar"/>
    <w:uiPriority w:val="99"/>
    <w:unhideWhenUsed/>
    <w:rsid w:val="003A27F2"/>
    <w:pPr>
      <w:spacing w:line="240" w:lineRule="auto"/>
    </w:pPr>
    <w:rPr>
      <w:sz w:val="20"/>
      <w:szCs w:val="20"/>
    </w:rPr>
  </w:style>
  <w:style w:type="character" w:customStyle="1" w:styleId="CommentTextChar">
    <w:name w:val="Comment Text Char"/>
    <w:basedOn w:val="DefaultParagraphFont"/>
    <w:link w:val="CommentText"/>
    <w:uiPriority w:val="99"/>
    <w:rsid w:val="003A27F2"/>
    <w:rPr>
      <w:sz w:val="20"/>
      <w:szCs w:val="20"/>
    </w:rPr>
  </w:style>
  <w:style w:type="paragraph" w:styleId="CommentSubject">
    <w:name w:val="annotation subject"/>
    <w:basedOn w:val="CommentText"/>
    <w:next w:val="CommentText"/>
    <w:link w:val="CommentSubjectChar"/>
    <w:uiPriority w:val="99"/>
    <w:semiHidden/>
    <w:unhideWhenUsed/>
    <w:rsid w:val="003A27F2"/>
    <w:rPr>
      <w:b/>
      <w:bCs/>
    </w:rPr>
  </w:style>
  <w:style w:type="character" w:customStyle="1" w:styleId="CommentSubjectChar">
    <w:name w:val="Comment Subject Char"/>
    <w:basedOn w:val="CommentTextChar"/>
    <w:link w:val="CommentSubject"/>
    <w:uiPriority w:val="99"/>
    <w:semiHidden/>
    <w:rsid w:val="003A27F2"/>
    <w:rPr>
      <w:b/>
      <w:bCs/>
      <w:sz w:val="20"/>
      <w:szCs w:val="20"/>
    </w:rPr>
  </w:style>
  <w:style w:type="paragraph" w:customStyle="1" w:styleId="Default">
    <w:name w:val="Default"/>
    <w:rsid w:val="00F019A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PlaceholderText">
    <w:name w:val="Placeholder Text"/>
    <w:basedOn w:val="DefaultParagraphFont"/>
    <w:uiPriority w:val="99"/>
    <w:semiHidden/>
    <w:rsid w:val="00A21FC9"/>
    <w:rPr>
      <w:color w:val="666666"/>
    </w:rPr>
  </w:style>
  <w:style w:type="paragraph" w:customStyle="1" w:styleId="MDPI41tablecaption">
    <w:name w:val="MDPI_4.1_table_caption"/>
    <w:qFormat/>
    <w:rsid w:val="005D115F"/>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eastAsia="de-DE" w:bidi="en-US"/>
      <w14:ligatures w14:val="none"/>
    </w:rPr>
  </w:style>
  <w:style w:type="character" w:styleId="Hyperlink">
    <w:name w:val="Hyperlink"/>
    <w:basedOn w:val="DefaultParagraphFont"/>
    <w:uiPriority w:val="99"/>
    <w:unhideWhenUsed/>
    <w:rsid w:val="00650946"/>
    <w:rPr>
      <w:color w:val="0000FF"/>
      <w:u w:val="single"/>
    </w:rPr>
  </w:style>
  <w:style w:type="paragraph" w:customStyle="1" w:styleId="MDPI12title">
    <w:name w:val="MDPI_1.2_title"/>
    <w:next w:val="Normal"/>
    <w:qFormat/>
    <w:rsid w:val="00650946"/>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7abstract">
    <w:name w:val="MDPI_1.7_abstract"/>
    <w:next w:val="Normal"/>
    <w:qFormat/>
    <w:rsid w:val="00650946"/>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eastAsia="de-DE" w:bidi="en-US"/>
      <w14:ligatures w14:val="none"/>
    </w:rPr>
  </w:style>
  <w:style w:type="character" w:customStyle="1" w:styleId="cf01">
    <w:name w:val="cf01"/>
    <w:basedOn w:val="DefaultParagraphFont"/>
    <w:rsid w:val="0097524E"/>
    <w:rPr>
      <w:rFonts w:ascii="Segoe UI" w:hAnsi="Segoe UI" w:cs="Segoe UI" w:hint="default"/>
      <w:sz w:val="18"/>
      <w:szCs w:val="18"/>
    </w:rPr>
  </w:style>
  <w:style w:type="paragraph" w:styleId="Footer">
    <w:name w:val="footer"/>
    <w:basedOn w:val="Normal"/>
    <w:link w:val="FooterChar"/>
    <w:uiPriority w:val="99"/>
    <w:unhideWhenUsed/>
    <w:rsid w:val="00C83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9026">
      <w:bodyDiv w:val="1"/>
      <w:marLeft w:val="0"/>
      <w:marRight w:val="0"/>
      <w:marTop w:val="0"/>
      <w:marBottom w:val="0"/>
      <w:divBdr>
        <w:top w:val="none" w:sz="0" w:space="0" w:color="auto"/>
        <w:left w:val="none" w:sz="0" w:space="0" w:color="auto"/>
        <w:bottom w:val="none" w:sz="0" w:space="0" w:color="auto"/>
        <w:right w:val="none" w:sz="0" w:space="0" w:color="auto"/>
      </w:divBdr>
    </w:div>
    <w:div w:id="227351361">
      <w:bodyDiv w:val="1"/>
      <w:marLeft w:val="0"/>
      <w:marRight w:val="0"/>
      <w:marTop w:val="0"/>
      <w:marBottom w:val="0"/>
      <w:divBdr>
        <w:top w:val="none" w:sz="0" w:space="0" w:color="auto"/>
        <w:left w:val="none" w:sz="0" w:space="0" w:color="auto"/>
        <w:bottom w:val="none" w:sz="0" w:space="0" w:color="auto"/>
        <w:right w:val="none" w:sz="0" w:space="0" w:color="auto"/>
      </w:divBdr>
    </w:div>
    <w:div w:id="261106793">
      <w:bodyDiv w:val="1"/>
      <w:marLeft w:val="0"/>
      <w:marRight w:val="0"/>
      <w:marTop w:val="0"/>
      <w:marBottom w:val="0"/>
      <w:divBdr>
        <w:top w:val="none" w:sz="0" w:space="0" w:color="auto"/>
        <w:left w:val="none" w:sz="0" w:space="0" w:color="auto"/>
        <w:bottom w:val="none" w:sz="0" w:space="0" w:color="auto"/>
        <w:right w:val="none" w:sz="0" w:space="0" w:color="auto"/>
      </w:divBdr>
    </w:div>
    <w:div w:id="262760690">
      <w:bodyDiv w:val="1"/>
      <w:marLeft w:val="0"/>
      <w:marRight w:val="0"/>
      <w:marTop w:val="0"/>
      <w:marBottom w:val="0"/>
      <w:divBdr>
        <w:top w:val="none" w:sz="0" w:space="0" w:color="auto"/>
        <w:left w:val="none" w:sz="0" w:space="0" w:color="auto"/>
        <w:bottom w:val="none" w:sz="0" w:space="0" w:color="auto"/>
        <w:right w:val="none" w:sz="0" w:space="0" w:color="auto"/>
      </w:divBdr>
    </w:div>
    <w:div w:id="333608549">
      <w:bodyDiv w:val="1"/>
      <w:marLeft w:val="0"/>
      <w:marRight w:val="0"/>
      <w:marTop w:val="0"/>
      <w:marBottom w:val="0"/>
      <w:divBdr>
        <w:top w:val="none" w:sz="0" w:space="0" w:color="auto"/>
        <w:left w:val="none" w:sz="0" w:space="0" w:color="auto"/>
        <w:bottom w:val="none" w:sz="0" w:space="0" w:color="auto"/>
        <w:right w:val="none" w:sz="0" w:space="0" w:color="auto"/>
      </w:divBdr>
    </w:div>
    <w:div w:id="381752361">
      <w:bodyDiv w:val="1"/>
      <w:marLeft w:val="0"/>
      <w:marRight w:val="0"/>
      <w:marTop w:val="0"/>
      <w:marBottom w:val="0"/>
      <w:divBdr>
        <w:top w:val="none" w:sz="0" w:space="0" w:color="auto"/>
        <w:left w:val="none" w:sz="0" w:space="0" w:color="auto"/>
        <w:bottom w:val="none" w:sz="0" w:space="0" w:color="auto"/>
        <w:right w:val="none" w:sz="0" w:space="0" w:color="auto"/>
      </w:divBdr>
    </w:div>
    <w:div w:id="429592344">
      <w:bodyDiv w:val="1"/>
      <w:marLeft w:val="0"/>
      <w:marRight w:val="0"/>
      <w:marTop w:val="0"/>
      <w:marBottom w:val="0"/>
      <w:divBdr>
        <w:top w:val="none" w:sz="0" w:space="0" w:color="auto"/>
        <w:left w:val="none" w:sz="0" w:space="0" w:color="auto"/>
        <w:bottom w:val="none" w:sz="0" w:space="0" w:color="auto"/>
        <w:right w:val="none" w:sz="0" w:space="0" w:color="auto"/>
      </w:divBdr>
    </w:div>
    <w:div w:id="438381564">
      <w:bodyDiv w:val="1"/>
      <w:marLeft w:val="0"/>
      <w:marRight w:val="0"/>
      <w:marTop w:val="0"/>
      <w:marBottom w:val="0"/>
      <w:divBdr>
        <w:top w:val="none" w:sz="0" w:space="0" w:color="auto"/>
        <w:left w:val="none" w:sz="0" w:space="0" w:color="auto"/>
        <w:bottom w:val="none" w:sz="0" w:space="0" w:color="auto"/>
        <w:right w:val="none" w:sz="0" w:space="0" w:color="auto"/>
      </w:divBdr>
    </w:div>
    <w:div w:id="733625192">
      <w:bodyDiv w:val="1"/>
      <w:marLeft w:val="0"/>
      <w:marRight w:val="0"/>
      <w:marTop w:val="0"/>
      <w:marBottom w:val="0"/>
      <w:divBdr>
        <w:top w:val="none" w:sz="0" w:space="0" w:color="auto"/>
        <w:left w:val="none" w:sz="0" w:space="0" w:color="auto"/>
        <w:bottom w:val="none" w:sz="0" w:space="0" w:color="auto"/>
        <w:right w:val="none" w:sz="0" w:space="0" w:color="auto"/>
      </w:divBdr>
    </w:div>
    <w:div w:id="752241700">
      <w:bodyDiv w:val="1"/>
      <w:marLeft w:val="0"/>
      <w:marRight w:val="0"/>
      <w:marTop w:val="0"/>
      <w:marBottom w:val="0"/>
      <w:divBdr>
        <w:top w:val="none" w:sz="0" w:space="0" w:color="auto"/>
        <w:left w:val="none" w:sz="0" w:space="0" w:color="auto"/>
        <w:bottom w:val="none" w:sz="0" w:space="0" w:color="auto"/>
        <w:right w:val="none" w:sz="0" w:space="0" w:color="auto"/>
      </w:divBdr>
    </w:div>
    <w:div w:id="791703210">
      <w:bodyDiv w:val="1"/>
      <w:marLeft w:val="0"/>
      <w:marRight w:val="0"/>
      <w:marTop w:val="0"/>
      <w:marBottom w:val="0"/>
      <w:divBdr>
        <w:top w:val="none" w:sz="0" w:space="0" w:color="auto"/>
        <w:left w:val="none" w:sz="0" w:space="0" w:color="auto"/>
        <w:bottom w:val="none" w:sz="0" w:space="0" w:color="auto"/>
        <w:right w:val="none" w:sz="0" w:space="0" w:color="auto"/>
      </w:divBdr>
    </w:div>
    <w:div w:id="1073356257">
      <w:bodyDiv w:val="1"/>
      <w:marLeft w:val="0"/>
      <w:marRight w:val="0"/>
      <w:marTop w:val="0"/>
      <w:marBottom w:val="0"/>
      <w:divBdr>
        <w:top w:val="none" w:sz="0" w:space="0" w:color="auto"/>
        <w:left w:val="none" w:sz="0" w:space="0" w:color="auto"/>
        <w:bottom w:val="none" w:sz="0" w:space="0" w:color="auto"/>
        <w:right w:val="none" w:sz="0" w:space="0" w:color="auto"/>
      </w:divBdr>
    </w:div>
    <w:div w:id="1328440856">
      <w:bodyDiv w:val="1"/>
      <w:marLeft w:val="0"/>
      <w:marRight w:val="0"/>
      <w:marTop w:val="0"/>
      <w:marBottom w:val="0"/>
      <w:divBdr>
        <w:top w:val="none" w:sz="0" w:space="0" w:color="auto"/>
        <w:left w:val="none" w:sz="0" w:space="0" w:color="auto"/>
        <w:bottom w:val="none" w:sz="0" w:space="0" w:color="auto"/>
        <w:right w:val="none" w:sz="0" w:space="0" w:color="auto"/>
      </w:divBdr>
    </w:div>
    <w:div w:id="1339425295">
      <w:bodyDiv w:val="1"/>
      <w:marLeft w:val="0"/>
      <w:marRight w:val="0"/>
      <w:marTop w:val="0"/>
      <w:marBottom w:val="0"/>
      <w:divBdr>
        <w:top w:val="none" w:sz="0" w:space="0" w:color="auto"/>
        <w:left w:val="none" w:sz="0" w:space="0" w:color="auto"/>
        <w:bottom w:val="none" w:sz="0" w:space="0" w:color="auto"/>
        <w:right w:val="none" w:sz="0" w:space="0" w:color="auto"/>
      </w:divBdr>
    </w:div>
    <w:div w:id="1357847195">
      <w:bodyDiv w:val="1"/>
      <w:marLeft w:val="0"/>
      <w:marRight w:val="0"/>
      <w:marTop w:val="0"/>
      <w:marBottom w:val="0"/>
      <w:divBdr>
        <w:top w:val="none" w:sz="0" w:space="0" w:color="auto"/>
        <w:left w:val="none" w:sz="0" w:space="0" w:color="auto"/>
        <w:bottom w:val="none" w:sz="0" w:space="0" w:color="auto"/>
        <w:right w:val="none" w:sz="0" w:space="0" w:color="auto"/>
      </w:divBdr>
    </w:div>
    <w:div w:id="1529373943">
      <w:bodyDiv w:val="1"/>
      <w:marLeft w:val="0"/>
      <w:marRight w:val="0"/>
      <w:marTop w:val="0"/>
      <w:marBottom w:val="0"/>
      <w:divBdr>
        <w:top w:val="none" w:sz="0" w:space="0" w:color="auto"/>
        <w:left w:val="none" w:sz="0" w:space="0" w:color="auto"/>
        <w:bottom w:val="none" w:sz="0" w:space="0" w:color="auto"/>
        <w:right w:val="none" w:sz="0" w:space="0" w:color="auto"/>
      </w:divBdr>
    </w:div>
    <w:div w:id="1605267414">
      <w:bodyDiv w:val="1"/>
      <w:marLeft w:val="0"/>
      <w:marRight w:val="0"/>
      <w:marTop w:val="0"/>
      <w:marBottom w:val="0"/>
      <w:divBdr>
        <w:top w:val="none" w:sz="0" w:space="0" w:color="auto"/>
        <w:left w:val="none" w:sz="0" w:space="0" w:color="auto"/>
        <w:bottom w:val="none" w:sz="0" w:space="0" w:color="auto"/>
        <w:right w:val="none" w:sz="0" w:space="0" w:color="auto"/>
      </w:divBdr>
    </w:div>
    <w:div w:id="1669938498">
      <w:bodyDiv w:val="1"/>
      <w:marLeft w:val="0"/>
      <w:marRight w:val="0"/>
      <w:marTop w:val="0"/>
      <w:marBottom w:val="0"/>
      <w:divBdr>
        <w:top w:val="none" w:sz="0" w:space="0" w:color="auto"/>
        <w:left w:val="none" w:sz="0" w:space="0" w:color="auto"/>
        <w:bottom w:val="none" w:sz="0" w:space="0" w:color="auto"/>
        <w:right w:val="none" w:sz="0" w:space="0" w:color="auto"/>
      </w:divBdr>
    </w:div>
    <w:div w:id="1707369513">
      <w:bodyDiv w:val="1"/>
      <w:marLeft w:val="0"/>
      <w:marRight w:val="0"/>
      <w:marTop w:val="0"/>
      <w:marBottom w:val="0"/>
      <w:divBdr>
        <w:top w:val="none" w:sz="0" w:space="0" w:color="auto"/>
        <w:left w:val="none" w:sz="0" w:space="0" w:color="auto"/>
        <w:bottom w:val="none" w:sz="0" w:space="0" w:color="auto"/>
        <w:right w:val="none" w:sz="0" w:space="0" w:color="auto"/>
      </w:divBdr>
    </w:div>
    <w:div w:id="1892617615">
      <w:bodyDiv w:val="1"/>
      <w:marLeft w:val="0"/>
      <w:marRight w:val="0"/>
      <w:marTop w:val="0"/>
      <w:marBottom w:val="0"/>
      <w:divBdr>
        <w:top w:val="none" w:sz="0" w:space="0" w:color="auto"/>
        <w:left w:val="none" w:sz="0" w:space="0" w:color="auto"/>
        <w:bottom w:val="none" w:sz="0" w:space="0" w:color="auto"/>
        <w:right w:val="none" w:sz="0" w:space="0" w:color="auto"/>
      </w:divBdr>
    </w:div>
    <w:div w:id="1987542779">
      <w:bodyDiv w:val="1"/>
      <w:marLeft w:val="0"/>
      <w:marRight w:val="0"/>
      <w:marTop w:val="0"/>
      <w:marBottom w:val="0"/>
      <w:divBdr>
        <w:top w:val="none" w:sz="0" w:space="0" w:color="auto"/>
        <w:left w:val="none" w:sz="0" w:space="0" w:color="auto"/>
        <w:bottom w:val="none" w:sz="0" w:space="0" w:color="auto"/>
        <w:right w:val="none" w:sz="0" w:space="0" w:color="auto"/>
      </w:divBdr>
    </w:div>
    <w:div w:id="2036423166">
      <w:bodyDiv w:val="1"/>
      <w:marLeft w:val="0"/>
      <w:marRight w:val="0"/>
      <w:marTop w:val="0"/>
      <w:marBottom w:val="0"/>
      <w:divBdr>
        <w:top w:val="none" w:sz="0" w:space="0" w:color="auto"/>
        <w:left w:val="none" w:sz="0" w:space="0" w:color="auto"/>
        <w:bottom w:val="none" w:sz="0" w:space="0" w:color="auto"/>
        <w:right w:val="none" w:sz="0" w:space="0" w:color="auto"/>
      </w:divBdr>
    </w:div>
    <w:div w:id="21344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dirty="0">
                <a:latin typeface="+mn-lt"/>
              </a:rPr>
              <a:t>Linearity</a:t>
            </a:r>
            <a:r>
              <a:rPr lang="en-US" b="1" baseline="0" dirty="0">
                <a:latin typeface="+mn-lt"/>
              </a:rPr>
              <a:t> curve of Rhein</a:t>
            </a:r>
            <a:endParaRPr lang="en-US" b="1" dirty="0">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AUCEFV/AUC DRV</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28280839895013121"/>
                  <c:y val="-7.62776025236593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Sheet1!$A$2:$A$7</c:f>
              <c:numCache>
                <c:formatCode>General</c:formatCode>
                <c:ptCount val="6"/>
                <c:pt idx="0">
                  <c:v>5.0000000000000001E-3</c:v>
                </c:pt>
                <c:pt idx="1">
                  <c:v>0.05</c:v>
                </c:pt>
                <c:pt idx="2">
                  <c:v>0.5</c:v>
                </c:pt>
                <c:pt idx="3">
                  <c:v>1</c:v>
                </c:pt>
                <c:pt idx="4">
                  <c:v>3</c:v>
                </c:pt>
                <c:pt idx="5">
                  <c:v>5</c:v>
                </c:pt>
              </c:numCache>
            </c:numRef>
          </c:xVal>
          <c:yVal>
            <c:numRef>
              <c:f>Sheet1!$B$2:$B$7</c:f>
              <c:numCache>
                <c:formatCode>General</c:formatCode>
                <c:ptCount val="6"/>
                <c:pt idx="0">
                  <c:v>2E-3</c:v>
                </c:pt>
                <c:pt idx="1">
                  <c:v>8.1037600000000001E-2</c:v>
                </c:pt>
                <c:pt idx="2">
                  <c:v>2.1320000000000001</c:v>
                </c:pt>
                <c:pt idx="3">
                  <c:v>3.8740000000000001</c:v>
                </c:pt>
                <c:pt idx="4">
                  <c:v>11.241</c:v>
                </c:pt>
                <c:pt idx="5">
                  <c:v>17.53</c:v>
                </c:pt>
              </c:numCache>
            </c:numRef>
          </c:yVal>
          <c:smooth val="0"/>
          <c:extLst>
            <c:ext xmlns:c16="http://schemas.microsoft.com/office/drawing/2014/chart" uri="{C3380CC4-5D6E-409C-BE32-E72D297353CC}">
              <c16:uniqueId val="{00000001-865F-4AA1-8AC6-46B63C5C4C1D}"/>
            </c:ext>
          </c:extLst>
        </c:ser>
        <c:dLbls>
          <c:showLegendKey val="0"/>
          <c:showVal val="0"/>
          <c:showCatName val="0"/>
          <c:showSerName val="0"/>
          <c:showPercent val="0"/>
          <c:showBubbleSize val="0"/>
        </c:dLbls>
        <c:axId val="1568260016"/>
        <c:axId val="1568258352"/>
      </c:scatterChart>
      <c:valAx>
        <c:axId val="156826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dirty="0">
                    <a:latin typeface="Time new roman"/>
                  </a:rPr>
                  <a:t>Concentration</a:t>
                </a:r>
                <a:r>
                  <a:rPr lang="en-US" baseline="0" dirty="0">
                    <a:latin typeface="Time new roman"/>
                  </a:rPr>
                  <a:t> of Rhein(</a:t>
                </a:r>
                <a:r>
                  <a:rPr lang="en-US" sz="1000" b="0" i="0" u="none" strike="noStrike" baseline="0" dirty="0">
                    <a:effectLst/>
                    <a:latin typeface="Time new roman"/>
                  </a:rPr>
                  <a:t>( µg/mL)</a:t>
                </a:r>
                <a:endParaRPr lang="en-US" dirty="0">
                  <a:latin typeface="Time new roman"/>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58352"/>
        <c:crosses val="autoZero"/>
        <c:crossBetween val="midCat"/>
      </c:valAx>
      <c:valAx>
        <c:axId val="1568258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dirty="0">
                    <a:latin typeface="Time new roman"/>
                  </a:rPr>
                  <a:t>AUC</a:t>
                </a:r>
                <a:r>
                  <a:rPr lang="en-US" baseline="0" dirty="0">
                    <a:latin typeface="Time new roman"/>
                  </a:rPr>
                  <a:t> of Rhein/AUC of </a:t>
                </a:r>
                <a:r>
                  <a:rPr lang="en-US" baseline="0" dirty="0" err="1">
                    <a:latin typeface="Time new roman"/>
                  </a:rPr>
                  <a:t>Diacerin</a:t>
                </a:r>
                <a:endParaRPr lang="en-US" dirty="0">
                  <a:latin typeface="Time new roman"/>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600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0F51-F95C-42C4-8289-C10B0C63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 More</dc:creator>
  <cp:keywords/>
  <dc:description/>
  <cp:lastModifiedBy>Khanapur, Soumya</cp:lastModifiedBy>
  <cp:revision>2</cp:revision>
  <dcterms:created xsi:type="dcterms:W3CDTF">2024-12-16T05:18:00Z</dcterms:created>
  <dcterms:modified xsi:type="dcterms:W3CDTF">2024-12-16T05:18:00Z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http://www.zotero.org/styles/brain-research</vt:lpwstr>
  </property>
  <property fmtid="{D5CDD505-2E9C-101B-9397-08002B2CF9AE}" pid="5" name="Mendeley Recent Style Name 1_1">
    <vt:lpwstr>Brain Research</vt:lpwstr>
  </property>
  <property fmtid="{D5CDD505-2E9C-101B-9397-08002B2CF9AE}" pid="6" name="Mendeley Recent Style Id 2_1">
    <vt:lpwstr>http://www.zotero.org/styles/british-journal-of-cancer</vt:lpwstr>
  </property>
  <property fmtid="{D5CDD505-2E9C-101B-9397-08002B2CF9AE}" pid="7" name="Mendeley Recent Style Name 2_1">
    <vt:lpwstr>British Journal of Cancer</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http://www.zotero.org/styles/international-journal-of-clinical-pharmacy</vt:lpwstr>
  </property>
  <property fmtid="{D5CDD505-2E9C-101B-9397-08002B2CF9AE}" pid="13" name="Mendeley Recent Style Name 5_1">
    <vt:lpwstr>International Journal of Clinical Pharmacy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aa41dd82-5a65-3bcf-bc29-05b3ce30f18b</vt:lpwstr>
  </property>
  <property fmtid="{D5CDD505-2E9C-101B-9397-08002B2CF9AE}" pid="25" name="GrammarlyDocumentId">
    <vt:lpwstr>153f5b3e79458cd92fda31fa259dfe6ff07c7bcdc2c122e3804b0dedece907af</vt:lpwstr>
  </property>
  <property fmtid="{D5CDD505-2E9C-101B-9397-08002B2CF9AE}" pid="26" name="ClassificationContentMarkingFooterShapeIds">
    <vt:lpwstr>6f55611,2cd064d5,1852c87d</vt:lpwstr>
  </property>
  <property fmtid="{D5CDD505-2E9C-101B-9397-08002B2CF9AE}" pid="27" name="ClassificationContentMarkingFooterFontProps">
    <vt:lpwstr>#0078d7,9,Rockwell</vt:lpwstr>
  </property>
  <property fmtid="{D5CDD505-2E9C-101B-9397-08002B2CF9AE}" pid="28" name="ClassificationContentMarkingFooterText">
    <vt:lpwstr>Information Classification: General</vt:lpwstr>
  </property>
  <property fmtid="{D5CDD505-2E9C-101B-9397-08002B2CF9AE}" pid="29" name="MSIP_Label_2bbab825-a111-45e4-86a1-18cee0005896_Enabled">
    <vt:lpwstr>true</vt:lpwstr>
  </property>
  <property fmtid="{D5CDD505-2E9C-101B-9397-08002B2CF9AE}" pid="30" name="MSIP_Label_2bbab825-a111-45e4-86a1-18cee0005896_SetDate">
    <vt:lpwstr>2024-12-14T22:05:48Z</vt:lpwstr>
  </property>
  <property fmtid="{D5CDD505-2E9C-101B-9397-08002B2CF9AE}" pid="31" name="MSIP_Label_2bbab825-a111-45e4-86a1-18cee0005896_Method">
    <vt:lpwstr>Standard</vt:lpwstr>
  </property>
  <property fmtid="{D5CDD505-2E9C-101B-9397-08002B2CF9AE}" pid="32" name="MSIP_Label_2bbab825-a111-45e4-86a1-18cee0005896_Name">
    <vt:lpwstr>2bbab825-a111-45e4-86a1-18cee0005896</vt:lpwstr>
  </property>
  <property fmtid="{D5CDD505-2E9C-101B-9397-08002B2CF9AE}" pid="33" name="MSIP_Label_2bbab825-a111-45e4-86a1-18cee0005896_SiteId">
    <vt:lpwstr>2567d566-604c-408a-8a60-55d0dc9d9d6b</vt:lpwstr>
  </property>
  <property fmtid="{D5CDD505-2E9C-101B-9397-08002B2CF9AE}" pid="34" name="MSIP_Label_2bbab825-a111-45e4-86a1-18cee0005896_ActionId">
    <vt:lpwstr>8b77ea85-dd6f-42bc-8dc2-98befef1acb2</vt:lpwstr>
  </property>
  <property fmtid="{D5CDD505-2E9C-101B-9397-08002B2CF9AE}" pid="35" name="MSIP_Label_2bbab825-a111-45e4-86a1-18cee0005896_ContentBits">
    <vt:lpwstr>2</vt:lpwstr>
  </property>
</Properties>
</file>