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B760" w14:textId="4D5AEC7A" w:rsidR="00475660" w:rsidRDefault="00475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Supplementary materials</w:t>
      </w:r>
    </w:p>
    <w:p w14:paraId="2416217E" w14:textId="654AD267" w:rsidR="006B2B72" w:rsidRPr="008B018A" w:rsidRDefault="00CB6011">
      <w:pPr>
        <w:rPr>
          <w:rFonts w:ascii="Arial" w:hAnsi="Arial" w:cs="Arial"/>
          <w:sz w:val="32"/>
          <w:szCs w:val="32"/>
        </w:rPr>
      </w:pPr>
      <w:r w:rsidRPr="00CB6011">
        <w:rPr>
          <w:rFonts w:ascii="Arial" w:hAnsi="Arial" w:cs="Arial"/>
          <w:sz w:val="32"/>
          <w:szCs w:val="32"/>
        </w:rPr>
        <w:t>Linear assumption tests of two SEMs</w:t>
      </w:r>
    </w:p>
    <w:p w14:paraId="2208E059" w14:textId="12EBA312" w:rsidR="00A3108D" w:rsidRPr="00A3108D" w:rsidRDefault="00895476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3108D">
        <w:rPr>
          <w:rFonts w:ascii="Arial" w:hAnsi="Arial" w:cs="Arial"/>
          <w:sz w:val="20"/>
          <w:szCs w:val="20"/>
        </w:rPr>
        <w:t>To test the linear</w:t>
      </w:r>
      <w:r w:rsidR="007A1744" w:rsidRPr="00A3108D">
        <w:rPr>
          <w:rFonts w:ascii="Arial" w:hAnsi="Arial" w:cs="Arial"/>
          <w:sz w:val="20"/>
          <w:szCs w:val="20"/>
        </w:rPr>
        <w:t xml:space="preserve"> assumptions of the two models in our results</w:t>
      </w:r>
      <w:r w:rsidRPr="00A3108D">
        <w:rPr>
          <w:rFonts w:ascii="Arial" w:hAnsi="Arial" w:cs="Arial"/>
          <w:sz w:val="20"/>
          <w:szCs w:val="20"/>
        </w:rPr>
        <w:t>, two methods</w:t>
      </w:r>
      <w:r w:rsidR="007A1744" w:rsidRPr="00A3108D">
        <w:rPr>
          <w:rFonts w:ascii="Arial" w:hAnsi="Arial" w:cs="Arial"/>
          <w:sz w:val="20"/>
          <w:szCs w:val="20"/>
        </w:rPr>
        <w:t xml:space="preserve"> were employed</w:t>
      </w:r>
      <w:r w:rsidRPr="00A3108D">
        <w:rPr>
          <w:rFonts w:ascii="Arial" w:hAnsi="Arial" w:cs="Arial"/>
          <w:sz w:val="20"/>
          <w:szCs w:val="20"/>
        </w:rPr>
        <w:t xml:space="preserve">. </w:t>
      </w:r>
      <w:r w:rsidR="00CB6011" w:rsidRPr="00A3108D">
        <w:rPr>
          <w:rFonts w:ascii="Arial" w:hAnsi="Arial" w:cs="Arial"/>
          <w:sz w:val="20"/>
          <w:szCs w:val="20"/>
        </w:rPr>
        <w:t>First of all,</w:t>
      </w:r>
      <w:r w:rsidR="00225E83" w:rsidRPr="00A3108D">
        <w:rPr>
          <w:rFonts w:ascii="Arial" w:hAnsi="Arial" w:cs="Arial"/>
          <w:sz w:val="20"/>
          <w:szCs w:val="20"/>
        </w:rPr>
        <w:t xml:space="preserve"> a</w:t>
      </w:r>
      <w:r w:rsidR="00CB6011" w:rsidRPr="00A3108D">
        <w:rPr>
          <w:rFonts w:ascii="Arial" w:hAnsi="Arial" w:cs="Arial"/>
          <w:sz w:val="20"/>
          <w:szCs w:val="20"/>
        </w:rPr>
        <w:t xml:space="preserve"> scatterplot was plotted for each path in the model to visually inspect the linear relationship between variables. </w:t>
      </w:r>
      <w:r w:rsidR="007A1744" w:rsidRPr="00A3108D">
        <w:rPr>
          <w:rFonts w:ascii="Arial" w:hAnsi="Arial" w:cs="Arial"/>
          <w:sz w:val="20"/>
          <w:szCs w:val="20"/>
        </w:rPr>
        <w:t>The blue line</w:t>
      </w:r>
      <w:r w:rsidR="00A3108D" w:rsidRPr="00A3108D">
        <w:rPr>
          <w:rFonts w:ascii="Arial" w:hAnsi="Arial" w:cs="Arial"/>
          <w:sz w:val="20"/>
          <w:szCs w:val="20"/>
        </w:rPr>
        <w:t xml:space="preserve"> in the figure</w:t>
      </w:r>
      <w:r w:rsidR="007A1744" w:rsidRPr="00A3108D">
        <w:rPr>
          <w:rFonts w:ascii="Arial" w:hAnsi="Arial" w:cs="Arial"/>
          <w:sz w:val="20"/>
          <w:szCs w:val="20"/>
        </w:rPr>
        <w:t xml:space="preserve"> is the linear fit line, which is based on ordinary least squares (OLS) regression, represented as Y=β</w:t>
      </w:r>
      <w:r w:rsidR="007A1744" w:rsidRPr="00A3108D">
        <w:rPr>
          <w:rFonts w:ascii="Arial" w:hAnsi="Arial" w:cs="Arial"/>
          <w:sz w:val="20"/>
          <w:szCs w:val="20"/>
          <w:vertAlign w:val="subscript"/>
        </w:rPr>
        <w:t>0</w:t>
      </w:r>
      <w:r w:rsidR="007A1744" w:rsidRPr="00A3108D">
        <w:rPr>
          <w:rFonts w:ascii="Arial" w:hAnsi="Arial" w:cs="Arial"/>
          <w:sz w:val="20"/>
          <w:szCs w:val="20"/>
        </w:rPr>
        <w:t>+β</w:t>
      </w:r>
      <w:r w:rsidR="007A1744" w:rsidRPr="00A3108D">
        <w:rPr>
          <w:rFonts w:ascii="Arial" w:hAnsi="Arial" w:cs="Arial"/>
          <w:sz w:val="20"/>
          <w:szCs w:val="20"/>
          <w:vertAlign w:val="subscript"/>
        </w:rPr>
        <w:t>1</w:t>
      </w:r>
      <w:r w:rsidR="007A1744" w:rsidRPr="00A3108D">
        <w:rPr>
          <w:rFonts w:ascii="Arial" w:hAnsi="Arial" w:cs="Arial"/>
          <w:sz w:val="20"/>
          <w:szCs w:val="20"/>
        </w:rPr>
        <w:t>X (Y = dependent variable, X = independent variable)</w:t>
      </w:r>
      <w:r w:rsidR="002478C4">
        <w:rPr>
          <w:rFonts w:ascii="Arial" w:hAnsi="Arial" w:cs="Arial" w:hint="eastAsia"/>
          <w:sz w:val="20"/>
          <w:szCs w:val="20"/>
        </w:rPr>
        <w:t>.</w:t>
      </w:r>
      <w:r w:rsidR="002478C4" w:rsidRPr="002478C4">
        <w:rPr>
          <w:rFonts w:ascii="Arial" w:hAnsi="Arial" w:cs="Arial"/>
          <w:kern w:val="0"/>
          <w:sz w:val="20"/>
          <w:vertAlign w:val="superscript"/>
        </w:rPr>
        <w:t>1</w:t>
      </w:r>
      <w:r w:rsidR="002478C4">
        <w:rPr>
          <w:rFonts w:ascii="Arial" w:hAnsi="Arial" w:cs="Arial" w:hint="eastAsia"/>
          <w:sz w:val="20"/>
          <w:szCs w:val="20"/>
        </w:rPr>
        <w:t xml:space="preserve"> </w:t>
      </w:r>
      <w:r w:rsidR="00A3108D" w:rsidRPr="00A3108D">
        <w:rPr>
          <w:rFonts w:ascii="Arial" w:hAnsi="Arial" w:cs="Arial"/>
          <w:sz w:val="20"/>
          <w:szCs w:val="20"/>
        </w:rPr>
        <w:t>The red line is</w:t>
      </w:r>
      <w:r w:rsidR="00A3108D" w:rsidRPr="00A3108D">
        <w:rPr>
          <w:rFonts w:ascii="Arial" w:hAnsi="Arial" w:cs="Arial"/>
        </w:rPr>
        <w:t xml:space="preserve"> </w:t>
      </w:r>
      <w:r w:rsidR="00A3108D" w:rsidRPr="00A3108D">
        <w:rPr>
          <w:rFonts w:ascii="Arial" w:hAnsi="Arial" w:cs="Arial"/>
          <w:sz w:val="20"/>
          <w:szCs w:val="20"/>
        </w:rPr>
        <w:t>locally estimated scatterplot smoothing (LOESS) curve, which captures potential nonlinear trends using local polynomial fitting.</w:t>
      </w:r>
      <w:r w:rsidR="00A3108D" w:rsidRPr="00A3108D">
        <w:rPr>
          <w:rFonts w:hint="eastAsia"/>
        </w:rPr>
        <w:t xml:space="preserve"> </w:t>
      </w:r>
      <w:r w:rsidR="00A3108D" w:rsidRPr="00A3108D">
        <w:rPr>
          <w:rFonts w:ascii="Arial" w:hAnsi="Arial" w:cs="Arial" w:hint="eastAsia"/>
          <w:sz w:val="20"/>
          <w:szCs w:val="20"/>
        </w:rPr>
        <w:t>If the red LOESS curve closely aligns with the blue linear fit, the relationship is approximately linear.</w:t>
      </w:r>
      <w:r w:rsidR="00A3108D" w:rsidRPr="00A3108D">
        <w:rPr>
          <w:rFonts w:hint="eastAsia"/>
        </w:rPr>
        <w:t xml:space="preserve"> </w:t>
      </w:r>
      <w:r w:rsidR="00A3108D" w:rsidRPr="00A3108D">
        <w:rPr>
          <w:rFonts w:ascii="Arial" w:hAnsi="Arial" w:cs="Arial"/>
          <w:sz w:val="20"/>
          <w:szCs w:val="20"/>
        </w:rPr>
        <w:t>If the LOESS curve deviates significantly from the linear fit (e.g., U-shaped), the linear assumption may be violated.</w:t>
      </w:r>
      <w:r w:rsidR="00A3108D">
        <w:rPr>
          <w:rFonts w:ascii="Arial" w:hAnsi="Arial" w:cs="Arial" w:hint="eastAsia"/>
          <w:sz w:val="20"/>
          <w:szCs w:val="20"/>
        </w:rPr>
        <w:t xml:space="preserve"> Secondly</w:t>
      </w:r>
      <w:r w:rsidR="00A3108D" w:rsidRPr="00A3108D">
        <w:rPr>
          <w:rFonts w:ascii="Arial" w:hAnsi="Arial" w:cs="Arial"/>
          <w:sz w:val="20"/>
          <w:szCs w:val="20"/>
        </w:rPr>
        <w:t xml:space="preserve">, </w:t>
      </w:r>
      <w:r w:rsidR="00A3108D">
        <w:rPr>
          <w:rFonts w:ascii="Arial" w:hAnsi="Arial" w:cs="Arial" w:hint="eastAsia"/>
          <w:sz w:val="20"/>
          <w:szCs w:val="20"/>
        </w:rPr>
        <w:t>q</w:t>
      </w:r>
      <w:r w:rsidR="00A3108D" w:rsidRPr="00A3108D">
        <w:rPr>
          <w:rFonts w:ascii="Arial" w:hAnsi="Arial" w:cs="Arial" w:hint="eastAsia"/>
          <w:sz w:val="20"/>
          <w:szCs w:val="20"/>
        </w:rPr>
        <w:t xml:space="preserve">uadratic </w:t>
      </w:r>
      <w:r w:rsidR="00A3108D">
        <w:rPr>
          <w:rFonts w:ascii="Arial" w:hAnsi="Arial" w:cs="Arial" w:hint="eastAsia"/>
          <w:sz w:val="20"/>
          <w:szCs w:val="20"/>
        </w:rPr>
        <w:t>t</w:t>
      </w:r>
      <w:r w:rsidR="00A3108D" w:rsidRPr="00A3108D">
        <w:rPr>
          <w:rFonts w:ascii="Arial" w:hAnsi="Arial" w:cs="Arial" w:hint="eastAsia"/>
          <w:sz w:val="20"/>
          <w:szCs w:val="20"/>
        </w:rPr>
        <w:t xml:space="preserve">erm </w:t>
      </w:r>
      <w:r w:rsidR="00A3108D">
        <w:rPr>
          <w:rFonts w:ascii="Arial" w:hAnsi="Arial" w:cs="Arial" w:hint="eastAsia"/>
          <w:sz w:val="20"/>
          <w:szCs w:val="20"/>
        </w:rPr>
        <w:t>r</w:t>
      </w:r>
      <w:r w:rsidR="00A3108D" w:rsidRPr="00A3108D">
        <w:rPr>
          <w:rFonts w:ascii="Arial" w:hAnsi="Arial" w:cs="Arial" w:hint="eastAsia"/>
          <w:sz w:val="20"/>
          <w:szCs w:val="20"/>
        </w:rPr>
        <w:t>egression</w:t>
      </w:r>
      <w:r w:rsidR="00A3108D">
        <w:rPr>
          <w:rFonts w:ascii="Arial" w:hAnsi="Arial" w:cs="Arial" w:hint="eastAsia"/>
          <w:sz w:val="20"/>
          <w:szCs w:val="20"/>
        </w:rPr>
        <w:t xml:space="preserve"> was performed to </w:t>
      </w:r>
      <w:r w:rsidR="00A3108D">
        <w:rPr>
          <w:rFonts w:ascii="Arial" w:hAnsi="Arial" w:cs="Arial"/>
          <w:sz w:val="20"/>
          <w:szCs w:val="20"/>
        </w:rPr>
        <w:t>further</w:t>
      </w:r>
      <w:r w:rsidR="00A3108D">
        <w:rPr>
          <w:rFonts w:ascii="Arial" w:hAnsi="Arial" w:cs="Arial" w:hint="eastAsia"/>
          <w:sz w:val="20"/>
          <w:szCs w:val="20"/>
        </w:rPr>
        <w:t xml:space="preserve"> confirm whether </w:t>
      </w:r>
      <w:r w:rsidR="00A3108D">
        <w:rPr>
          <w:rFonts w:ascii="Arial" w:hAnsi="Arial" w:cs="Arial"/>
          <w:sz w:val="20"/>
          <w:szCs w:val="20"/>
        </w:rPr>
        <w:t>the linear</w:t>
      </w:r>
      <w:r w:rsidR="00A3108D">
        <w:rPr>
          <w:rFonts w:ascii="Arial" w:hAnsi="Arial" w:cs="Arial" w:hint="eastAsia"/>
          <w:sz w:val="20"/>
          <w:szCs w:val="20"/>
        </w:rPr>
        <w:t xml:space="preserve"> relationship is significant statistically</w:t>
      </w:r>
      <w:r w:rsidR="002478C4">
        <w:rPr>
          <w:rFonts w:ascii="Arial" w:hAnsi="Arial" w:cs="Arial" w:hint="eastAsia"/>
          <w:sz w:val="20"/>
          <w:szCs w:val="20"/>
        </w:rPr>
        <w:t>.</w:t>
      </w:r>
      <w:r w:rsidR="002478C4" w:rsidRPr="002478C4">
        <w:rPr>
          <w:rFonts w:ascii="Arial" w:hAnsi="Arial" w:cs="Arial"/>
          <w:kern w:val="0"/>
          <w:sz w:val="20"/>
          <w:vertAlign w:val="superscript"/>
        </w:rPr>
        <w:t>2</w:t>
      </w:r>
      <w:r w:rsidR="00A3108D">
        <w:rPr>
          <w:rFonts w:ascii="Arial" w:hAnsi="Arial" w:cs="Arial" w:hint="eastAsia"/>
          <w:sz w:val="20"/>
          <w:szCs w:val="20"/>
        </w:rPr>
        <w:t xml:space="preserve"> We compare the linear model (</w:t>
      </w:r>
      <w:r w:rsidR="00A3108D" w:rsidRPr="00A3108D">
        <w:rPr>
          <w:rFonts w:ascii="Arial" w:hAnsi="Arial" w:cs="Arial"/>
          <w:sz w:val="20"/>
          <w:szCs w:val="20"/>
        </w:rPr>
        <w:t>Y=β</w:t>
      </w:r>
      <w:r w:rsidR="00A3108D" w:rsidRPr="00A3108D">
        <w:rPr>
          <w:rFonts w:ascii="Arial" w:hAnsi="Arial" w:cs="Arial"/>
          <w:sz w:val="20"/>
          <w:szCs w:val="20"/>
          <w:vertAlign w:val="subscript"/>
        </w:rPr>
        <w:t>0</w:t>
      </w:r>
      <w:r w:rsidR="00A3108D" w:rsidRPr="00A3108D">
        <w:rPr>
          <w:rFonts w:ascii="Arial" w:hAnsi="Arial" w:cs="Arial"/>
          <w:sz w:val="20"/>
          <w:szCs w:val="20"/>
        </w:rPr>
        <w:t>+β</w:t>
      </w:r>
      <w:r w:rsidR="00A3108D" w:rsidRPr="00A3108D">
        <w:rPr>
          <w:rFonts w:ascii="Arial" w:hAnsi="Arial" w:cs="Arial"/>
          <w:sz w:val="20"/>
          <w:szCs w:val="20"/>
          <w:vertAlign w:val="subscript"/>
        </w:rPr>
        <w:t>1</w:t>
      </w:r>
      <w:r w:rsidR="00A3108D" w:rsidRPr="00A3108D">
        <w:rPr>
          <w:rFonts w:ascii="Arial" w:hAnsi="Arial" w:cs="Arial"/>
          <w:sz w:val="20"/>
          <w:szCs w:val="20"/>
        </w:rPr>
        <w:t>X</w:t>
      </w:r>
      <w:r w:rsidR="00A3108D">
        <w:rPr>
          <w:rFonts w:ascii="Arial" w:hAnsi="Arial" w:cs="Arial" w:hint="eastAsia"/>
          <w:sz w:val="20"/>
          <w:szCs w:val="20"/>
        </w:rPr>
        <w:t xml:space="preserve">) with non-linear model </w:t>
      </w:r>
      <w:r w:rsidR="00A3108D" w:rsidRPr="00A3108D">
        <w:rPr>
          <w:rFonts w:ascii="Arial" w:hAnsi="Arial" w:cs="Arial"/>
          <w:sz w:val="20"/>
          <w:szCs w:val="20"/>
        </w:rPr>
        <w:t>(Y=β</w:t>
      </w:r>
      <w:r w:rsidR="00A3108D" w:rsidRPr="00A3108D">
        <w:rPr>
          <w:rFonts w:ascii="Arial" w:hAnsi="Arial" w:cs="Arial"/>
          <w:sz w:val="20"/>
          <w:szCs w:val="20"/>
          <w:vertAlign w:val="subscript"/>
        </w:rPr>
        <w:t>0</w:t>
      </w:r>
      <w:r w:rsidR="00A3108D" w:rsidRPr="00A3108D">
        <w:rPr>
          <w:rFonts w:ascii="Arial" w:hAnsi="Arial" w:cs="Arial"/>
          <w:sz w:val="20"/>
          <w:szCs w:val="20"/>
        </w:rPr>
        <w:t>+β</w:t>
      </w:r>
      <w:r w:rsidR="00A3108D" w:rsidRPr="00A3108D">
        <w:rPr>
          <w:rFonts w:ascii="Arial" w:hAnsi="Arial" w:cs="Arial"/>
          <w:sz w:val="20"/>
          <w:szCs w:val="20"/>
          <w:vertAlign w:val="subscript"/>
        </w:rPr>
        <w:t>1</w:t>
      </w:r>
      <w:r w:rsidR="00A3108D" w:rsidRPr="00A3108D">
        <w:rPr>
          <w:rFonts w:ascii="Arial" w:hAnsi="Arial" w:cs="Arial"/>
          <w:sz w:val="20"/>
          <w:szCs w:val="20"/>
        </w:rPr>
        <w:t>X+β</w:t>
      </w:r>
      <w:r w:rsidR="00A3108D" w:rsidRPr="00A3108D">
        <w:rPr>
          <w:rFonts w:ascii="Arial" w:hAnsi="Arial" w:cs="Arial"/>
          <w:sz w:val="20"/>
          <w:szCs w:val="20"/>
          <w:vertAlign w:val="subscript"/>
        </w:rPr>
        <w:t>2</w:t>
      </w:r>
      <w:r w:rsidR="00A3108D" w:rsidRPr="00A3108D">
        <w:rPr>
          <w:rFonts w:ascii="Arial" w:hAnsi="Arial" w:cs="Arial"/>
          <w:sz w:val="20"/>
          <w:szCs w:val="20"/>
        </w:rPr>
        <w:t>X</w:t>
      </w:r>
      <w:r w:rsidR="00A3108D" w:rsidRPr="00A3108D">
        <w:rPr>
          <w:rFonts w:ascii="Arial" w:hAnsi="Arial" w:cs="Arial"/>
          <w:sz w:val="20"/>
          <w:szCs w:val="20"/>
          <w:vertAlign w:val="superscript"/>
        </w:rPr>
        <w:t>2</w:t>
      </w:r>
      <w:r w:rsidR="00A3108D">
        <w:rPr>
          <w:rFonts w:ascii="Arial" w:hAnsi="Arial" w:cs="Arial" w:hint="eastAsia"/>
          <w:sz w:val="20"/>
          <w:szCs w:val="20"/>
        </w:rPr>
        <w:t>) using ANOVA</w:t>
      </w:r>
      <w:r w:rsidR="005F333D">
        <w:rPr>
          <w:rFonts w:ascii="Arial" w:hAnsi="Arial" w:cs="Arial" w:hint="eastAsia"/>
          <w:sz w:val="20"/>
          <w:szCs w:val="20"/>
        </w:rPr>
        <w:t xml:space="preserve">, </w:t>
      </w:r>
      <w:r w:rsidR="005F333D" w:rsidRPr="005F333D">
        <w:rPr>
          <w:rFonts w:ascii="Arial" w:hAnsi="Arial" w:cs="Arial" w:hint="eastAsia"/>
          <w:i/>
          <w:iCs/>
          <w:sz w:val="20"/>
          <w:szCs w:val="20"/>
        </w:rPr>
        <w:t>p</w:t>
      </w:r>
      <w:r w:rsidR="005F333D">
        <w:rPr>
          <w:rFonts w:ascii="Arial" w:hAnsi="Arial" w:cs="Arial" w:hint="eastAsia"/>
          <w:sz w:val="20"/>
          <w:szCs w:val="20"/>
        </w:rPr>
        <w:t xml:space="preserve"> value corrected with </w:t>
      </w:r>
      <w:r w:rsidR="005F333D" w:rsidRPr="005F333D">
        <w:rPr>
          <w:rFonts w:ascii="Arial" w:hAnsi="Arial" w:cs="Arial" w:hint="eastAsia"/>
          <w:sz w:val="20"/>
          <w:szCs w:val="20"/>
        </w:rPr>
        <w:t>False Discovery Rate</w:t>
      </w:r>
      <w:r w:rsidR="005F333D">
        <w:rPr>
          <w:rFonts w:ascii="Arial" w:hAnsi="Arial" w:cs="Arial" w:hint="eastAsia"/>
          <w:sz w:val="20"/>
          <w:szCs w:val="20"/>
        </w:rPr>
        <w:t xml:space="preserve"> (FDR)</w:t>
      </w:r>
      <w:r w:rsidR="002478C4">
        <w:rPr>
          <w:rFonts w:ascii="Arial" w:hAnsi="Arial" w:cs="Arial" w:hint="eastAsia"/>
          <w:sz w:val="20"/>
          <w:szCs w:val="20"/>
        </w:rPr>
        <w:t>.</w:t>
      </w:r>
      <w:r w:rsidR="002478C4" w:rsidRPr="002478C4">
        <w:rPr>
          <w:rFonts w:ascii="Arial" w:hAnsi="Arial" w:cs="Arial"/>
          <w:kern w:val="0"/>
          <w:sz w:val="20"/>
          <w:vertAlign w:val="superscript"/>
        </w:rPr>
        <w:t>3</w:t>
      </w:r>
      <w:r w:rsidR="00A3108D">
        <w:rPr>
          <w:rFonts w:ascii="Arial" w:hAnsi="Arial" w:cs="Arial" w:hint="eastAsia"/>
          <w:sz w:val="20"/>
          <w:szCs w:val="20"/>
        </w:rPr>
        <w:t xml:space="preserve"> </w:t>
      </w:r>
      <w:r w:rsidR="00A3108D" w:rsidRPr="00A3108D">
        <w:rPr>
          <w:rFonts w:ascii="Arial" w:hAnsi="Arial" w:cs="Arial" w:hint="eastAsia"/>
          <w:sz w:val="20"/>
          <w:szCs w:val="20"/>
        </w:rPr>
        <w:t xml:space="preserve">If </w:t>
      </w:r>
      <w:r w:rsidR="00A3108D">
        <w:rPr>
          <w:rFonts w:ascii="Arial" w:hAnsi="Arial" w:cs="Arial" w:hint="eastAsia"/>
          <w:sz w:val="20"/>
          <w:szCs w:val="20"/>
        </w:rPr>
        <w:t>non-linear model</w:t>
      </w:r>
      <w:r w:rsidR="00A3108D" w:rsidRPr="00A3108D">
        <w:rPr>
          <w:rFonts w:ascii="Arial" w:hAnsi="Arial" w:cs="Arial" w:hint="eastAsia"/>
          <w:sz w:val="20"/>
          <w:szCs w:val="20"/>
        </w:rPr>
        <w:t xml:space="preserve"> significantly outperforms </w:t>
      </w:r>
      <w:r w:rsidR="00A3108D">
        <w:rPr>
          <w:rFonts w:ascii="Arial" w:hAnsi="Arial" w:cs="Arial" w:hint="eastAsia"/>
          <w:sz w:val="20"/>
          <w:szCs w:val="20"/>
        </w:rPr>
        <w:t>linear model</w:t>
      </w:r>
      <w:r w:rsidR="00A3108D" w:rsidRPr="00A3108D">
        <w:rPr>
          <w:rFonts w:ascii="Arial" w:hAnsi="Arial" w:cs="Arial" w:hint="eastAsia"/>
          <w:sz w:val="20"/>
          <w:szCs w:val="20"/>
        </w:rPr>
        <w:t xml:space="preserve"> (i.e., the quadratic term coefficie</w:t>
      </w:r>
      <w:r w:rsidR="00A3108D" w:rsidRPr="00A3108D">
        <w:rPr>
          <w:rFonts w:ascii="Arial" w:hAnsi="Arial" w:cs="Arial"/>
          <w:sz w:val="20"/>
          <w:szCs w:val="20"/>
        </w:rPr>
        <w:t>nt β</w:t>
      </w:r>
      <w:r w:rsidR="00A3108D" w:rsidRPr="00A3108D">
        <w:rPr>
          <w:rFonts w:ascii="Arial" w:hAnsi="Arial" w:cs="Arial"/>
          <w:sz w:val="20"/>
          <w:szCs w:val="20"/>
          <w:vertAlign w:val="subscript"/>
        </w:rPr>
        <w:t>2</w:t>
      </w:r>
      <w:r w:rsidR="00A3108D" w:rsidRPr="00A3108D">
        <w:rPr>
          <w:rFonts w:ascii="Arial" w:hAnsi="Arial" w:cs="Arial"/>
          <w:sz w:val="20"/>
          <w:szCs w:val="20"/>
        </w:rPr>
        <w:t>​≠0 with </w:t>
      </w:r>
      <w:r w:rsidR="00A3108D" w:rsidRPr="00A3108D">
        <w:rPr>
          <w:rFonts w:ascii="Arial" w:hAnsi="Arial" w:cs="Arial"/>
          <w:i/>
          <w:iCs/>
          <w:sz w:val="20"/>
          <w:szCs w:val="20"/>
        </w:rPr>
        <w:t>p</w:t>
      </w:r>
      <w:r w:rsidR="00A3108D">
        <w:rPr>
          <w:rFonts w:ascii="Arial" w:hAnsi="Arial" w:cs="Arial" w:hint="eastAsia"/>
          <w:sz w:val="20"/>
          <w:szCs w:val="20"/>
        </w:rPr>
        <w:t xml:space="preserve"> </w:t>
      </w:r>
      <w:r w:rsidR="00A3108D" w:rsidRPr="00A3108D">
        <w:rPr>
          <w:rFonts w:ascii="Arial" w:hAnsi="Arial" w:cs="Arial"/>
          <w:sz w:val="20"/>
          <w:szCs w:val="20"/>
        </w:rPr>
        <w:t>&lt;</w:t>
      </w:r>
      <w:r w:rsidR="00A3108D">
        <w:rPr>
          <w:rFonts w:ascii="Arial" w:hAnsi="Arial" w:cs="Arial" w:hint="eastAsia"/>
          <w:sz w:val="20"/>
          <w:szCs w:val="20"/>
        </w:rPr>
        <w:t xml:space="preserve"> 0.05)</w:t>
      </w:r>
      <w:r w:rsidR="00A3108D" w:rsidRPr="00A3108D">
        <w:rPr>
          <w:rFonts w:ascii="Arial" w:hAnsi="Arial" w:cs="Arial" w:hint="eastAsia"/>
          <w:sz w:val="20"/>
          <w:szCs w:val="20"/>
        </w:rPr>
        <w:t>, the linear assumption is rejected.</w:t>
      </w:r>
    </w:p>
    <w:p w14:paraId="6EEEF8CD" w14:textId="77777777" w:rsidR="007A1744" w:rsidRPr="00A3108D" w:rsidRDefault="007A1744" w:rsidP="00EC4B19">
      <w:pPr>
        <w:snapToGrid w:val="0"/>
        <w:spacing w:after="0" w:line="480" w:lineRule="auto"/>
      </w:pPr>
    </w:p>
    <w:p w14:paraId="13136215" w14:textId="58B6985B" w:rsidR="00895476" w:rsidRPr="00895476" w:rsidRDefault="00CB6011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95476">
        <w:rPr>
          <w:rFonts w:ascii="Arial" w:hAnsi="Arial" w:cs="Arial"/>
          <w:sz w:val="20"/>
          <w:szCs w:val="20"/>
        </w:rPr>
        <w:t>As indicated in Supplementary Figure 1A, 1D and 1E, LOESS curve closely aligns with linear fit, implying there is a linear relationship between erythrocyte and WBC, P1_orienting and N1_orienting, N1_orienting and executive control.</w:t>
      </w:r>
      <w:r w:rsidR="00740775" w:rsidRPr="00740775">
        <w:rPr>
          <w:rFonts w:ascii="Arial" w:hAnsi="Arial" w:cs="Arial"/>
          <w:sz w:val="20"/>
          <w:szCs w:val="20"/>
        </w:rPr>
        <w:t xml:space="preserve"> </w:t>
      </w:r>
      <w:r w:rsidR="00740775" w:rsidRPr="00895476">
        <w:rPr>
          <w:rFonts w:ascii="Arial" w:hAnsi="Arial" w:cs="Arial"/>
          <w:sz w:val="20"/>
          <w:szCs w:val="20"/>
        </w:rPr>
        <w:t>Supplementary</w:t>
      </w:r>
      <w:r w:rsidRPr="00895476">
        <w:rPr>
          <w:rFonts w:ascii="Arial" w:hAnsi="Arial" w:cs="Arial"/>
          <w:sz w:val="20"/>
          <w:szCs w:val="20"/>
        </w:rPr>
        <w:t xml:space="preserve"> Figure 1B suggested that there </w:t>
      </w:r>
      <w:r w:rsidR="00895476" w:rsidRPr="00895476">
        <w:rPr>
          <w:rFonts w:ascii="Arial" w:hAnsi="Arial" w:cs="Arial"/>
          <w:sz w:val="20"/>
          <w:szCs w:val="20"/>
        </w:rPr>
        <w:t>may be</w:t>
      </w:r>
      <w:r w:rsidRPr="00895476">
        <w:rPr>
          <w:rFonts w:ascii="Arial" w:hAnsi="Arial" w:cs="Arial"/>
          <w:sz w:val="20"/>
          <w:szCs w:val="20"/>
        </w:rPr>
        <w:t xml:space="preserve"> a non-linear relationship between WBC and sleep distraction, but quadratic </w:t>
      </w:r>
      <w:r w:rsidR="00225E83">
        <w:rPr>
          <w:rFonts w:ascii="Arial" w:hAnsi="Arial" w:cs="Arial" w:hint="eastAsia"/>
          <w:sz w:val="20"/>
          <w:szCs w:val="20"/>
        </w:rPr>
        <w:t>t</w:t>
      </w:r>
      <w:r w:rsidRPr="00895476">
        <w:rPr>
          <w:rFonts w:ascii="Arial" w:hAnsi="Arial" w:cs="Arial"/>
          <w:sz w:val="20"/>
          <w:szCs w:val="20"/>
        </w:rPr>
        <w:t xml:space="preserve">erm </w:t>
      </w:r>
      <w:r w:rsidR="00225E83">
        <w:rPr>
          <w:rFonts w:ascii="Arial" w:hAnsi="Arial" w:cs="Arial" w:hint="eastAsia"/>
          <w:sz w:val="20"/>
          <w:szCs w:val="20"/>
        </w:rPr>
        <w:t>r</w:t>
      </w:r>
      <w:r w:rsidRPr="00895476">
        <w:rPr>
          <w:rFonts w:ascii="Arial" w:hAnsi="Arial" w:cs="Arial"/>
          <w:sz w:val="20"/>
          <w:szCs w:val="20"/>
        </w:rPr>
        <w:t xml:space="preserve">egression suggested this non-linear relationship is insignificant (FDR adjusted </w:t>
      </w:r>
      <w:r w:rsidRPr="00895476">
        <w:rPr>
          <w:rFonts w:ascii="Arial" w:hAnsi="Arial" w:cs="Arial"/>
          <w:i/>
          <w:iCs/>
          <w:sz w:val="20"/>
          <w:szCs w:val="20"/>
        </w:rPr>
        <w:t>p</w:t>
      </w:r>
      <w:r w:rsidRPr="00895476">
        <w:rPr>
          <w:rFonts w:ascii="Arial" w:hAnsi="Arial" w:cs="Arial"/>
          <w:sz w:val="20"/>
          <w:szCs w:val="20"/>
        </w:rPr>
        <w:t xml:space="preserve"> = </w:t>
      </w:r>
      <w:r w:rsidR="00895476" w:rsidRPr="0017522D">
        <w:rPr>
          <w:rFonts w:ascii="Arial" w:hAnsi="Arial" w:cs="Arial"/>
          <w:sz w:val="20"/>
          <w:szCs w:val="20"/>
        </w:rPr>
        <w:t>0.8408</w:t>
      </w:r>
      <w:r w:rsidR="00895476">
        <w:rPr>
          <w:rFonts w:ascii="Arial" w:hAnsi="Arial" w:cs="Arial" w:hint="eastAsia"/>
          <w:sz w:val="20"/>
          <w:szCs w:val="20"/>
        </w:rPr>
        <w:t xml:space="preserve">, </w:t>
      </w:r>
      <w:r w:rsidR="00740775">
        <w:rPr>
          <w:rFonts w:ascii="Arial" w:hAnsi="Arial" w:cs="Arial" w:hint="eastAsia"/>
          <w:sz w:val="20"/>
          <w:szCs w:val="20"/>
        </w:rPr>
        <w:t>S</w:t>
      </w:r>
      <w:r w:rsidR="00895476">
        <w:rPr>
          <w:rFonts w:ascii="Arial" w:hAnsi="Arial" w:cs="Arial" w:hint="eastAsia"/>
          <w:sz w:val="20"/>
          <w:szCs w:val="20"/>
        </w:rPr>
        <w:t xml:space="preserve">upplementary </w:t>
      </w:r>
      <w:r w:rsidR="00740775">
        <w:rPr>
          <w:rFonts w:ascii="Arial" w:hAnsi="Arial" w:cs="Arial" w:hint="eastAsia"/>
          <w:sz w:val="20"/>
          <w:szCs w:val="20"/>
        </w:rPr>
        <w:t>T</w:t>
      </w:r>
      <w:r w:rsidR="00895476">
        <w:rPr>
          <w:rFonts w:ascii="Arial" w:hAnsi="Arial" w:cs="Arial" w:hint="eastAsia"/>
          <w:sz w:val="20"/>
          <w:szCs w:val="20"/>
        </w:rPr>
        <w:t>able 1</w:t>
      </w:r>
      <w:r w:rsidR="00895476" w:rsidRPr="00895476">
        <w:rPr>
          <w:rFonts w:ascii="Arial" w:hAnsi="Arial" w:cs="Arial"/>
          <w:sz w:val="20"/>
          <w:szCs w:val="20"/>
        </w:rPr>
        <w:t>)</w:t>
      </w:r>
      <w:r w:rsidRPr="00895476">
        <w:rPr>
          <w:rFonts w:ascii="Arial" w:hAnsi="Arial" w:cs="Arial"/>
          <w:sz w:val="20"/>
          <w:szCs w:val="20"/>
        </w:rPr>
        <w:t>.</w:t>
      </w:r>
      <w:r w:rsidR="00895476" w:rsidRPr="00895476">
        <w:rPr>
          <w:rFonts w:ascii="Arial" w:hAnsi="Arial" w:cs="Arial"/>
          <w:sz w:val="20"/>
          <w:szCs w:val="20"/>
        </w:rPr>
        <w:t xml:space="preserve"> </w:t>
      </w:r>
      <w:r w:rsidR="00895476">
        <w:rPr>
          <w:rFonts w:ascii="Arial" w:hAnsi="Arial" w:cs="Arial" w:hint="eastAsia"/>
          <w:sz w:val="20"/>
          <w:szCs w:val="20"/>
        </w:rPr>
        <w:t xml:space="preserve">Besides, the liner relationship of all </w:t>
      </w:r>
      <w:r w:rsidR="00895476">
        <w:rPr>
          <w:rFonts w:ascii="Arial" w:hAnsi="Arial" w:cs="Arial"/>
          <w:sz w:val="20"/>
          <w:szCs w:val="20"/>
        </w:rPr>
        <w:t>the other</w:t>
      </w:r>
      <w:r w:rsidR="00895476">
        <w:rPr>
          <w:rFonts w:ascii="Arial" w:hAnsi="Arial" w:cs="Arial" w:hint="eastAsia"/>
          <w:sz w:val="20"/>
          <w:szCs w:val="20"/>
        </w:rPr>
        <w:t xml:space="preserve"> paths were all proved (all </w:t>
      </w:r>
      <w:r w:rsidR="00225E83" w:rsidRPr="00895476">
        <w:rPr>
          <w:rFonts w:ascii="Arial" w:hAnsi="Arial" w:cs="Arial"/>
          <w:sz w:val="20"/>
          <w:szCs w:val="20"/>
        </w:rPr>
        <w:t xml:space="preserve">FDR </w:t>
      </w:r>
      <w:r w:rsidR="00895476" w:rsidRPr="00895476">
        <w:rPr>
          <w:rFonts w:ascii="Arial" w:hAnsi="Arial" w:cs="Arial"/>
          <w:sz w:val="20"/>
          <w:szCs w:val="20"/>
        </w:rPr>
        <w:t xml:space="preserve">adjusted </w:t>
      </w:r>
      <w:r w:rsidR="00895476" w:rsidRPr="00895476">
        <w:rPr>
          <w:rFonts w:ascii="Arial" w:hAnsi="Arial" w:cs="Arial"/>
          <w:i/>
          <w:iCs/>
          <w:sz w:val="20"/>
          <w:szCs w:val="20"/>
        </w:rPr>
        <w:t>p</w:t>
      </w:r>
      <w:r w:rsidR="00895476">
        <w:rPr>
          <w:rFonts w:ascii="Arial" w:hAnsi="Arial" w:cs="Arial" w:hint="eastAsia"/>
          <w:i/>
          <w:iCs/>
          <w:sz w:val="20"/>
          <w:szCs w:val="20"/>
        </w:rPr>
        <w:t xml:space="preserve"> </w:t>
      </w:r>
      <w:r w:rsidR="00895476">
        <w:rPr>
          <w:rFonts w:ascii="Arial" w:hAnsi="Arial" w:cs="Arial" w:hint="eastAsia"/>
          <w:sz w:val="20"/>
          <w:szCs w:val="20"/>
        </w:rPr>
        <w:t>&gt; 0.05,</w:t>
      </w:r>
      <w:r w:rsidR="00895476" w:rsidRPr="00895476">
        <w:rPr>
          <w:rFonts w:ascii="Arial" w:hAnsi="Arial" w:cs="Arial" w:hint="eastAsia"/>
          <w:sz w:val="20"/>
          <w:szCs w:val="20"/>
        </w:rPr>
        <w:t xml:space="preserve"> </w:t>
      </w:r>
      <w:r w:rsidR="00740775">
        <w:rPr>
          <w:rFonts w:ascii="Arial" w:hAnsi="Arial" w:cs="Arial" w:hint="eastAsia"/>
          <w:sz w:val="20"/>
          <w:szCs w:val="20"/>
        </w:rPr>
        <w:t>S</w:t>
      </w:r>
      <w:r w:rsidR="00895476">
        <w:rPr>
          <w:rFonts w:ascii="Arial" w:hAnsi="Arial" w:cs="Arial" w:hint="eastAsia"/>
          <w:sz w:val="20"/>
          <w:szCs w:val="20"/>
        </w:rPr>
        <w:t xml:space="preserve">upplementary </w:t>
      </w:r>
      <w:r w:rsidR="00740775">
        <w:rPr>
          <w:rFonts w:ascii="Arial" w:hAnsi="Arial" w:cs="Arial" w:hint="eastAsia"/>
          <w:sz w:val="20"/>
          <w:szCs w:val="20"/>
        </w:rPr>
        <w:t>T</w:t>
      </w:r>
      <w:r w:rsidR="00895476">
        <w:rPr>
          <w:rFonts w:ascii="Arial" w:hAnsi="Arial" w:cs="Arial" w:hint="eastAsia"/>
          <w:sz w:val="20"/>
          <w:szCs w:val="20"/>
        </w:rPr>
        <w:t>able 1)</w:t>
      </w:r>
      <w:r w:rsidR="00225E83">
        <w:rPr>
          <w:rFonts w:ascii="Arial" w:hAnsi="Arial" w:cs="Arial" w:hint="eastAsia"/>
          <w:sz w:val="20"/>
          <w:szCs w:val="20"/>
        </w:rPr>
        <w:t xml:space="preserve"> by </w:t>
      </w:r>
      <w:r w:rsidR="00225E83" w:rsidRPr="00895476">
        <w:rPr>
          <w:rFonts w:ascii="Arial" w:hAnsi="Arial" w:cs="Arial"/>
          <w:sz w:val="20"/>
          <w:szCs w:val="20"/>
        </w:rPr>
        <w:t xml:space="preserve">quadratic </w:t>
      </w:r>
      <w:r w:rsidR="00225E83">
        <w:rPr>
          <w:rFonts w:ascii="Arial" w:hAnsi="Arial" w:cs="Arial" w:hint="eastAsia"/>
          <w:sz w:val="20"/>
          <w:szCs w:val="20"/>
        </w:rPr>
        <w:t>t</w:t>
      </w:r>
      <w:r w:rsidR="00225E83" w:rsidRPr="00895476">
        <w:rPr>
          <w:rFonts w:ascii="Arial" w:hAnsi="Arial" w:cs="Arial"/>
          <w:sz w:val="20"/>
          <w:szCs w:val="20"/>
        </w:rPr>
        <w:t xml:space="preserve">erm </w:t>
      </w:r>
      <w:r w:rsidR="00225E83">
        <w:rPr>
          <w:rFonts w:ascii="Arial" w:hAnsi="Arial" w:cs="Arial" w:hint="eastAsia"/>
          <w:sz w:val="20"/>
          <w:szCs w:val="20"/>
        </w:rPr>
        <w:t>r</w:t>
      </w:r>
      <w:r w:rsidR="00225E83" w:rsidRPr="00895476">
        <w:rPr>
          <w:rFonts w:ascii="Arial" w:hAnsi="Arial" w:cs="Arial"/>
          <w:sz w:val="20"/>
          <w:szCs w:val="20"/>
        </w:rPr>
        <w:t>egression</w:t>
      </w:r>
      <w:r w:rsidR="00895476">
        <w:rPr>
          <w:rFonts w:ascii="Arial" w:hAnsi="Arial" w:cs="Arial" w:hint="eastAsia"/>
          <w:sz w:val="20"/>
          <w:szCs w:val="20"/>
        </w:rPr>
        <w:t xml:space="preserve">. Therefore, it can be </w:t>
      </w:r>
      <w:r w:rsidR="00895476">
        <w:rPr>
          <w:rFonts w:ascii="Arial" w:hAnsi="Arial" w:cs="Arial"/>
          <w:sz w:val="20"/>
          <w:szCs w:val="20"/>
        </w:rPr>
        <w:t>concluded</w:t>
      </w:r>
      <w:r w:rsidR="00895476">
        <w:rPr>
          <w:rFonts w:ascii="Arial" w:hAnsi="Arial" w:cs="Arial" w:hint="eastAsia"/>
          <w:sz w:val="20"/>
          <w:szCs w:val="20"/>
        </w:rPr>
        <w:t xml:space="preserve"> that the linear </w:t>
      </w:r>
      <w:r w:rsidR="00895476">
        <w:rPr>
          <w:rFonts w:ascii="Arial" w:hAnsi="Arial" w:cs="Arial"/>
          <w:sz w:val="20"/>
          <w:szCs w:val="20"/>
        </w:rPr>
        <w:t>assumption</w:t>
      </w:r>
      <w:r w:rsidR="00895476">
        <w:rPr>
          <w:rFonts w:ascii="Arial" w:hAnsi="Arial" w:cs="Arial" w:hint="eastAsia"/>
          <w:sz w:val="20"/>
          <w:szCs w:val="20"/>
        </w:rPr>
        <w:t xml:space="preserve"> of the</w:t>
      </w:r>
      <w:r w:rsidR="00225E83">
        <w:rPr>
          <w:rFonts w:ascii="Arial" w:hAnsi="Arial" w:cs="Arial" w:hint="eastAsia"/>
          <w:sz w:val="20"/>
          <w:szCs w:val="20"/>
        </w:rPr>
        <w:t xml:space="preserve"> sleep to attention model</w:t>
      </w:r>
      <w:r w:rsidR="00895476">
        <w:rPr>
          <w:rFonts w:ascii="Arial" w:hAnsi="Arial" w:cs="Arial" w:hint="eastAsia"/>
          <w:sz w:val="20"/>
          <w:szCs w:val="20"/>
        </w:rPr>
        <w:t xml:space="preserve"> was solid.</w:t>
      </w:r>
    </w:p>
    <w:p w14:paraId="0A4C9606" w14:textId="69A68A68" w:rsidR="0017522D" w:rsidRPr="00895476" w:rsidRDefault="0017522D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ED55E1C" w14:textId="7782BA80" w:rsidR="0017522D" w:rsidRDefault="00DB10CF">
      <w:r>
        <w:rPr>
          <w:rFonts w:hint="eastAsia"/>
          <w:noProof/>
        </w:rPr>
        <w:lastRenderedPageBreak/>
        <w:drawing>
          <wp:inline distT="0" distB="0" distL="0" distR="0" wp14:anchorId="6D39B11D" wp14:editId="7B429691">
            <wp:extent cx="5274310" cy="5551170"/>
            <wp:effectExtent l="0" t="0" r="2540" b="0"/>
            <wp:docPr id="17254149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14912" name="图片 17254149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F20E" w14:textId="37FD51E5" w:rsidR="00225E83" w:rsidRDefault="00225E83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1"/>
        </w:rPr>
      </w:pPr>
      <w:r w:rsidRPr="00225E83">
        <w:rPr>
          <w:rFonts w:ascii="Arial" w:hAnsi="Arial" w:cs="Arial"/>
          <w:b/>
          <w:bCs/>
          <w:sz w:val="20"/>
          <w:szCs w:val="21"/>
        </w:rPr>
        <w:t xml:space="preserve">Supplementary </w:t>
      </w:r>
      <w:r>
        <w:rPr>
          <w:rFonts w:ascii="Arial" w:hAnsi="Arial" w:cs="Arial" w:hint="eastAsia"/>
          <w:b/>
          <w:bCs/>
          <w:sz w:val="20"/>
          <w:szCs w:val="21"/>
        </w:rPr>
        <w:t>F</w:t>
      </w:r>
      <w:r w:rsidRPr="00225E83">
        <w:rPr>
          <w:rFonts w:ascii="Arial" w:hAnsi="Arial" w:cs="Arial"/>
          <w:b/>
          <w:bCs/>
          <w:sz w:val="20"/>
          <w:szCs w:val="21"/>
        </w:rPr>
        <w:t>igure 1</w:t>
      </w:r>
      <w:r w:rsidRPr="00225E83">
        <w:rPr>
          <w:rFonts w:ascii="Arial" w:hAnsi="Arial" w:cs="Arial"/>
          <w:sz w:val="20"/>
          <w:szCs w:val="21"/>
        </w:rPr>
        <w:t xml:space="preserve"> </w:t>
      </w:r>
      <w:r w:rsidR="00D45C4F" w:rsidRPr="005C12EB">
        <w:rPr>
          <w:rFonts w:ascii="Arial" w:hAnsi="Arial" w:cs="Arial"/>
          <w:b/>
          <w:bCs/>
          <w:sz w:val="20"/>
          <w:szCs w:val="21"/>
        </w:rPr>
        <w:t xml:space="preserve">Scatterplot </w:t>
      </w:r>
      <w:r w:rsidR="00D45C4F" w:rsidRPr="005C12EB">
        <w:rPr>
          <w:rFonts w:ascii="Arial" w:hAnsi="Arial" w:cs="Arial" w:hint="eastAsia"/>
          <w:b/>
          <w:bCs/>
          <w:sz w:val="20"/>
          <w:szCs w:val="21"/>
        </w:rPr>
        <w:t xml:space="preserve">inspection of the linear relationship </w:t>
      </w:r>
      <w:r w:rsidR="005C12EB" w:rsidRPr="005C12EB">
        <w:rPr>
          <w:rFonts w:ascii="Arial" w:hAnsi="Arial" w:cs="Arial" w:hint="eastAsia"/>
          <w:b/>
          <w:bCs/>
          <w:sz w:val="20"/>
          <w:szCs w:val="21"/>
        </w:rPr>
        <w:t xml:space="preserve">of </w:t>
      </w:r>
      <w:r w:rsidR="005C12EB" w:rsidRPr="005C12EB">
        <w:rPr>
          <w:rFonts w:ascii="Arial" w:hAnsi="Arial" w:cs="Arial"/>
          <w:b/>
          <w:bCs/>
          <w:sz w:val="20"/>
          <w:szCs w:val="20"/>
        </w:rPr>
        <w:t>Erythrocyte</w:t>
      </w:r>
      <w:r w:rsidR="005C12EB" w:rsidRPr="005C12EB">
        <w:rPr>
          <w:rFonts w:ascii="Arial" w:hAnsi="Arial" w:cs="Arial" w:hint="eastAsia"/>
          <w:b/>
          <w:bCs/>
          <w:sz w:val="20"/>
          <w:szCs w:val="20"/>
        </w:rPr>
        <w:t xml:space="preserve"> to Executive control model.</w:t>
      </w:r>
      <w:r w:rsidR="005C12EB">
        <w:rPr>
          <w:rFonts w:ascii="Arial" w:hAnsi="Arial" w:cs="Arial" w:hint="eastAsia"/>
          <w:sz w:val="20"/>
          <w:szCs w:val="21"/>
        </w:rPr>
        <w:t xml:space="preserve"> </w:t>
      </w:r>
      <w:r w:rsidRPr="00225E83">
        <w:rPr>
          <w:rFonts w:ascii="Arial" w:hAnsi="Arial" w:cs="Arial"/>
          <w:sz w:val="20"/>
          <w:szCs w:val="21"/>
        </w:rPr>
        <w:t xml:space="preserve">Scatterplot of </w:t>
      </w:r>
      <w:r w:rsidRPr="00225E83">
        <w:rPr>
          <w:rFonts w:ascii="Arial" w:hAnsi="Arial" w:cs="Arial"/>
          <w:b/>
          <w:bCs/>
          <w:sz w:val="20"/>
          <w:szCs w:val="21"/>
        </w:rPr>
        <w:t>A</w:t>
      </w:r>
      <w:r w:rsidRPr="00225E83">
        <w:rPr>
          <w:rFonts w:ascii="Arial" w:hAnsi="Arial" w:cs="Arial"/>
          <w:sz w:val="20"/>
          <w:szCs w:val="21"/>
        </w:rPr>
        <w:t xml:space="preserve"> erythrocyte and WBC </w:t>
      </w:r>
      <w:r w:rsidRPr="00225E83">
        <w:rPr>
          <w:rFonts w:ascii="Arial" w:hAnsi="Arial" w:cs="Arial"/>
          <w:b/>
          <w:bCs/>
          <w:sz w:val="20"/>
          <w:szCs w:val="21"/>
        </w:rPr>
        <w:t>B</w:t>
      </w:r>
      <w:r w:rsidRPr="00225E83">
        <w:rPr>
          <w:rFonts w:ascii="Arial" w:hAnsi="Arial" w:cs="Arial"/>
          <w:sz w:val="20"/>
          <w:szCs w:val="21"/>
        </w:rPr>
        <w:t xml:space="preserve"> </w:t>
      </w:r>
      <w:r w:rsidRPr="0017522D">
        <w:rPr>
          <w:rFonts w:ascii="Arial" w:hAnsi="Arial" w:cs="Arial"/>
          <w:sz w:val="20"/>
          <w:szCs w:val="21"/>
        </w:rPr>
        <w:t xml:space="preserve">WBC </w:t>
      </w:r>
      <w:r w:rsidRPr="00225E83">
        <w:rPr>
          <w:rFonts w:ascii="Arial" w:hAnsi="Arial" w:cs="Arial"/>
          <w:sz w:val="20"/>
          <w:szCs w:val="21"/>
        </w:rPr>
        <w:t>and</w:t>
      </w:r>
      <w:r w:rsidRPr="0017522D">
        <w:rPr>
          <w:rFonts w:ascii="Arial" w:hAnsi="Arial" w:cs="Arial"/>
          <w:sz w:val="20"/>
          <w:szCs w:val="21"/>
        </w:rPr>
        <w:t xml:space="preserve"> </w:t>
      </w:r>
      <w:r w:rsidR="009B6A7C">
        <w:rPr>
          <w:rFonts w:ascii="Arial" w:hAnsi="Arial" w:cs="Arial" w:hint="eastAsia"/>
          <w:sz w:val="20"/>
          <w:szCs w:val="21"/>
        </w:rPr>
        <w:t>S</w:t>
      </w:r>
      <w:r w:rsidRPr="00225E83">
        <w:rPr>
          <w:rFonts w:ascii="Arial" w:hAnsi="Arial" w:cs="Arial"/>
          <w:sz w:val="20"/>
          <w:szCs w:val="21"/>
        </w:rPr>
        <w:t xml:space="preserve">leep distraction </w:t>
      </w:r>
      <w:r w:rsidRPr="00225E83">
        <w:rPr>
          <w:rFonts w:ascii="Arial" w:hAnsi="Arial" w:cs="Arial"/>
          <w:b/>
          <w:bCs/>
          <w:sz w:val="20"/>
          <w:szCs w:val="21"/>
        </w:rPr>
        <w:t>C</w:t>
      </w:r>
      <w:r w:rsidRPr="00225E83">
        <w:rPr>
          <w:rFonts w:ascii="Arial" w:hAnsi="Arial" w:cs="Arial"/>
          <w:sz w:val="20"/>
          <w:szCs w:val="21"/>
        </w:rPr>
        <w:t xml:space="preserve"> </w:t>
      </w:r>
      <w:r w:rsidR="009B6A7C">
        <w:rPr>
          <w:rFonts w:ascii="Arial" w:hAnsi="Arial" w:cs="Arial" w:hint="eastAsia"/>
          <w:sz w:val="20"/>
          <w:szCs w:val="21"/>
        </w:rPr>
        <w:t>S</w:t>
      </w:r>
      <w:r w:rsidRPr="00225E83">
        <w:rPr>
          <w:rFonts w:ascii="Arial" w:hAnsi="Arial" w:cs="Arial"/>
          <w:sz w:val="20"/>
          <w:szCs w:val="21"/>
        </w:rPr>
        <w:t>leep distraction</w:t>
      </w:r>
      <w:r w:rsidRPr="0017522D">
        <w:rPr>
          <w:rFonts w:ascii="Arial" w:hAnsi="Arial" w:cs="Arial"/>
          <w:sz w:val="20"/>
          <w:szCs w:val="21"/>
        </w:rPr>
        <w:t xml:space="preserve"> </w:t>
      </w:r>
      <w:r w:rsidRPr="00225E83">
        <w:rPr>
          <w:rFonts w:ascii="Arial" w:hAnsi="Arial" w:cs="Arial"/>
          <w:sz w:val="20"/>
          <w:szCs w:val="21"/>
        </w:rPr>
        <w:t>and</w:t>
      </w:r>
      <w:r w:rsidRPr="0017522D">
        <w:rPr>
          <w:rFonts w:ascii="Arial" w:hAnsi="Arial" w:cs="Arial"/>
          <w:sz w:val="20"/>
          <w:szCs w:val="21"/>
        </w:rPr>
        <w:t xml:space="preserve"> P1_orienting</w:t>
      </w:r>
      <w:r w:rsidRPr="00225E83">
        <w:rPr>
          <w:rFonts w:ascii="Arial" w:hAnsi="Arial" w:cs="Arial"/>
          <w:sz w:val="20"/>
          <w:szCs w:val="21"/>
        </w:rPr>
        <w:t xml:space="preserve"> </w:t>
      </w:r>
      <w:r w:rsidRPr="00225E83">
        <w:rPr>
          <w:rFonts w:ascii="Arial" w:hAnsi="Arial" w:cs="Arial"/>
          <w:b/>
          <w:bCs/>
          <w:sz w:val="20"/>
          <w:szCs w:val="21"/>
        </w:rPr>
        <w:t>D</w:t>
      </w:r>
      <w:r w:rsidRPr="00225E83">
        <w:rPr>
          <w:rFonts w:ascii="Arial" w:hAnsi="Arial" w:cs="Arial"/>
          <w:sz w:val="20"/>
          <w:szCs w:val="21"/>
        </w:rPr>
        <w:t xml:space="preserve"> </w:t>
      </w:r>
      <w:r w:rsidRPr="0017522D">
        <w:rPr>
          <w:rFonts w:ascii="Arial" w:hAnsi="Arial" w:cs="Arial"/>
          <w:sz w:val="20"/>
          <w:szCs w:val="21"/>
        </w:rPr>
        <w:t xml:space="preserve">P1_orienting </w:t>
      </w:r>
      <w:r w:rsidRPr="00225E83">
        <w:rPr>
          <w:rFonts w:ascii="Arial" w:hAnsi="Arial" w:cs="Arial"/>
          <w:sz w:val="20"/>
          <w:szCs w:val="21"/>
        </w:rPr>
        <w:t>and</w:t>
      </w:r>
      <w:r w:rsidRPr="0017522D">
        <w:rPr>
          <w:rFonts w:ascii="Arial" w:hAnsi="Arial" w:cs="Arial"/>
          <w:sz w:val="20"/>
          <w:szCs w:val="21"/>
        </w:rPr>
        <w:t xml:space="preserve"> N1_orienting</w:t>
      </w:r>
      <w:r w:rsidRPr="00225E83">
        <w:rPr>
          <w:rFonts w:ascii="Arial" w:hAnsi="Arial" w:cs="Arial"/>
          <w:sz w:val="20"/>
          <w:szCs w:val="21"/>
        </w:rPr>
        <w:t xml:space="preserve"> </w:t>
      </w:r>
      <w:r w:rsidRPr="00225E83">
        <w:rPr>
          <w:rFonts w:ascii="Arial" w:hAnsi="Arial" w:cs="Arial"/>
          <w:b/>
          <w:bCs/>
          <w:sz w:val="20"/>
          <w:szCs w:val="21"/>
        </w:rPr>
        <w:t>E</w:t>
      </w:r>
      <w:r w:rsidRPr="00225E83">
        <w:rPr>
          <w:rFonts w:ascii="Arial" w:hAnsi="Arial" w:cs="Arial"/>
          <w:sz w:val="20"/>
          <w:szCs w:val="21"/>
        </w:rPr>
        <w:t xml:space="preserve"> </w:t>
      </w:r>
      <w:r w:rsidRPr="0017522D">
        <w:rPr>
          <w:rFonts w:ascii="Arial" w:hAnsi="Arial" w:cs="Arial"/>
          <w:sz w:val="20"/>
          <w:szCs w:val="21"/>
        </w:rPr>
        <w:t xml:space="preserve">N1_orienting </w:t>
      </w:r>
      <w:r w:rsidRPr="00225E83">
        <w:rPr>
          <w:rFonts w:ascii="Arial" w:hAnsi="Arial" w:cs="Arial"/>
          <w:sz w:val="20"/>
          <w:szCs w:val="21"/>
        </w:rPr>
        <w:t xml:space="preserve">and </w:t>
      </w:r>
      <w:r w:rsidR="009B6A7C">
        <w:rPr>
          <w:rFonts w:ascii="Arial" w:hAnsi="Arial" w:cs="Arial" w:hint="eastAsia"/>
          <w:sz w:val="20"/>
          <w:szCs w:val="21"/>
        </w:rPr>
        <w:t>E</w:t>
      </w:r>
      <w:r w:rsidRPr="00225E83">
        <w:rPr>
          <w:rFonts w:ascii="Arial" w:hAnsi="Arial" w:cs="Arial"/>
          <w:sz w:val="20"/>
          <w:szCs w:val="21"/>
        </w:rPr>
        <w:t xml:space="preserve">xecutive control with </w:t>
      </w:r>
      <w:r>
        <w:rPr>
          <w:rFonts w:ascii="Arial" w:hAnsi="Arial" w:cs="Arial" w:hint="eastAsia"/>
          <w:sz w:val="20"/>
          <w:szCs w:val="21"/>
        </w:rPr>
        <w:t>l</w:t>
      </w:r>
      <w:r w:rsidRPr="00225E83">
        <w:rPr>
          <w:rFonts w:ascii="Arial" w:hAnsi="Arial" w:cs="Arial"/>
          <w:sz w:val="20"/>
          <w:szCs w:val="21"/>
        </w:rPr>
        <w:t xml:space="preserve">inear fit (blue line) and nonparametric </w:t>
      </w:r>
      <w:r>
        <w:rPr>
          <w:rFonts w:ascii="Arial" w:hAnsi="Arial" w:cs="Arial" w:hint="eastAsia"/>
          <w:sz w:val="20"/>
          <w:szCs w:val="20"/>
        </w:rPr>
        <w:t>l</w:t>
      </w:r>
      <w:r w:rsidRPr="00225E83">
        <w:rPr>
          <w:rFonts w:ascii="Arial" w:hAnsi="Arial" w:cs="Arial" w:hint="eastAsia"/>
          <w:sz w:val="20"/>
          <w:szCs w:val="20"/>
        </w:rPr>
        <w:t>ocally estimated scatterplot smoothing</w:t>
      </w:r>
      <w:r w:rsidRPr="00225E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(</w:t>
      </w:r>
      <w:r w:rsidRPr="00895476">
        <w:rPr>
          <w:rFonts w:ascii="Arial" w:hAnsi="Arial" w:cs="Arial"/>
          <w:sz w:val="20"/>
          <w:szCs w:val="20"/>
        </w:rPr>
        <w:t>LOESS</w:t>
      </w:r>
      <w:r>
        <w:rPr>
          <w:rFonts w:ascii="Arial" w:hAnsi="Arial" w:cs="Arial" w:hint="eastAsia"/>
          <w:sz w:val="20"/>
          <w:szCs w:val="20"/>
        </w:rPr>
        <w:t>)</w:t>
      </w:r>
      <w:r w:rsidRPr="00225E83">
        <w:rPr>
          <w:rFonts w:ascii="Arial" w:hAnsi="Arial" w:cs="Arial"/>
          <w:sz w:val="20"/>
          <w:szCs w:val="21"/>
        </w:rPr>
        <w:t xml:space="preserve"> smooth curve (red line).</w:t>
      </w:r>
    </w:p>
    <w:p w14:paraId="22D0426E" w14:textId="77777777" w:rsidR="009B6A7C" w:rsidRDefault="009B6A7C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1"/>
        </w:rPr>
      </w:pPr>
    </w:p>
    <w:p w14:paraId="3C3B171F" w14:textId="77777777" w:rsidR="00EC4B19" w:rsidRDefault="00EC4B19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1"/>
        </w:rPr>
      </w:pPr>
    </w:p>
    <w:p w14:paraId="007AD2EF" w14:textId="77777777" w:rsidR="00DB10CF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1"/>
        </w:rPr>
      </w:pPr>
    </w:p>
    <w:p w14:paraId="6C392117" w14:textId="77777777" w:rsidR="00DB10CF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1"/>
        </w:rPr>
      </w:pPr>
    </w:p>
    <w:p w14:paraId="1C0D8FF9" w14:textId="77777777" w:rsidR="00EC4B19" w:rsidRDefault="00EC4B19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1"/>
        </w:rPr>
      </w:pPr>
    </w:p>
    <w:p w14:paraId="342E7F3A" w14:textId="2EFABD8A" w:rsidR="00225E83" w:rsidRPr="005376A3" w:rsidRDefault="00225E83" w:rsidP="00EC4B19">
      <w:pPr>
        <w:snapToGrid w:val="0"/>
        <w:spacing w:after="0" w:line="480" w:lineRule="auto"/>
        <w:jc w:val="both"/>
        <w:rPr>
          <w:rFonts w:ascii="Arial" w:hAnsi="Arial" w:cs="Arial"/>
          <w:b/>
          <w:bCs/>
          <w:sz w:val="20"/>
          <w:szCs w:val="21"/>
        </w:rPr>
      </w:pPr>
      <w:r w:rsidRPr="005376A3">
        <w:rPr>
          <w:rFonts w:ascii="Arial" w:hAnsi="Arial" w:cs="Arial"/>
          <w:b/>
          <w:bCs/>
          <w:sz w:val="20"/>
          <w:szCs w:val="21"/>
        </w:rPr>
        <w:lastRenderedPageBreak/>
        <w:t>Supplementary</w:t>
      </w:r>
      <w:r w:rsidRPr="005376A3">
        <w:rPr>
          <w:rFonts w:ascii="Arial" w:hAnsi="Arial" w:cs="Arial" w:hint="eastAsia"/>
          <w:b/>
          <w:bCs/>
          <w:sz w:val="20"/>
          <w:szCs w:val="21"/>
        </w:rPr>
        <w:t xml:space="preserve"> </w:t>
      </w:r>
      <w:r w:rsidR="005376A3">
        <w:rPr>
          <w:rFonts w:ascii="Arial" w:hAnsi="Arial" w:cs="Arial" w:hint="eastAsia"/>
          <w:b/>
          <w:bCs/>
          <w:sz w:val="20"/>
          <w:szCs w:val="21"/>
        </w:rPr>
        <w:t>T</w:t>
      </w:r>
      <w:r w:rsidRPr="005376A3">
        <w:rPr>
          <w:rFonts w:ascii="Arial" w:hAnsi="Arial" w:cs="Arial" w:hint="eastAsia"/>
          <w:b/>
          <w:bCs/>
          <w:sz w:val="20"/>
          <w:szCs w:val="21"/>
        </w:rPr>
        <w:t xml:space="preserve">able 1 </w:t>
      </w:r>
      <w:r w:rsidRPr="005376A3">
        <w:rPr>
          <w:rFonts w:ascii="Arial" w:hAnsi="Arial" w:cs="Arial"/>
          <w:b/>
          <w:bCs/>
          <w:sz w:val="20"/>
          <w:szCs w:val="21"/>
        </w:rPr>
        <w:t xml:space="preserve">Quadratic </w:t>
      </w:r>
      <w:r w:rsidRPr="005376A3">
        <w:rPr>
          <w:rFonts w:ascii="Arial" w:hAnsi="Arial" w:cs="Arial" w:hint="eastAsia"/>
          <w:b/>
          <w:bCs/>
          <w:sz w:val="20"/>
          <w:szCs w:val="21"/>
        </w:rPr>
        <w:t>t</w:t>
      </w:r>
      <w:r w:rsidRPr="005376A3">
        <w:rPr>
          <w:rFonts w:ascii="Arial" w:hAnsi="Arial" w:cs="Arial"/>
          <w:b/>
          <w:bCs/>
          <w:sz w:val="20"/>
          <w:szCs w:val="21"/>
        </w:rPr>
        <w:t xml:space="preserve">erm </w:t>
      </w:r>
      <w:r w:rsidRPr="005376A3">
        <w:rPr>
          <w:rFonts w:ascii="Arial" w:hAnsi="Arial" w:cs="Arial" w:hint="eastAsia"/>
          <w:b/>
          <w:bCs/>
          <w:sz w:val="20"/>
          <w:szCs w:val="21"/>
        </w:rPr>
        <w:t>t</w:t>
      </w:r>
      <w:r w:rsidRPr="005376A3">
        <w:rPr>
          <w:rFonts w:ascii="Arial" w:hAnsi="Arial" w:cs="Arial"/>
          <w:b/>
          <w:bCs/>
          <w:sz w:val="20"/>
          <w:szCs w:val="21"/>
        </w:rPr>
        <w:t>est</w:t>
      </w:r>
      <w:r w:rsidRPr="005376A3">
        <w:rPr>
          <w:rFonts w:ascii="Arial" w:hAnsi="Arial" w:cs="Arial" w:hint="eastAsia"/>
          <w:b/>
          <w:bCs/>
          <w:sz w:val="20"/>
          <w:szCs w:val="21"/>
        </w:rPr>
        <w:t xml:space="preserve"> of each path in the </w:t>
      </w:r>
      <w:r w:rsidRPr="005376A3">
        <w:rPr>
          <w:rFonts w:ascii="Arial" w:hAnsi="Arial" w:cs="Arial"/>
          <w:b/>
          <w:bCs/>
          <w:sz w:val="20"/>
          <w:szCs w:val="21"/>
        </w:rPr>
        <w:t>biological</w:t>
      </w:r>
      <w:r w:rsidRPr="005376A3">
        <w:rPr>
          <w:rFonts w:ascii="Arial" w:hAnsi="Arial" w:cs="Arial" w:hint="eastAsia"/>
          <w:b/>
          <w:bCs/>
          <w:sz w:val="20"/>
          <w:szCs w:val="21"/>
        </w:rPr>
        <w:t xml:space="preserve"> model of sleep</w:t>
      </w:r>
      <w:r w:rsidRPr="005376A3">
        <w:rPr>
          <w:rFonts w:ascii="Arial" w:hAnsi="Arial" w:cs="Arial"/>
          <w:b/>
          <w:bCs/>
          <w:sz w:val="20"/>
          <w:szCs w:val="21"/>
        </w:rPr>
        <w:t>’</w:t>
      </w:r>
      <w:r w:rsidRPr="005376A3">
        <w:rPr>
          <w:rFonts w:ascii="Arial" w:hAnsi="Arial" w:cs="Arial" w:hint="eastAsia"/>
          <w:b/>
          <w:bCs/>
          <w:sz w:val="20"/>
          <w:szCs w:val="21"/>
        </w:rPr>
        <w:t>s effect on attention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345"/>
        <w:gridCol w:w="1915"/>
        <w:gridCol w:w="2064"/>
      </w:tblGrid>
      <w:tr w:rsidR="0017522D" w:rsidRPr="00225E83" w14:paraId="4D490FED" w14:textId="77777777" w:rsidTr="008C2657">
        <w:tc>
          <w:tcPr>
            <w:tcW w:w="2972" w:type="dxa"/>
            <w:vMerge w:val="restart"/>
          </w:tcPr>
          <w:p w14:paraId="6C630843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Path</w:t>
            </w:r>
          </w:p>
        </w:tc>
        <w:tc>
          <w:tcPr>
            <w:tcW w:w="3260" w:type="dxa"/>
            <w:gridSpan w:val="2"/>
          </w:tcPr>
          <w:p w14:paraId="2E40D3AC" w14:textId="0562E611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 xml:space="preserve">Quadratic Term Test </w:t>
            </w:r>
          </w:p>
        </w:tc>
        <w:tc>
          <w:tcPr>
            <w:tcW w:w="2064" w:type="dxa"/>
            <w:vMerge w:val="restart"/>
          </w:tcPr>
          <w:p w14:paraId="08054587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Linear Assumption Holds?</w:t>
            </w:r>
          </w:p>
        </w:tc>
      </w:tr>
      <w:tr w:rsidR="0017522D" w:rsidRPr="00225E83" w14:paraId="667A4B83" w14:textId="77777777" w:rsidTr="008C2657">
        <w:tc>
          <w:tcPr>
            <w:tcW w:w="2972" w:type="dxa"/>
            <w:vMerge/>
          </w:tcPr>
          <w:p w14:paraId="06F4E6AB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C41F35A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  <w:tc>
          <w:tcPr>
            <w:tcW w:w="1915" w:type="dxa"/>
          </w:tcPr>
          <w:p w14:paraId="0921BD9B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Adjusted p-value</w:t>
            </w:r>
          </w:p>
        </w:tc>
        <w:tc>
          <w:tcPr>
            <w:tcW w:w="2064" w:type="dxa"/>
            <w:vMerge/>
          </w:tcPr>
          <w:p w14:paraId="6E73AB2A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:rsidRPr="00225E83" w14:paraId="11E7C9E0" w14:textId="77777777" w:rsidTr="008C2657">
        <w:tc>
          <w:tcPr>
            <w:tcW w:w="2972" w:type="dxa"/>
          </w:tcPr>
          <w:p w14:paraId="7CAFD819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Erythrocyte → WBC</w:t>
            </w:r>
          </w:p>
        </w:tc>
        <w:tc>
          <w:tcPr>
            <w:tcW w:w="1345" w:type="dxa"/>
          </w:tcPr>
          <w:p w14:paraId="01022C6D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0.0699</w:t>
            </w:r>
          </w:p>
        </w:tc>
        <w:tc>
          <w:tcPr>
            <w:tcW w:w="1915" w:type="dxa"/>
          </w:tcPr>
          <w:p w14:paraId="4B6EF018" w14:textId="5B8B2BFE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0.2840</w:t>
            </w:r>
          </w:p>
        </w:tc>
        <w:tc>
          <w:tcPr>
            <w:tcW w:w="2064" w:type="dxa"/>
          </w:tcPr>
          <w:p w14:paraId="79FD9FC9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7522D" w:rsidRPr="00225E83" w14:paraId="1A59DDCB" w14:textId="77777777" w:rsidTr="008C2657">
        <w:tc>
          <w:tcPr>
            <w:tcW w:w="2972" w:type="dxa"/>
          </w:tcPr>
          <w:p w14:paraId="04384090" w14:textId="3384541E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 xml:space="preserve">WBC → </w:t>
            </w:r>
            <w:r w:rsidR="00CB6011" w:rsidRPr="009B6A7C">
              <w:rPr>
                <w:rFonts w:ascii="Arial" w:hAnsi="Arial" w:cs="Arial"/>
                <w:sz w:val="20"/>
                <w:szCs w:val="20"/>
              </w:rPr>
              <w:t>Sleep distraction</w:t>
            </w:r>
          </w:p>
        </w:tc>
        <w:tc>
          <w:tcPr>
            <w:tcW w:w="1345" w:type="dxa"/>
          </w:tcPr>
          <w:p w14:paraId="7D1191E6" w14:textId="1A01834A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0.7620</w:t>
            </w:r>
          </w:p>
        </w:tc>
        <w:tc>
          <w:tcPr>
            <w:tcW w:w="1915" w:type="dxa"/>
          </w:tcPr>
          <w:p w14:paraId="26173099" w14:textId="26801064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0.8408</w:t>
            </w:r>
          </w:p>
        </w:tc>
        <w:tc>
          <w:tcPr>
            <w:tcW w:w="2064" w:type="dxa"/>
          </w:tcPr>
          <w:p w14:paraId="62B023CA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7522D" w:rsidRPr="00225E83" w14:paraId="5FEF8953" w14:textId="77777777" w:rsidTr="008C2657">
        <w:tc>
          <w:tcPr>
            <w:tcW w:w="2972" w:type="dxa"/>
          </w:tcPr>
          <w:p w14:paraId="049E6D52" w14:textId="16AB0B47" w:rsidR="0017522D" w:rsidRPr="009B6A7C" w:rsidRDefault="00CB6011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Sleep distraction</w:t>
            </w:r>
            <w:r w:rsidR="0017522D" w:rsidRPr="0017522D">
              <w:rPr>
                <w:rFonts w:ascii="Arial" w:hAnsi="Arial" w:cs="Arial"/>
                <w:sz w:val="20"/>
                <w:szCs w:val="20"/>
              </w:rPr>
              <w:t xml:space="preserve"> → P1_orienting</w:t>
            </w:r>
          </w:p>
        </w:tc>
        <w:tc>
          <w:tcPr>
            <w:tcW w:w="1345" w:type="dxa"/>
          </w:tcPr>
          <w:p w14:paraId="4CD49B96" w14:textId="06B9F1DB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0.8408</w:t>
            </w:r>
          </w:p>
        </w:tc>
        <w:tc>
          <w:tcPr>
            <w:tcW w:w="1915" w:type="dxa"/>
          </w:tcPr>
          <w:p w14:paraId="469B0941" w14:textId="77777777" w:rsidR="0017522D" w:rsidRPr="0017522D" w:rsidRDefault="0017522D" w:rsidP="0017522D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0.8408</w:t>
            </w:r>
          </w:p>
          <w:p w14:paraId="13619732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21F21A81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7522D" w14:paraId="59EE60D6" w14:textId="77777777" w:rsidTr="008C2657">
        <w:tc>
          <w:tcPr>
            <w:tcW w:w="2972" w:type="dxa"/>
          </w:tcPr>
          <w:p w14:paraId="0374136B" w14:textId="5260696A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P1_orienting → N1_orienting</w:t>
            </w:r>
          </w:p>
        </w:tc>
        <w:tc>
          <w:tcPr>
            <w:tcW w:w="1345" w:type="dxa"/>
          </w:tcPr>
          <w:p w14:paraId="17199051" w14:textId="0146731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0.1136</w:t>
            </w:r>
          </w:p>
        </w:tc>
        <w:tc>
          <w:tcPr>
            <w:tcW w:w="1915" w:type="dxa"/>
          </w:tcPr>
          <w:p w14:paraId="4AC23FDA" w14:textId="5ADDCA1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0.2840</w:t>
            </w:r>
          </w:p>
        </w:tc>
        <w:tc>
          <w:tcPr>
            <w:tcW w:w="2064" w:type="dxa"/>
          </w:tcPr>
          <w:p w14:paraId="19187287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7522D" w14:paraId="7BC296E5" w14:textId="77777777" w:rsidTr="008C2657">
        <w:tc>
          <w:tcPr>
            <w:tcW w:w="2972" w:type="dxa"/>
          </w:tcPr>
          <w:p w14:paraId="2905C9A3" w14:textId="51ACF025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 xml:space="preserve">N1_orienting → </w:t>
            </w:r>
            <w:r w:rsidR="00CB6011" w:rsidRPr="009B6A7C">
              <w:rPr>
                <w:rFonts w:ascii="Arial" w:hAnsi="Arial" w:cs="Arial"/>
                <w:sz w:val="20"/>
                <w:szCs w:val="20"/>
              </w:rPr>
              <w:t>Executive control</w:t>
            </w:r>
          </w:p>
        </w:tc>
        <w:tc>
          <w:tcPr>
            <w:tcW w:w="1345" w:type="dxa"/>
          </w:tcPr>
          <w:p w14:paraId="5E152829" w14:textId="589FB09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0.5352</w:t>
            </w:r>
          </w:p>
        </w:tc>
        <w:tc>
          <w:tcPr>
            <w:tcW w:w="1915" w:type="dxa"/>
          </w:tcPr>
          <w:p w14:paraId="6CB2A4B4" w14:textId="0AE0440F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0.8408</w:t>
            </w:r>
          </w:p>
        </w:tc>
        <w:tc>
          <w:tcPr>
            <w:tcW w:w="2064" w:type="dxa"/>
          </w:tcPr>
          <w:p w14:paraId="1C65783E" w14:textId="77777777" w:rsidR="0017522D" w:rsidRPr="009B6A7C" w:rsidRDefault="0017522D" w:rsidP="00D86E05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3E5EDB7C" w14:textId="77777777" w:rsidR="009B6A7C" w:rsidRDefault="009B6A7C" w:rsidP="0017522D"/>
    <w:p w14:paraId="2397AA3E" w14:textId="77777777" w:rsidR="00DB10CF" w:rsidRDefault="00DB10CF" w:rsidP="0017522D"/>
    <w:p w14:paraId="7A7941F3" w14:textId="77777777" w:rsidR="00DB10CF" w:rsidRDefault="00DB10CF" w:rsidP="0017522D"/>
    <w:p w14:paraId="60675E25" w14:textId="124A4681" w:rsidR="009B6A7C" w:rsidRPr="00895476" w:rsidRDefault="009B6A7C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95476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 w:hint="eastAsia"/>
          <w:sz w:val="20"/>
          <w:szCs w:val="20"/>
        </w:rPr>
        <w:t>shown</w:t>
      </w:r>
      <w:r w:rsidRPr="00895476">
        <w:rPr>
          <w:rFonts w:ascii="Arial" w:hAnsi="Arial" w:cs="Arial"/>
          <w:sz w:val="20"/>
          <w:szCs w:val="20"/>
        </w:rPr>
        <w:t xml:space="preserve"> in Supplementary Figure </w:t>
      </w:r>
      <w:r>
        <w:rPr>
          <w:rFonts w:ascii="Arial" w:hAnsi="Arial" w:cs="Arial" w:hint="eastAsia"/>
          <w:sz w:val="20"/>
          <w:szCs w:val="20"/>
        </w:rPr>
        <w:t>2</w:t>
      </w:r>
      <w:r w:rsidRPr="00895476"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 w:hint="eastAsia"/>
          <w:sz w:val="20"/>
          <w:szCs w:val="20"/>
        </w:rPr>
        <w:t>2C, 2</w:t>
      </w:r>
      <w:r w:rsidRPr="00895476">
        <w:rPr>
          <w:rFonts w:ascii="Arial" w:hAnsi="Arial" w:cs="Arial"/>
          <w:sz w:val="20"/>
          <w:szCs w:val="20"/>
        </w:rPr>
        <w:t xml:space="preserve">D and </w:t>
      </w:r>
      <w:r>
        <w:rPr>
          <w:rFonts w:ascii="Arial" w:hAnsi="Arial" w:cs="Arial" w:hint="eastAsia"/>
          <w:sz w:val="20"/>
          <w:szCs w:val="20"/>
        </w:rPr>
        <w:t>2</w:t>
      </w:r>
      <w:r w:rsidRPr="00895476">
        <w:rPr>
          <w:rFonts w:ascii="Arial" w:hAnsi="Arial" w:cs="Arial"/>
          <w:sz w:val="20"/>
          <w:szCs w:val="20"/>
        </w:rPr>
        <w:t xml:space="preserve">E, LOESS curve closely aligns with linear fit, implying there is a linear relationship between erythrocyte and WBC, </w:t>
      </w:r>
      <w:r w:rsidRPr="009B6A7C">
        <w:rPr>
          <w:rFonts w:ascii="Arial" w:hAnsi="Arial" w:cs="Arial" w:hint="eastAsia"/>
          <w:sz w:val="20"/>
          <w:szCs w:val="20"/>
        </w:rPr>
        <w:t xml:space="preserve">b_CFS </w:t>
      </w:r>
      <w:r>
        <w:rPr>
          <w:rFonts w:ascii="Arial" w:hAnsi="Arial" w:cs="Arial" w:hint="eastAsia"/>
          <w:sz w:val="20"/>
          <w:szCs w:val="20"/>
        </w:rPr>
        <w:t>and</w:t>
      </w:r>
      <w:r w:rsidRPr="009B6A7C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e</w:t>
      </w:r>
      <w:r w:rsidRPr="009B6A7C">
        <w:rPr>
          <w:rFonts w:ascii="Arial" w:hAnsi="Arial" w:cs="Arial" w:hint="eastAsia"/>
          <w:sz w:val="20"/>
          <w:szCs w:val="20"/>
        </w:rPr>
        <w:t>xecutive control</w:t>
      </w:r>
      <w:r>
        <w:rPr>
          <w:rFonts w:ascii="Arial" w:hAnsi="Arial" w:cs="Arial" w:hint="eastAsia"/>
          <w:sz w:val="20"/>
          <w:szCs w:val="20"/>
        </w:rPr>
        <w:t>, e</w:t>
      </w:r>
      <w:r w:rsidRPr="009B6A7C">
        <w:rPr>
          <w:rFonts w:ascii="Arial" w:hAnsi="Arial" w:cs="Arial" w:hint="eastAsia"/>
          <w:sz w:val="20"/>
          <w:szCs w:val="20"/>
        </w:rPr>
        <w:t xml:space="preserve">xecutive control </w:t>
      </w:r>
      <w:r>
        <w:rPr>
          <w:rFonts w:ascii="Arial" w:hAnsi="Arial" w:cs="Arial" w:hint="eastAsia"/>
          <w:sz w:val="20"/>
          <w:szCs w:val="20"/>
        </w:rPr>
        <w:t>and</w:t>
      </w:r>
      <w:r w:rsidRPr="009B6A7C">
        <w:rPr>
          <w:rFonts w:ascii="Arial" w:hAnsi="Arial" w:cs="Arial" w:hint="eastAsia"/>
          <w:sz w:val="20"/>
          <w:szCs w:val="20"/>
        </w:rPr>
        <w:t xml:space="preserve"> PSQI</w:t>
      </w:r>
      <w:r>
        <w:rPr>
          <w:rFonts w:ascii="Arial" w:hAnsi="Arial" w:cs="Arial" w:hint="eastAsia"/>
          <w:sz w:val="20"/>
          <w:szCs w:val="20"/>
        </w:rPr>
        <w:t xml:space="preserve">, </w:t>
      </w:r>
      <w:r w:rsidRPr="009B6A7C">
        <w:rPr>
          <w:rFonts w:ascii="Arial" w:hAnsi="Arial" w:cs="Arial" w:hint="eastAsia"/>
          <w:sz w:val="20"/>
          <w:szCs w:val="20"/>
        </w:rPr>
        <w:t xml:space="preserve">PSQI </w:t>
      </w:r>
      <w:r>
        <w:rPr>
          <w:rFonts w:ascii="Arial" w:hAnsi="Arial" w:cs="Arial" w:hint="eastAsia"/>
          <w:sz w:val="20"/>
          <w:szCs w:val="20"/>
        </w:rPr>
        <w:t>and</w:t>
      </w:r>
      <w:r w:rsidRPr="009B6A7C">
        <w:rPr>
          <w:rFonts w:ascii="Arial" w:hAnsi="Arial" w:cs="Arial" w:hint="eastAsia"/>
          <w:sz w:val="20"/>
          <w:szCs w:val="20"/>
        </w:rPr>
        <w:t xml:space="preserve"> SCL_90</w:t>
      </w:r>
      <w:r w:rsidRPr="00895476">
        <w:rPr>
          <w:rFonts w:ascii="Arial" w:hAnsi="Arial" w:cs="Arial"/>
          <w:sz w:val="20"/>
          <w:szCs w:val="20"/>
        </w:rPr>
        <w:t xml:space="preserve">. </w:t>
      </w:r>
      <w:r w:rsidR="00740775" w:rsidRPr="00895476">
        <w:rPr>
          <w:rFonts w:ascii="Arial" w:hAnsi="Arial" w:cs="Arial"/>
          <w:sz w:val="20"/>
          <w:szCs w:val="20"/>
        </w:rPr>
        <w:t xml:space="preserve">Supplementary </w:t>
      </w:r>
      <w:r w:rsidRPr="00895476">
        <w:rPr>
          <w:rFonts w:ascii="Arial" w:hAnsi="Arial" w:cs="Arial"/>
          <w:sz w:val="20"/>
          <w:szCs w:val="20"/>
        </w:rPr>
        <w:t xml:space="preserve">Figure </w:t>
      </w:r>
      <w:r>
        <w:rPr>
          <w:rFonts w:ascii="Arial" w:hAnsi="Arial" w:cs="Arial" w:hint="eastAsia"/>
          <w:sz w:val="20"/>
          <w:szCs w:val="20"/>
        </w:rPr>
        <w:t>2</w:t>
      </w:r>
      <w:r w:rsidRPr="00895476">
        <w:rPr>
          <w:rFonts w:ascii="Arial" w:hAnsi="Arial" w:cs="Arial"/>
          <w:sz w:val="20"/>
          <w:szCs w:val="20"/>
        </w:rPr>
        <w:t xml:space="preserve">B suggested that there may be a non-linear relationship between WBC and </w:t>
      </w:r>
      <w:r w:rsidRPr="009B6A7C">
        <w:rPr>
          <w:rFonts w:ascii="Arial" w:hAnsi="Arial" w:cs="Arial" w:hint="eastAsia"/>
          <w:sz w:val="20"/>
          <w:szCs w:val="20"/>
        </w:rPr>
        <w:t>b_CFS</w:t>
      </w:r>
      <w:r w:rsidRPr="00895476">
        <w:rPr>
          <w:rFonts w:ascii="Arial" w:hAnsi="Arial" w:cs="Arial"/>
          <w:sz w:val="20"/>
          <w:szCs w:val="20"/>
        </w:rPr>
        <w:t xml:space="preserve">, but quadratic </w:t>
      </w:r>
      <w:r>
        <w:rPr>
          <w:rFonts w:ascii="Arial" w:hAnsi="Arial" w:cs="Arial" w:hint="eastAsia"/>
          <w:sz w:val="20"/>
          <w:szCs w:val="20"/>
        </w:rPr>
        <w:t>t</w:t>
      </w:r>
      <w:r w:rsidRPr="00895476">
        <w:rPr>
          <w:rFonts w:ascii="Arial" w:hAnsi="Arial" w:cs="Arial"/>
          <w:sz w:val="20"/>
          <w:szCs w:val="20"/>
        </w:rPr>
        <w:t xml:space="preserve">erm </w:t>
      </w:r>
      <w:r>
        <w:rPr>
          <w:rFonts w:ascii="Arial" w:hAnsi="Arial" w:cs="Arial" w:hint="eastAsia"/>
          <w:sz w:val="20"/>
          <w:szCs w:val="20"/>
        </w:rPr>
        <w:t>r</w:t>
      </w:r>
      <w:r w:rsidRPr="00895476">
        <w:rPr>
          <w:rFonts w:ascii="Arial" w:hAnsi="Arial" w:cs="Arial"/>
          <w:sz w:val="20"/>
          <w:szCs w:val="20"/>
        </w:rPr>
        <w:t>egression suggested this non-linear relationship is insignificant (FDR adjus</w:t>
      </w:r>
      <w:r w:rsidRPr="009B6A7C">
        <w:rPr>
          <w:rFonts w:ascii="Arial" w:hAnsi="Arial" w:cs="Arial"/>
          <w:sz w:val="20"/>
          <w:szCs w:val="20"/>
        </w:rPr>
        <w:t xml:space="preserve">ted </w:t>
      </w:r>
      <w:r w:rsidRPr="009B6A7C">
        <w:rPr>
          <w:rFonts w:ascii="Arial" w:hAnsi="Arial" w:cs="Arial"/>
          <w:i/>
          <w:iCs/>
          <w:sz w:val="20"/>
          <w:szCs w:val="20"/>
        </w:rPr>
        <w:t>p</w:t>
      </w:r>
      <w:r w:rsidRPr="009B6A7C">
        <w:rPr>
          <w:rFonts w:ascii="Arial" w:hAnsi="Arial" w:cs="Arial"/>
          <w:sz w:val="20"/>
          <w:szCs w:val="20"/>
        </w:rPr>
        <w:t xml:space="preserve"> = </w:t>
      </w:r>
      <w:r w:rsidRPr="0017522D">
        <w:rPr>
          <w:rFonts w:ascii="Arial" w:hAnsi="Arial" w:cs="Arial"/>
          <w:sz w:val="20"/>
          <w:szCs w:val="20"/>
        </w:rPr>
        <w:t>0.4205</w:t>
      </w:r>
      <w:r w:rsidRPr="009B6A7C">
        <w:rPr>
          <w:rFonts w:ascii="Arial" w:hAnsi="Arial" w:cs="Arial"/>
          <w:sz w:val="20"/>
          <w:szCs w:val="20"/>
        </w:rPr>
        <w:t xml:space="preserve">, </w:t>
      </w:r>
      <w:r w:rsidR="00740775">
        <w:rPr>
          <w:rFonts w:ascii="Arial" w:hAnsi="Arial" w:cs="Arial" w:hint="eastAsia"/>
          <w:sz w:val="20"/>
          <w:szCs w:val="20"/>
        </w:rPr>
        <w:t>S</w:t>
      </w:r>
      <w:r w:rsidRPr="009B6A7C">
        <w:rPr>
          <w:rFonts w:ascii="Arial" w:hAnsi="Arial" w:cs="Arial"/>
          <w:sz w:val="20"/>
          <w:szCs w:val="20"/>
        </w:rPr>
        <w:t xml:space="preserve">upplementary </w:t>
      </w:r>
      <w:r w:rsidR="00740775">
        <w:rPr>
          <w:rFonts w:ascii="Arial" w:hAnsi="Arial" w:cs="Arial" w:hint="eastAsia"/>
          <w:sz w:val="20"/>
          <w:szCs w:val="20"/>
        </w:rPr>
        <w:t>T</w:t>
      </w:r>
      <w:r w:rsidRPr="009B6A7C">
        <w:rPr>
          <w:rFonts w:ascii="Arial" w:hAnsi="Arial" w:cs="Arial"/>
          <w:sz w:val="20"/>
          <w:szCs w:val="20"/>
        </w:rPr>
        <w:t xml:space="preserve">able </w:t>
      </w:r>
      <w:r>
        <w:rPr>
          <w:rFonts w:ascii="Arial" w:hAnsi="Arial" w:cs="Arial" w:hint="eastAsia"/>
          <w:sz w:val="20"/>
          <w:szCs w:val="20"/>
        </w:rPr>
        <w:t>2</w:t>
      </w:r>
      <w:r w:rsidRPr="009B6A7C">
        <w:rPr>
          <w:rFonts w:ascii="Arial" w:hAnsi="Arial" w:cs="Arial"/>
          <w:sz w:val="20"/>
          <w:szCs w:val="20"/>
        </w:rPr>
        <w:t>). Besides, the liner relationship of all the other paths were all proved (all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895476">
        <w:rPr>
          <w:rFonts w:ascii="Arial" w:hAnsi="Arial" w:cs="Arial"/>
          <w:sz w:val="20"/>
          <w:szCs w:val="20"/>
        </w:rPr>
        <w:t xml:space="preserve">FDR adjusted </w:t>
      </w:r>
      <w:r w:rsidRPr="00895476"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 w:hint="eastAsia"/>
          <w:i/>
          <w:iCs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&gt; 0.05,</w:t>
      </w:r>
      <w:r w:rsidRPr="00895476">
        <w:rPr>
          <w:rFonts w:ascii="Arial" w:hAnsi="Arial" w:cs="Arial" w:hint="eastAsia"/>
          <w:sz w:val="20"/>
          <w:szCs w:val="20"/>
        </w:rPr>
        <w:t xml:space="preserve"> </w:t>
      </w:r>
      <w:r w:rsidR="00740775"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upplementary </w:t>
      </w:r>
      <w:r w:rsidR="00740775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 w:hint="eastAsia"/>
          <w:sz w:val="20"/>
          <w:szCs w:val="20"/>
        </w:rPr>
        <w:t xml:space="preserve">able 2). To conclude, the linear </w:t>
      </w:r>
      <w:r>
        <w:rPr>
          <w:rFonts w:ascii="Arial" w:hAnsi="Arial" w:cs="Arial"/>
          <w:sz w:val="20"/>
          <w:szCs w:val="20"/>
        </w:rPr>
        <w:t>assumption</w:t>
      </w:r>
      <w:r>
        <w:rPr>
          <w:rFonts w:ascii="Arial" w:hAnsi="Arial" w:cs="Arial" w:hint="eastAsia"/>
          <w:sz w:val="20"/>
          <w:szCs w:val="20"/>
        </w:rPr>
        <w:t xml:space="preserve"> of the attention to sleep model was also confirmed.</w:t>
      </w:r>
    </w:p>
    <w:p w14:paraId="5C6124B2" w14:textId="77777777" w:rsidR="00CB6011" w:rsidRPr="009B6A7C" w:rsidRDefault="00CB6011" w:rsidP="0017522D"/>
    <w:p w14:paraId="7283D52B" w14:textId="1D7BABA3" w:rsidR="00CB6011" w:rsidRDefault="00DB10CF" w:rsidP="0017522D">
      <w:r>
        <w:rPr>
          <w:rFonts w:hint="eastAsia"/>
          <w:noProof/>
        </w:rPr>
        <w:lastRenderedPageBreak/>
        <w:drawing>
          <wp:inline distT="0" distB="0" distL="0" distR="0" wp14:anchorId="2C743B7F" wp14:editId="18E3EE88">
            <wp:extent cx="5274310" cy="5502910"/>
            <wp:effectExtent l="0" t="0" r="2540" b="2540"/>
            <wp:docPr id="3262703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70361" name="图片 3262703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AC663" w14:textId="241B47A6" w:rsidR="009B6A7C" w:rsidRPr="009B6A7C" w:rsidRDefault="009B6A7C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B6A7C">
        <w:rPr>
          <w:rFonts w:ascii="Arial" w:hAnsi="Arial" w:cs="Arial"/>
          <w:b/>
          <w:bCs/>
          <w:sz w:val="20"/>
          <w:szCs w:val="20"/>
        </w:rPr>
        <w:t>Supplementary Figure 2</w:t>
      </w:r>
      <w:r w:rsidRPr="009B6A7C">
        <w:rPr>
          <w:rFonts w:ascii="Arial" w:hAnsi="Arial" w:cs="Arial"/>
          <w:sz w:val="20"/>
          <w:szCs w:val="20"/>
        </w:rPr>
        <w:t xml:space="preserve"> </w:t>
      </w:r>
      <w:r w:rsidR="005C12EB" w:rsidRPr="005C12EB">
        <w:rPr>
          <w:rFonts w:ascii="Arial" w:hAnsi="Arial" w:cs="Arial"/>
          <w:b/>
          <w:bCs/>
          <w:sz w:val="20"/>
          <w:szCs w:val="21"/>
        </w:rPr>
        <w:t xml:space="preserve">Scatterplot </w:t>
      </w:r>
      <w:r w:rsidR="005C12EB" w:rsidRPr="005C12EB">
        <w:rPr>
          <w:rFonts w:ascii="Arial" w:hAnsi="Arial" w:cs="Arial" w:hint="eastAsia"/>
          <w:b/>
          <w:bCs/>
          <w:sz w:val="20"/>
          <w:szCs w:val="21"/>
        </w:rPr>
        <w:t xml:space="preserve">inspection of the linear relationship of </w:t>
      </w:r>
      <w:r w:rsidR="005C12EB" w:rsidRPr="005C12EB">
        <w:rPr>
          <w:rFonts w:ascii="Arial" w:hAnsi="Arial" w:cs="Arial"/>
          <w:b/>
          <w:bCs/>
          <w:sz w:val="20"/>
          <w:szCs w:val="20"/>
        </w:rPr>
        <w:t>Erythrocyte</w:t>
      </w:r>
      <w:r w:rsidR="005C12EB" w:rsidRPr="005C12EB">
        <w:rPr>
          <w:rFonts w:ascii="Arial" w:hAnsi="Arial" w:cs="Arial" w:hint="eastAsia"/>
          <w:b/>
          <w:bCs/>
          <w:sz w:val="20"/>
          <w:szCs w:val="20"/>
        </w:rPr>
        <w:t xml:space="preserve"> to SCL_90 model.</w:t>
      </w:r>
      <w:r w:rsidR="005C12EB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9B6A7C">
        <w:rPr>
          <w:rFonts w:ascii="Arial" w:hAnsi="Arial" w:cs="Arial"/>
          <w:sz w:val="20"/>
          <w:szCs w:val="20"/>
        </w:rPr>
        <w:t xml:space="preserve">Scatterplot of </w:t>
      </w:r>
      <w:r w:rsidRPr="009B6A7C">
        <w:rPr>
          <w:rFonts w:ascii="Arial" w:hAnsi="Arial" w:cs="Arial"/>
          <w:b/>
          <w:bCs/>
          <w:sz w:val="20"/>
          <w:szCs w:val="20"/>
        </w:rPr>
        <w:t>A</w:t>
      </w:r>
      <w:r w:rsidRPr="009B6A7C">
        <w:rPr>
          <w:rFonts w:ascii="Arial" w:hAnsi="Arial" w:cs="Arial"/>
          <w:sz w:val="20"/>
          <w:szCs w:val="20"/>
        </w:rPr>
        <w:t xml:space="preserve"> erythrocyte and WBC </w:t>
      </w:r>
      <w:r w:rsidRPr="009B6A7C">
        <w:rPr>
          <w:rFonts w:ascii="Arial" w:hAnsi="Arial" w:cs="Arial"/>
          <w:b/>
          <w:bCs/>
          <w:sz w:val="20"/>
          <w:szCs w:val="20"/>
        </w:rPr>
        <w:t>B</w:t>
      </w:r>
      <w:r w:rsidRPr="009B6A7C">
        <w:rPr>
          <w:rFonts w:ascii="Arial" w:hAnsi="Arial" w:cs="Arial"/>
          <w:sz w:val="20"/>
          <w:szCs w:val="20"/>
        </w:rPr>
        <w:t xml:space="preserve"> </w:t>
      </w:r>
      <w:r w:rsidRPr="0017522D">
        <w:rPr>
          <w:rFonts w:ascii="Arial" w:hAnsi="Arial" w:cs="Arial"/>
          <w:sz w:val="20"/>
          <w:szCs w:val="20"/>
        </w:rPr>
        <w:t xml:space="preserve">WBC </w:t>
      </w:r>
      <w:r w:rsidRPr="009B6A7C">
        <w:rPr>
          <w:rFonts w:ascii="Arial" w:hAnsi="Arial" w:cs="Arial"/>
          <w:sz w:val="20"/>
          <w:szCs w:val="20"/>
        </w:rPr>
        <w:t>and</w:t>
      </w:r>
      <w:r w:rsidRPr="0017522D">
        <w:rPr>
          <w:rFonts w:ascii="Arial" w:hAnsi="Arial" w:cs="Arial"/>
          <w:sz w:val="20"/>
          <w:szCs w:val="20"/>
        </w:rPr>
        <w:t xml:space="preserve"> </w:t>
      </w:r>
      <w:r w:rsidRPr="009B6A7C">
        <w:rPr>
          <w:rFonts w:ascii="Arial" w:hAnsi="Arial" w:cs="Arial"/>
          <w:sz w:val="20"/>
          <w:szCs w:val="20"/>
        </w:rPr>
        <w:t xml:space="preserve">b_CFS </w:t>
      </w:r>
      <w:r w:rsidRPr="009B6A7C">
        <w:rPr>
          <w:rFonts w:ascii="Arial" w:hAnsi="Arial" w:cs="Arial"/>
          <w:b/>
          <w:bCs/>
          <w:sz w:val="20"/>
          <w:szCs w:val="20"/>
        </w:rPr>
        <w:t>C</w:t>
      </w:r>
      <w:r w:rsidRPr="009B6A7C">
        <w:rPr>
          <w:rFonts w:ascii="Arial" w:hAnsi="Arial" w:cs="Arial"/>
          <w:sz w:val="20"/>
          <w:szCs w:val="20"/>
        </w:rPr>
        <w:t xml:space="preserve"> b_CFS</w:t>
      </w:r>
      <w:r w:rsidRPr="0017522D">
        <w:rPr>
          <w:rFonts w:ascii="Arial" w:hAnsi="Arial" w:cs="Arial"/>
          <w:sz w:val="20"/>
          <w:szCs w:val="20"/>
        </w:rPr>
        <w:t xml:space="preserve"> </w:t>
      </w:r>
      <w:r w:rsidRPr="009B6A7C">
        <w:rPr>
          <w:rFonts w:ascii="Arial" w:hAnsi="Arial" w:cs="Arial"/>
          <w:sz w:val="20"/>
          <w:szCs w:val="20"/>
        </w:rPr>
        <w:t>and</w:t>
      </w:r>
      <w:r w:rsidRPr="001752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E</w:t>
      </w:r>
      <w:r w:rsidRPr="009B6A7C">
        <w:rPr>
          <w:rFonts w:ascii="Arial" w:hAnsi="Arial" w:cs="Arial"/>
          <w:sz w:val="20"/>
          <w:szCs w:val="20"/>
        </w:rPr>
        <w:t xml:space="preserve">xecutive control </w:t>
      </w:r>
      <w:r w:rsidRPr="009B6A7C">
        <w:rPr>
          <w:rFonts w:ascii="Arial" w:hAnsi="Arial" w:cs="Arial"/>
          <w:b/>
          <w:bCs/>
          <w:sz w:val="20"/>
          <w:szCs w:val="20"/>
        </w:rPr>
        <w:t>D</w:t>
      </w:r>
      <w:r w:rsidRPr="009B6A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E</w:t>
      </w:r>
      <w:r w:rsidRPr="009B6A7C">
        <w:rPr>
          <w:rFonts w:ascii="Arial" w:hAnsi="Arial" w:cs="Arial"/>
          <w:sz w:val="20"/>
          <w:szCs w:val="20"/>
        </w:rPr>
        <w:t>xecutive control</w:t>
      </w:r>
      <w:r w:rsidRPr="0017522D">
        <w:rPr>
          <w:rFonts w:ascii="Arial" w:hAnsi="Arial" w:cs="Arial"/>
          <w:sz w:val="20"/>
          <w:szCs w:val="20"/>
        </w:rPr>
        <w:t xml:space="preserve"> </w:t>
      </w:r>
      <w:r w:rsidRPr="009B6A7C">
        <w:rPr>
          <w:rFonts w:ascii="Arial" w:hAnsi="Arial" w:cs="Arial"/>
          <w:sz w:val="20"/>
          <w:szCs w:val="20"/>
        </w:rPr>
        <w:t>and</w:t>
      </w:r>
      <w:r w:rsidRPr="0017522D">
        <w:rPr>
          <w:rFonts w:ascii="Arial" w:hAnsi="Arial" w:cs="Arial"/>
          <w:sz w:val="20"/>
          <w:szCs w:val="20"/>
        </w:rPr>
        <w:t xml:space="preserve"> </w:t>
      </w:r>
      <w:r w:rsidRPr="009B6A7C">
        <w:rPr>
          <w:rFonts w:ascii="Arial" w:hAnsi="Arial" w:cs="Arial"/>
          <w:sz w:val="20"/>
          <w:szCs w:val="20"/>
        </w:rPr>
        <w:t xml:space="preserve">PSQI </w:t>
      </w:r>
      <w:r w:rsidRPr="009B6A7C">
        <w:rPr>
          <w:rFonts w:ascii="Arial" w:hAnsi="Arial" w:cs="Arial"/>
          <w:b/>
          <w:bCs/>
          <w:sz w:val="20"/>
          <w:szCs w:val="20"/>
        </w:rPr>
        <w:t>E</w:t>
      </w:r>
      <w:r w:rsidRPr="009B6A7C">
        <w:rPr>
          <w:rFonts w:ascii="Arial" w:hAnsi="Arial" w:cs="Arial"/>
          <w:sz w:val="20"/>
          <w:szCs w:val="20"/>
        </w:rPr>
        <w:t xml:space="preserve"> PSQI</w:t>
      </w:r>
      <w:r w:rsidRPr="0017522D">
        <w:rPr>
          <w:rFonts w:ascii="Arial" w:hAnsi="Arial" w:cs="Arial"/>
          <w:sz w:val="20"/>
          <w:szCs w:val="20"/>
        </w:rPr>
        <w:t xml:space="preserve"> </w:t>
      </w:r>
      <w:r w:rsidRPr="009B6A7C">
        <w:rPr>
          <w:rFonts w:ascii="Arial" w:hAnsi="Arial" w:cs="Arial"/>
          <w:sz w:val="20"/>
          <w:szCs w:val="20"/>
        </w:rPr>
        <w:t>and SCL_90 with linear fit (blue line) and nonparametric locally estimated scatterplot smoothing (LOESS) smooth curve (red line).</w:t>
      </w:r>
    </w:p>
    <w:p w14:paraId="79798D3E" w14:textId="77777777" w:rsidR="009B6A7C" w:rsidRDefault="009B6A7C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3FFB3C99" w14:textId="77777777" w:rsidR="00DB10CF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D22F57D" w14:textId="77777777" w:rsidR="00DB10CF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D7D03E5" w14:textId="77777777" w:rsidR="00DB10CF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57BFD6F" w14:textId="77777777" w:rsidR="00DB10CF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0BB38337" w14:textId="77777777" w:rsidR="00DB10CF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0392F1E2" w14:textId="77777777" w:rsidR="00DB10CF" w:rsidRPr="009B6A7C" w:rsidRDefault="00DB10CF" w:rsidP="00EC4B19">
      <w:pPr>
        <w:snapToGri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457AD56E" w14:textId="22E697BB" w:rsidR="009B6A7C" w:rsidRPr="009B6A7C" w:rsidRDefault="009B6A7C" w:rsidP="00EC4B19">
      <w:pPr>
        <w:snapToGrid w:val="0"/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6A7C">
        <w:rPr>
          <w:rFonts w:ascii="Arial" w:hAnsi="Arial" w:cs="Arial"/>
          <w:b/>
          <w:bCs/>
          <w:sz w:val="20"/>
          <w:szCs w:val="20"/>
        </w:rPr>
        <w:lastRenderedPageBreak/>
        <w:t>Supplementary Table 2 Quadratic term test of each path in the biological model of attention’s effect on sleep</w:t>
      </w:r>
    </w:p>
    <w:tbl>
      <w:tblPr>
        <w:tblStyle w:val="TableGrid"/>
        <w:tblpPr w:leftFromText="180" w:rightFromText="180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2830"/>
        <w:gridCol w:w="1487"/>
        <w:gridCol w:w="1915"/>
        <w:gridCol w:w="2064"/>
      </w:tblGrid>
      <w:tr w:rsidR="00CB6011" w:rsidRPr="009B6A7C" w14:paraId="0E587C80" w14:textId="77777777" w:rsidTr="00CB6011">
        <w:tc>
          <w:tcPr>
            <w:tcW w:w="2830" w:type="dxa"/>
            <w:vMerge w:val="restart"/>
          </w:tcPr>
          <w:p w14:paraId="6F92D454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Path</w:t>
            </w:r>
          </w:p>
        </w:tc>
        <w:tc>
          <w:tcPr>
            <w:tcW w:w="3402" w:type="dxa"/>
            <w:gridSpan w:val="2"/>
          </w:tcPr>
          <w:p w14:paraId="6EE89E16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 xml:space="preserve">Quadratic Term Test </w:t>
            </w:r>
          </w:p>
        </w:tc>
        <w:tc>
          <w:tcPr>
            <w:tcW w:w="2064" w:type="dxa"/>
            <w:vMerge w:val="restart"/>
          </w:tcPr>
          <w:p w14:paraId="6D05B0B2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Linear Assumption Holds?</w:t>
            </w:r>
          </w:p>
        </w:tc>
      </w:tr>
      <w:tr w:rsidR="00CB6011" w:rsidRPr="009B6A7C" w14:paraId="6C18FA18" w14:textId="77777777" w:rsidTr="00CB6011">
        <w:tc>
          <w:tcPr>
            <w:tcW w:w="2830" w:type="dxa"/>
            <w:vMerge/>
          </w:tcPr>
          <w:p w14:paraId="73ACFA43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14:paraId="4E09CC48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  <w:tc>
          <w:tcPr>
            <w:tcW w:w="1915" w:type="dxa"/>
          </w:tcPr>
          <w:p w14:paraId="68EECE61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Adjusted p-value</w:t>
            </w:r>
          </w:p>
        </w:tc>
        <w:tc>
          <w:tcPr>
            <w:tcW w:w="2064" w:type="dxa"/>
            <w:vMerge/>
          </w:tcPr>
          <w:p w14:paraId="2C70527B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011" w:rsidRPr="009B6A7C" w14:paraId="45074F8F" w14:textId="77777777" w:rsidTr="00CB6011">
        <w:tc>
          <w:tcPr>
            <w:tcW w:w="2830" w:type="dxa"/>
          </w:tcPr>
          <w:p w14:paraId="153F5A84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Erythrocyte → WBC</w:t>
            </w:r>
          </w:p>
        </w:tc>
        <w:tc>
          <w:tcPr>
            <w:tcW w:w="1487" w:type="dxa"/>
          </w:tcPr>
          <w:p w14:paraId="3A802DBB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0.0699</w:t>
            </w:r>
          </w:p>
        </w:tc>
        <w:tc>
          <w:tcPr>
            <w:tcW w:w="1915" w:type="dxa"/>
          </w:tcPr>
          <w:p w14:paraId="6267261D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0.3495</w:t>
            </w:r>
          </w:p>
        </w:tc>
        <w:tc>
          <w:tcPr>
            <w:tcW w:w="2064" w:type="dxa"/>
          </w:tcPr>
          <w:p w14:paraId="2A2E15CE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B6011" w:rsidRPr="009B6A7C" w14:paraId="5DADBDCB" w14:textId="77777777" w:rsidTr="00CB6011">
        <w:tc>
          <w:tcPr>
            <w:tcW w:w="2830" w:type="dxa"/>
          </w:tcPr>
          <w:p w14:paraId="448404FB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WBC → b_CFS</w:t>
            </w:r>
          </w:p>
        </w:tc>
        <w:tc>
          <w:tcPr>
            <w:tcW w:w="1487" w:type="dxa"/>
          </w:tcPr>
          <w:p w14:paraId="17BFD778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0.3364</w:t>
            </w:r>
          </w:p>
        </w:tc>
        <w:tc>
          <w:tcPr>
            <w:tcW w:w="1915" w:type="dxa"/>
          </w:tcPr>
          <w:p w14:paraId="35B9D89B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0.4205</w:t>
            </w:r>
          </w:p>
        </w:tc>
        <w:tc>
          <w:tcPr>
            <w:tcW w:w="2064" w:type="dxa"/>
          </w:tcPr>
          <w:p w14:paraId="35B78D1F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B6011" w:rsidRPr="009B6A7C" w14:paraId="52B0C3DB" w14:textId="77777777" w:rsidTr="00CB6011">
        <w:tc>
          <w:tcPr>
            <w:tcW w:w="2830" w:type="dxa"/>
          </w:tcPr>
          <w:p w14:paraId="6D570549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b_CFS → Executive control</w:t>
            </w:r>
          </w:p>
        </w:tc>
        <w:tc>
          <w:tcPr>
            <w:tcW w:w="1487" w:type="dxa"/>
          </w:tcPr>
          <w:p w14:paraId="3E72BAFB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0.6045</w:t>
            </w:r>
          </w:p>
        </w:tc>
        <w:tc>
          <w:tcPr>
            <w:tcW w:w="1915" w:type="dxa"/>
          </w:tcPr>
          <w:p w14:paraId="527BF398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0.6045</w:t>
            </w:r>
          </w:p>
        </w:tc>
        <w:tc>
          <w:tcPr>
            <w:tcW w:w="2064" w:type="dxa"/>
          </w:tcPr>
          <w:p w14:paraId="783CE1D6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B6011" w:rsidRPr="009B6A7C" w14:paraId="09036C43" w14:textId="77777777" w:rsidTr="00CB6011">
        <w:tc>
          <w:tcPr>
            <w:tcW w:w="2830" w:type="dxa"/>
          </w:tcPr>
          <w:p w14:paraId="62567ECD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Executive control → PSQI</w:t>
            </w:r>
          </w:p>
        </w:tc>
        <w:tc>
          <w:tcPr>
            <w:tcW w:w="1487" w:type="dxa"/>
          </w:tcPr>
          <w:p w14:paraId="2B4B5AF0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0.2763</w:t>
            </w:r>
          </w:p>
        </w:tc>
        <w:tc>
          <w:tcPr>
            <w:tcW w:w="1915" w:type="dxa"/>
          </w:tcPr>
          <w:p w14:paraId="04EC6236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0.4205</w:t>
            </w:r>
          </w:p>
        </w:tc>
        <w:tc>
          <w:tcPr>
            <w:tcW w:w="2064" w:type="dxa"/>
          </w:tcPr>
          <w:p w14:paraId="7B806DDB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CB6011" w:rsidRPr="009B6A7C" w14:paraId="7A151107" w14:textId="77777777" w:rsidTr="00CB6011">
        <w:tc>
          <w:tcPr>
            <w:tcW w:w="2830" w:type="dxa"/>
          </w:tcPr>
          <w:p w14:paraId="635D0A00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PSQI → SCL_90</w:t>
            </w:r>
          </w:p>
        </w:tc>
        <w:tc>
          <w:tcPr>
            <w:tcW w:w="1487" w:type="dxa"/>
          </w:tcPr>
          <w:p w14:paraId="03557CAB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0.2439</w:t>
            </w:r>
          </w:p>
        </w:tc>
        <w:tc>
          <w:tcPr>
            <w:tcW w:w="1915" w:type="dxa"/>
          </w:tcPr>
          <w:p w14:paraId="019C575C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17522D">
              <w:rPr>
                <w:rFonts w:ascii="Arial" w:hAnsi="Arial" w:cs="Arial"/>
                <w:sz w:val="20"/>
                <w:szCs w:val="20"/>
              </w:rPr>
              <w:t>0.4205</w:t>
            </w:r>
          </w:p>
        </w:tc>
        <w:tc>
          <w:tcPr>
            <w:tcW w:w="2064" w:type="dxa"/>
          </w:tcPr>
          <w:p w14:paraId="65D0107A" w14:textId="77777777" w:rsidR="00CB6011" w:rsidRPr="009B6A7C" w:rsidRDefault="00CB6011" w:rsidP="00CB6011">
            <w:pPr>
              <w:rPr>
                <w:rFonts w:ascii="Arial" w:hAnsi="Arial" w:cs="Arial"/>
                <w:sz w:val="20"/>
                <w:szCs w:val="20"/>
              </w:rPr>
            </w:pPr>
            <w:r w:rsidRPr="009B6A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7FE2CBBB" w14:textId="77777777" w:rsidR="0017522D" w:rsidRDefault="0017522D"/>
    <w:p w14:paraId="05BBC33B" w14:textId="77777777" w:rsidR="002478C4" w:rsidRDefault="002478C4"/>
    <w:p w14:paraId="3FCE05BB" w14:textId="7D82D697" w:rsidR="002478C4" w:rsidRPr="00EC4B19" w:rsidRDefault="002478C4" w:rsidP="00EC4B19">
      <w:pPr>
        <w:snapToGrid w:val="0"/>
        <w:spacing w:after="0" w:line="480" w:lineRule="auto"/>
        <w:rPr>
          <w:rFonts w:ascii="Arial" w:hAnsi="Arial" w:cs="Arial"/>
          <w:b/>
          <w:bCs/>
          <w:sz w:val="32"/>
          <w:szCs w:val="32"/>
        </w:rPr>
      </w:pPr>
      <w:r w:rsidRPr="00EC4B19">
        <w:rPr>
          <w:rFonts w:ascii="Arial" w:hAnsi="Arial" w:cs="Arial" w:hint="eastAsia"/>
          <w:b/>
          <w:bCs/>
          <w:sz w:val="32"/>
          <w:szCs w:val="32"/>
        </w:rPr>
        <w:t>References</w:t>
      </w:r>
    </w:p>
    <w:p w14:paraId="4DA48CD8" w14:textId="07A928FA" w:rsidR="002478C4" w:rsidRPr="002478C4" w:rsidRDefault="002478C4" w:rsidP="00EC4B19">
      <w:pPr>
        <w:pStyle w:val="Bibliography"/>
        <w:snapToGrid w:val="0"/>
        <w:spacing w:after="0" w:line="480" w:lineRule="auto"/>
        <w:ind w:left="357" w:firstLine="357"/>
        <w:rPr>
          <w:rFonts w:ascii="Arial" w:hAnsi="Arial" w:cs="Arial"/>
          <w:sz w:val="20"/>
          <w:szCs w:val="20"/>
        </w:rPr>
      </w:pPr>
      <w:r w:rsidRPr="002478C4">
        <w:rPr>
          <w:rFonts w:ascii="Arial" w:hAnsi="Arial" w:cs="Arial"/>
          <w:sz w:val="20"/>
          <w:szCs w:val="20"/>
        </w:rPr>
        <w:t>1.</w:t>
      </w:r>
      <w:r w:rsidRPr="002478C4">
        <w:rPr>
          <w:rFonts w:ascii="Arial" w:hAnsi="Arial" w:cs="Arial"/>
          <w:sz w:val="20"/>
          <w:szCs w:val="20"/>
        </w:rPr>
        <w:tab/>
        <w:t>Cleveland WS. Visualizing Data. Hobart Press; 1993.</w:t>
      </w:r>
    </w:p>
    <w:p w14:paraId="3CBC1A14" w14:textId="77777777" w:rsidR="002478C4" w:rsidRPr="002478C4" w:rsidRDefault="002478C4" w:rsidP="00EC4B19">
      <w:pPr>
        <w:pStyle w:val="Bibliography"/>
        <w:snapToGrid w:val="0"/>
        <w:spacing w:after="0" w:line="480" w:lineRule="auto"/>
        <w:ind w:left="357" w:firstLine="357"/>
        <w:rPr>
          <w:rFonts w:ascii="Arial" w:hAnsi="Arial" w:cs="Arial"/>
          <w:sz w:val="20"/>
          <w:szCs w:val="20"/>
        </w:rPr>
      </w:pPr>
      <w:r w:rsidRPr="002478C4">
        <w:rPr>
          <w:rFonts w:ascii="Arial" w:hAnsi="Arial" w:cs="Arial"/>
          <w:sz w:val="20"/>
          <w:szCs w:val="20"/>
        </w:rPr>
        <w:t>2.</w:t>
      </w:r>
      <w:r w:rsidRPr="002478C4">
        <w:rPr>
          <w:rFonts w:ascii="Arial" w:hAnsi="Arial" w:cs="Arial"/>
          <w:sz w:val="20"/>
          <w:szCs w:val="20"/>
        </w:rPr>
        <w:tab/>
        <w:t>Cohen J, Cohen P, West SG, Aiken LS. Applied Multiple Regression/Correlation Analysis for the Behavioral Sciences. 3rd ed. Routledge; 2013. doi:10.4324/9780203774441</w:t>
      </w:r>
    </w:p>
    <w:p w14:paraId="1741426A" w14:textId="77777777" w:rsidR="002478C4" w:rsidRPr="002478C4" w:rsidRDefault="002478C4" w:rsidP="00EC4B19">
      <w:pPr>
        <w:pStyle w:val="Bibliography"/>
        <w:snapToGrid w:val="0"/>
        <w:spacing w:after="0" w:line="480" w:lineRule="auto"/>
        <w:ind w:left="357" w:firstLine="357"/>
        <w:rPr>
          <w:rFonts w:ascii="Arial" w:hAnsi="Arial" w:cs="Arial"/>
          <w:sz w:val="20"/>
          <w:szCs w:val="20"/>
        </w:rPr>
      </w:pPr>
      <w:r w:rsidRPr="002478C4">
        <w:rPr>
          <w:rFonts w:ascii="Arial" w:hAnsi="Arial" w:cs="Arial"/>
          <w:sz w:val="20"/>
          <w:szCs w:val="20"/>
        </w:rPr>
        <w:t>3.</w:t>
      </w:r>
      <w:r w:rsidRPr="002478C4">
        <w:rPr>
          <w:rFonts w:ascii="Arial" w:hAnsi="Arial" w:cs="Arial"/>
          <w:sz w:val="20"/>
          <w:szCs w:val="20"/>
        </w:rPr>
        <w:tab/>
        <w:t>Benjamini Y, Hochberg Y. Controlling the False Discovery Rate: A Practical and Powerful Approach to Multiple Testing. Journal of the Royal Statistical Society: Series B (Methodological). 1995;57(1):289-300. doi:10.1111/j.2517-6161.1995.tb02031.x</w:t>
      </w:r>
    </w:p>
    <w:p w14:paraId="0EBB52E8" w14:textId="2340CA9A" w:rsidR="002478C4" w:rsidRPr="00EC4B19" w:rsidRDefault="002478C4"/>
    <w:sectPr w:rsidR="002478C4" w:rsidRPr="00EC4B19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7C49" w14:textId="77777777" w:rsidR="007F7006" w:rsidRDefault="007F7006" w:rsidP="00EC4B19">
      <w:pPr>
        <w:spacing w:after="0" w:line="240" w:lineRule="auto"/>
      </w:pPr>
      <w:r>
        <w:separator/>
      </w:r>
    </w:p>
  </w:endnote>
  <w:endnote w:type="continuationSeparator" w:id="0">
    <w:p w14:paraId="1DDD9537" w14:textId="77777777" w:rsidR="007F7006" w:rsidRDefault="007F7006" w:rsidP="00EC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54C3" w14:textId="6D6FC353" w:rsidR="00475660" w:rsidRDefault="004756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53AD7" wp14:editId="4383A8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125925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9ACB6" w14:textId="3E0396B6" w:rsidR="00475660" w:rsidRPr="00475660" w:rsidRDefault="00475660" w:rsidP="0047566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56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53A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19ACB6" w14:textId="3E0396B6" w:rsidR="00475660" w:rsidRPr="00475660" w:rsidRDefault="00475660" w:rsidP="0047566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56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768A" w14:textId="36F90BDD" w:rsidR="00475660" w:rsidRDefault="004756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48E166" wp14:editId="6C79D99B">
              <wp:simplePos x="1143000" y="9804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6849808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8346D" w14:textId="241FF6D1" w:rsidR="00475660" w:rsidRPr="00475660" w:rsidRDefault="00475660" w:rsidP="0047566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56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8E1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298346D" w14:textId="241FF6D1" w:rsidR="00475660" w:rsidRPr="00475660" w:rsidRDefault="00475660" w:rsidP="0047566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56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4BC2" w14:textId="6AA674AA" w:rsidR="00475660" w:rsidRDefault="004756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68251" wp14:editId="4DAD0B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0292013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8E696" w14:textId="5302CF60" w:rsidR="00475660" w:rsidRPr="00475660" w:rsidRDefault="00475660" w:rsidP="0047566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56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682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488E696" w14:textId="5302CF60" w:rsidR="00475660" w:rsidRPr="00475660" w:rsidRDefault="00475660" w:rsidP="0047566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56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95E8" w14:textId="77777777" w:rsidR="007F7006" w:rsidRDefault="007F7006" w:rsidP="00EC4B19">
      <w:pPr>
        <w:spacing w:after="0" w:line="240" w:lineRule="auto"/>
      </w:pPr>
      <w:r>
        <w:separator/>
      </w:r>
    </w:p>
  </w:footnote>
  <w:footnote w:type="continuationSeparator" w:id="0">
    <w:p w14:paraId="5AC32F12" w14:textId="77777777" w:rsidR="007F7006" w:rsidRDefault="007F7006" w:rsidP="00EC4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72"/>
    <w:rsid w:val="000533F0"/>
    <w:rsid w:val="000F31F6"/>
    <w:rsid w:val="0017522D"/>
    <w:rsid w:val="00225E83"/>
    <w:rsid w:val="002478C4"/>
    <w:rsid w:val="00310AFF"/>
    <w:rsid w:val="003547A5"/>
    <w:rsid w:val="0041541B"/>
    <w:rsid w:val="00475660"/>
    <w:rsid w:val="005376A3"/>
    <w:rsid w:val="005C12EB"/>
    <w:rsid w:val="005F333D"/>
    <w:rsid w:val="0066578C"/>
    <w:rsid w:val="006B2B72"/>
    <w:rsid w:val="00740775"/>
    <w:rsid w:val="007A1744"/>
    <w:rsid w:val="007C6719"/>
    <w:rsid w:val="007F7006"/>
    <w:rsid w:val="00895476"/>
    <w:rsid w:val="008B018A"/>
    <w:rsid w:val="008C2657"/>
    <w:rsid w:val="00921510"/>
    <w:rsid w:val="009B6A7C"/>
    <w:rsid w:val="00A3108D"/>
    <w:rsid w:val="00A4425A"/>
    <w:rsid w:val="00CB6011"/>
    <w:rsid w:val="00D45C4F"/>
    <w:rsid w:val="00D5442E"/>
    <w:rsid w:val="00DB10CF"/>
    <w:rsid w:val="00DB6C36"/>
    <w:rsid w:val="00E13FFC"/>
    <w:rsid w:val="00EC4B19"/>
    <w:rsid w:val="00E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77F54"/>
  <w15:chartTrackingRefBased/>
  <w15:docId w15:val="{A5CFF4A9-2C53-4342-95E0-3892716D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2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B7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B72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B7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B7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B7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B7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B2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B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A3108D"/>
  </w:style>
  <w:style w:type="character" w:customStyle="1" w:styleId="mord">
    <w:name w:val="mord"/>
    <w:basedOn w:val="DefaultParagraphFont"/>
    <w:rsid w:val="00A3108D"/>
  </w:style>
  <w:style w:type="character" w:customStyle="1" w:styleId="mrel">
    <w:name w:val="mrel"/>
    <w:basedOn w:val="DefaultParagraphFont"/>
    <w:rsid w:val="00A3108D"/>
  </w:style>
  <w:style w:type="character" w:customStyle="1" w:styleId="vlist-s">
    <w:name w:val="vlist-s"/>
    <w:basedOn w:val="DefaultParagraphFont"/>
    <w:rsid w:val="00A3108D"/>
  </w:style>
  <w:style w:type="character" w:customStyle="1" w:styleId="mbin">
    <w:name w:val="mbin"/>
    <w:basedOn w:val="DefaultParagraphFont"/>
    <w:rsid w:val="00A3108D"/>
  </w:style>
  <w:style w:type="paragraph" w:styleId="Bibliography">
    <w:name w:val="Bibliography"/>
    <w:basedOn w:val="Normal"/>
    <w:next w:val="Normal"/>
    <w:uiPriority w:val="37"/>
    <w:unhideWhenUsed/>
    <w:rsid w:val="002478C4"/>
    <w:pPr>
      <w:tabs>
        <w:tab w:val="left" w:pos="264"/>
      </w:tabs>
      <w:spacing w:after="240" w:line="240" w:lineRule="auto"/>
      <w:ind w:left="264" w:hanging="264"/>
    </w:pPr>
  </w:style>
  <w:style w:type="paragraph" w:styleId="Header">
    <w:name w:val="header"/>
    <w:basedOn w:val="Normal"/>
    <w:link w:val="HeaderChar"/>
    <w:uiPriority w:val="99"/>
    <w:unhideWhenUsed/>
    <w:rsid w:val="00EC4B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4B1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4B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4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Kyouka</dc:creator>
  <cp:keywords/>
  <dc:description/>
  <cp:lastModifiedBy>Olliver, Tania</cp:lastModifiedBy>
  <cp:revision>2</cp:revision>
  <dcterms:created xsi:type="dcterms:W3CDTF">2025-03-25T05:07:00Z</dcterms:created>
  <dcterms:modified xsi:type="dcterms:W3CDTF">2025-03-25T05:07:00Z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id="SfbRrOtK"/&gt;&lt;style id="http://www.zotero.org/styles/american-medical-association" hasBibliography="1" bibliographyStyleHasBeenSet="1"/&gt;&lt;prefs&gt;&lt;pref name="fieldType" value="Field"/&gt;&lt;/prefs&gt;&lt;/data&gt;</vt:lpwstr>
  </property>
  <property fmtid="{D5CDD505-2E9C-101B-9397-08002B2CF9AE}" pid="3" name="ClassificationContentMarkingFooterShapeIds">
    <vt:lpwstr>23efd4cb,6a1ae73,6f5f04a0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2025-03-25T05:07:45Z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03dfe984-3bd3-4836-953e-3ed2ab64e189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