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8BDEA">
      <w:pPr>
        <w:rPr>
          <w:vanish/>
          <w:sz w:val="24"/>
          <w:szCs w:val="24"/>
        </w:rPr>
      </w:pPr>
    </w:p>
    <w:p w14:paraId="6E9510DE">
      <w:pPr>
        <w:rPr>
          <w:vanish/>
          <w:sz w:val="24"/>
          <w:szCs w:val="24"/>
        </w:rPr>
      </w:pPr>
    </w:p>
    <w:p w14:paraId="3E2AEE33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22605D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28DE11F">
      <w:pPr>
        <w:pStyle w:val="2"/>
        <w:spacing w:before="92" w:line="198" w:lineRule="auto"/>
        <w:rPr>
          <w:rFonts w:hint="default" w:ascii="Calibri" w:hAnsi="Calibri" w:eastAsia="宋体" w:cs="Calibri"/>
          <w:b/>
          <w:bCs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b/>
          <w:bCs/>
          <w:sz w:val="24"/>
          <w:szCs w:val="24"/>
        </w:rPr>
        <w:t>Supplementary Figure 1</w:t>
      </w:r>
    </w:p>
    <w:p w14:paraId="4DB42B33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8942070" cy="2235835"/>
            <wp:effectExtent l="0" t="0" r="3810" b="4445"/>
            <wp:docPr id="1" name="图片 1" descr="vlnplot_after_qc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vlnplot_after_qc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4207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15864">
      <w:pPr>
        <w:pStyle w:val="2"/>
        <w:spacing w:before="92" w:line="198" w:lineRule="auto"/>
        <w:rPr>
          <w:rFonts w:hint="default" w:ascii="Calibri" w:hAnsi="Calibri" w:eastAsia="宋体" w:cs="Calibri"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sz w:val="24"/>
          <w:szCs w:val="24"/>
        </w:rPr>
        <w:t>Violin Plots of Pre-Quality-Control Metrics (nFeature_RNA, nCount_RNA, percent.mt, percent.HB) for Individual Samples</w:t>
      </w:r>
    </w:p>
    <w:p w14:paraId="64C290CB">
      <w:pPr>
        <w:pStyle w:val="2"/>
        <w:spacing w:before="92" w:line="198" w:lineRule="auto"/>
        <w:rPr>
          <w:rFonts w:hint="default" w:ascii="Calibri" w:hAnsi="Calibri" w:eastAsia="宋体" w:cs="Calibri"/>
          <w:b/>
          <w:bCs/>
          <w:sz w:val="24"/>
          <w:szCs w:val="24"/>
        </w:rPr>
      </w:pPr>
    </w:p>
    <w:p w14:paraId="3F41B349">
      <w:pPr>
        <w:pStyle w:val="2"/>
        <w:spacing w:before="92" w:line="198" w:lineRule="auto"/>
        <w:rPr>
          <w:rFonts w:hint="default" w:ascii="Calibri" w:hAnsi="Calibri" w:eastAsia="宋体" w:cs="Calibri"/>
          <w:b/>
          <w:bCs/>
          <w:sz w:val="24"/>
          <w:szCs w:val="24"/>
        </w:rPr>
      </w:pPr>
    </w:p>
    <w:p w14:paraId="50180EDD">
      <w:pPr>
        <w:pStyle w:val="2"/>
        <w:spacing w:before="92" w:line="198" w:lineRule="auto"/>
        <w:rPr>
          <w:rFonts w:hint="eastAsia" w:ascii="Calibri" w:hAnsi="Calibri" w:eastAsia="宋体" w:cs="Calibri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Calibri" w:hAnsi="Calibri" w:eastAsia="宋体" w:cs="Calibri"/>
          <w:b/>
          <w:bCs/>
          <w:sz w:val="24"/>
          <w:szCs w:val="24"/>
        </w:rPr>
        <w:t xml:space="preserve">Supplementary Figure </w:t>
      </w:r>
      <w:r>
        <w:rPr>
          <w:rFonts w:hint="eastAsia" w:ascii="Calibri" w:hAnsi="Calibri" w:eastAsia="宋体" w:cs="Calibri"/>
          <w:b/>
          <w:bCs/>
          <w:sz w:val="24"/>
          <w:szCs w:val="24"/>
          <w:lang w:val="en-US" w:eastAsia="zh-CN"/>
        </w:rPr>
        <w:t>2</w:t>
      </w:r>
    </w:p>
    <w:p w14:paraId="7E70C866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5C6509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8942070" cy="2235835"/>
            <wp:effectExtent l="0" t="0" r="3810" b="4445"/>
            <wp:docPr id="2" name="图片 2" descr="vlnplot_before_qc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vlnplot_before_qc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4207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EEA6F">
      <w:pPr>
        <w:pStyle w:val="2"/>
        <w:spacing w:before="92" w:line="198" w:lineRule="auto"/>
        <w:rPr>
          <w:rFonts w:hint="default" w:ascii="Calibri" w:hAnsi="Calibri" w:eastAsia="宋体" w:cs="Calibri"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sz w:val="24"/>
          <w:szCs w:val="24"/>
        </w:rPr>
        <w:t>Extended Violin Plots of Post-Quality-Control Metrics for Additional Datasets (nFeature_RNA, nCount_RNA, percent.mt, percent.HB)</w:t>
      </w:r>
    </w:p>
    <w:p w14:paraId="68FDE657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7477A34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745AAC5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6E4D3E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D51F9B7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094210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A9E33D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89993F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64DADA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97ED346">
      <w:pPr>
        <w:pStyle w:val="2"/>
        <w:spacing w:before="92" w:line="198" w:lineRule="auto"/>
        <w:rPr>
          <w:rFonts w:hint="eastAsia" w:ascii="Calibri" w:hAnsi="Calibri" w:eastAsia="宋体" w:cs="Calibri"/>
          <w:b/>
          <w:bCs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b/>
          <w:bCs/>
          <w:sz w:val="24"/>
          <w:szCs w:val="24"/>
        </w:rPr>
        <w:t xml:space="preserve">Supplementary </w:t>
      </w:r>
      <w:r>
        <w:rPr>
          <w:rFonts w:hint="eastAsia" w:ascii="Calibri" w:hAnsi="Calibri" w:eastAsia="宋体" w:cs="Calibri"/>
          <w:b/>
          <w:bCs/>
          <w:sz w:val="24"/>
          <w:szCs w:val="24"/>
          <w:lang w:val="en-US" w:eastAsia="zh-CN"/>
        </w:rPr>
        <w:t>Table</w:t>
      </w:r>
      <w:r>
        <w:rPr>
          <w:rFonts w:hint="default" w:ascii="Calibri" w:hAnsi="Calibri" w:eastAsia="宋体" w:cs="Calibri"/>
          <w:b/>
          <w:bCs/>
          <w:sz w:val="24"/>
          <w:szCs w:val="24"/>
        </w:rPr>
        <w:t xml:space="preserve"> </w:t>
      </w:r>
      <w:r>
        <w:rPr>
          <w:rFonts w:hint="eastAsia" w:ascii="Calibri" w:hAnsi="Calibri" w:eastAsia="宋体" w:cs="Calibri"/>
          <w:b/>
          <w:bCs/>
          <w:sz w:val="24"/>
          <w:szCs w:val="24"/>
          <w:lang w:val="en-US" w:eastAsia="zh-CN"/>
        </w:rPr>
        <w:t>1</w:t>
      </w:r>
    </w:p>
    <w:p w14:paraId="6FBC579F">
      <w:pPr>
        <w:pStyle w:val="2"/>
        <w:spacing w:before="92" w:line="198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horzAnchor="page" w:tblpX="1613" w:tblpY="855"/>
        <w:tblOverlap w:val="never"/>
        <w:tblW w:w="14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9"/>
        <w:gridCol w:w="11040"/>
      </w:tblGrid>
      <w:tr w14:paraId="1B2C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699" w:type="dxa"/>
            <w:vAlign w:val="center"/>
          </w:tcPr>
          <w:p w14:paraId="5907E5D5">
            <w:pPr>
              <w:pStyle w:val="2"/>
              <w:spacing w:before="92" w:line="360" w:lineRule="auto"/>
              <w:jc w:val="left"/>
              <w:rPr>
                <w:rFonts w:hint="default" w:ascii="Calibri" w:hAnsi="Calibri" w:cs="Calibri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default" w:ascii="Calibri" w:hAnsi="Calibri" w:eastAsia="宋体" w:cs="Calibri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Gene Category</w:t>
            </w:r>
          </w:p>
        </w:tc>
        <w:tc>
          <w:tcPr>
            <w:tcW w:w="11040" w:type="dxa"/>
          </w:tcPr>
          <w:p w14:paraId="64380B30">
            <w:pPr>
              <w:pStyle w:val="2"/>
              <w:spacing w:before="92" w:line="360" w:lineRule="auto"/>
              <w:rPr>
                <w:rFonts w:hint="default" w:ascii="Calibri" w:hAnsi="Calibri" w:cs="Calibri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default" w:ascii="Calibri" w:hAnsi="Calibri" w:eastAsia="宋体" w:cs="Calibri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Gene Symbols</w:t>
            </w:r>
          </w:p>
        </w:tc>
      </w:tr>
      <w:tr w14:paraId="5F33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699" w:type="dxa"/>
            <w:vAlign w:val="center"/>
          </w:tcPr>
          <w:p w14:paraId="3CFFC643">
            <w:pPr>
              <w:pStyle w:val="2"/>
              <w:spacing w:before="92" w:line="360" w:lineRule="auto"/>
              <w:jc w:val="left"/>
              <w:rPr>
                <w:rFonts w:hint="default" w:ascii="Calibri" w:hAnsi="Calibri" w:cs="Calibri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default" w:ascii="Calibri" w:hAnsi="Calibri" w:eastAsia="宋体" w:cs="Calibri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Macrophage-Associated Genes</w:t>
            </w:r>
          </w:p>
        </w:tc>
        <w:tc>
          <w:tcPr>
            <w:tcW w:w="11040" w:type="dxa"/>
          </w:tcPr>
          <w:p w14:paraId="5941E394">
            <w:pPr>
              <w:pStyle w:val="2"/>
              <w:spacing w:before="92" w:line="360" w:lineRule="auto"/>
              <w:rPr>
                <w:rFonts w:hint="default" w:ascii="Calibri" w:hAnsi="Calibri" w:cs="Calibri"/>
                <w:sz w:val="32"/>
                <w:szCs w:val="32"/>
                <w:vertAlign w:val="baseline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SRGN, CTSS, LCP1, PLEK, LAPTM5, FTL, CD14, FCER1G, IL1B, C1QA, HLA-DMA, MMP9, RGS2, C1QC, G0S2, CXCL8, GZMB, C1QB, BCL2A1, HLA-DRA, CXCL3, PTGS2</w:t>
            </w:r>
          </w:p>
        </w:tc>
      </w:tr>
      <w:tr w14:paraId="49F0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9" w:type="dxa"/>
            <w:vAlign w:val="center"/>
          </w:tcPr>
          <w:p w14:paraId="437C509E">
            <w:pPr>
              <w:pStyle w:val="2"/>
              <w:spacing w:before="92" w:line="360" w:lineRule="auto"/>
              <w:jc w:val="left"/>
              <w:rPr>
                <w:rFonts w:hint="default" w:ascii="Calibri" w:hAnsi="Calibri" w:cs="Calibri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default" w:ascii="Calibri" w:hAnsi="Calibri" w:eastAsia="宋体" w:cs="Calibri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Mitochondrial-Associated Genes</w:t>
            </w:r>
          </w:p>
        </w:tc>
        <w:tc>
          <w:tcPr>
            <w:tcW w:w="11040" w:type="dxa"/>
          </w:tcPr>
          <w:p w14:paraId="200A65C9">
            <w:pPr>
              <w:pStyle w:val="2"/>
              <w:spacing w:before="92" w:line="360" w:lineRule="auto"/>
              <w:rPr>
                <w:rFonts w:hint="default" w:ascii="Calibri" w:hAnsi="Calibri" w:cs="Calibri"/>
                <w:sz w:val="32"/>
                <w:szCs w:val="32"/>
                <w:vertAlign w:val="baseline"/>
              </w:rPr>
            </w:pPr>
            <w:r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CYP24A1, FAHD1, PRDX4, GLDC, BNIP3, UNG, CBR3, UCP2, TMEM205, SLC25A43, ARMCX3, PDK1, BCL2A1, IFI27</w:t>
            </w:r>
          </w:p>
        </w:tc>
      </w:tr>
    </w:tbl>
    <w:p w14:paraId="7DD9F55F">
      <w:pPr>
        <w:pStyle w:val="2"/>
        <w:spacing w:before="92" w:line="360" w:lineRule="auto"/>
        <w:jc w:val="center"/>
        <w:rPr>
          <w:rFonts w:hint="default" w:ascii="Calibri" w:hAnsi="Calibri" w:cs="Calibri"/>
          <w:b/>
          <w:bCs/>
          <w:sz w:val="32"/>
          <w:szCs w:val="32"/>
        </w:rPr>
      </w:pPr>
      <w:r>
        <w:rPr>
          <w:rFonts w:hint="default" w:ascii="Calibri" w:hAnsi="Calibri" w:eastAsia="宋体" w:cs="Calibri"/>
          <w:b/>
          <w:bCs/>
          <w:sz w:val="24"/>
          <w:szCs w:val="24"/>
        </w:rPr>
        <w:t xml:space="preserve">Table </w:t>
      </w:r>
      <w:r>
        <w:rPr>
          <w:rFonts w:hint="eastAsia" w:ascii="Calibri" w:hAnsi="Calibri" w:eastAsia="宋体" w:cs="Calibri"/>
          <w:b/>
          <w:bCs/>
          <w:sz w:val="24"/>
          <w:szCs w:val="24"/>
          <w:lang w:val="en-US" w:eastAsia="zh-CN"/>
        </w:rPr>
        <w:t>1</w:t>
      </w:r>
      <w:r>
        <w:rPr>
          <w:rFonts w:hint="default" w:ascii="Calibri" w:hAnsi="Calibri" w:eastAsia="宋体" w:cs="Calibri"/>
          <w:b/>
          <w:bCs/>
          <w:sz w:val="24"/>
          <w:szCs w:val="24"/>
        </w:rPr>
        <w:t>.</w:t>
      </w:r>
      <w:r>
        <w:rPr>
          <w:rFonts w:hint="default" w:ascii="Calibri" w:hAnsi="Calibri" w:eastAsia="宋体" w:cs="Calibri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b/>
          <w:bCs/>
          <w:sz w:val="24"/>
          <w:szCs w:val="24"/>
        </w:rPr>
        <w:t>Differentially Expressed Macrophage- and Mitochondrial-Related Genes in Periodontitis</w:t>
      </w:r>
    </w:p>
    <w:sectPr>
      <w:headerReference r:id="rId5" w:type="default"/>
      <w:pgSz w:w="17000" w:h="12130"/>
      <w:pgMar w:top="400" w:right="1500" w:bottom="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047EF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E0C6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</Words>
  <Characters>74</Characters>
  <TotalTime>26</TotalTime>
  <ScaleCrop>false</ScaleCrop>
  <LinksUpToDate>false</LinksUpToDate>
  <CharactersWithSpaces>78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2024-11-26T16:31:00Z</dcterms:created>
  <dc:creator>Kingsoft-PDF</dc:creator>
  <cp:lastModifiedBy>m</cp:lastModifiedBy>
  <dcterms:modified xsi:type="dcterms:W3CDTF">2024-11-26T09:01:43Z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2024-11-26T16:31:02Z</vt:filetime>
  </property>
  <property fmtid="{D5CDD505-2E9C-101B-9397-08002B2CF9AE}" pid="4" name="UsrData">
    <vt:lpwstr>67458744bf102c001fecd71fwl</vt:lpwstr>
  </property>
  <property fmtid="{D5CDD505-2E9C-101B-9397-08002B2CF9AE}" pid="5" name="KSOProductBuildVer">
    <vt:lpwstr>2052-12.1.0.18912</vt:lpwstr>
  </property>
  <property fmtid="{D5CDD505-2E9C-101B-9397-08002B2CF9AE}" pid="6" name="ICV">
    <vt:lpwstr>860FEE83BC2C410EA22860BE22A698E5_13</vt:lpwstr>
  </property>
</Properties>
</file>