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CCAAB3" w14:textId="2C32D0EF" w:rsidR="00D27A92" w:rsidRDefault="002D6E1B" w:rsidP="002B7CC6">
      <w:pPr>
        <w:pStyle w:val="Nadpis1"/>
      </w:pPr>
      <w:r>
        <w:t xml:space="preserve">Supplementary </w:t>
      </w:r>
      <w:r w:rsidR="006F4910">
        <w:t>material</w:t>
      </w:r>
      <w:r w:rsidR="003327ED">
        <w:t>s</w:t>
      </w:r>
    </w:p>
    <w:p w14:paraId="60ED980F" w14:textId="77777777" w:rsidR="002B7CC6" w:rsidRDefault="002B7CC6" w:rsidP="002B7CC6"/>
    <w:p w14:paraId="2DF7ECCC" w14:textId="77777777" w:rsidR="002B7CC6" w:rsidRPr="002B7CC6" w:rsidRDefault="002B7CC6" w:rsidP="002B7CC6"/>
    <w:p w14:paraId="7574C7B2" w14:textId="063D99B7" w:rsidR="00C078EB" w:rsidRDefault="00C078EB" w:rsidP="00B30BC3">
      <w:pPr>
        <w:rPr>
          <w:rFonts w:cs="Arial"/>
          <w:b/>
          <w:szCs w:val="20"/>
        </w:rPr>
      </w:pPr>
      <w:r>
        <w:rPr>
          <w:rFonts w:cs="Arial"/>
          <w:b/>
          <w:noProof/>
          <w:szCs w:val="20"/>
        </w:rPr>
        <w:drawing>
          <wp:inline distT="0" distB="0" distL="0" distR="0" wp14:anchorId="043EB8A2" wp14:editId="02947369">
            <wp:extent cx="6000750" cy="1903016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90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41C43" w14:textId="105E03E5" w:rsidR="00DB1797" w:rsidRDefault="00DB1797" w:rsidP="00B30BC3">
      <w:pPr>
        <w:rPr>
          <w:rFonts w:cs="Arial"/>
          <w:szCs w:val="20"/>
        </w:rPr>
      </w:pPr>
      <w:r w:rsidRPr="00E45EA8">
        <w:rPr>
          <w:rFonts w:cs="Arial"/>
          <w:b/>
          <w:szCs w:val="20"/>
        </w:rPr>
        <w:t>Figure S</w:t>
      </w:r>
      <w:r w:rsidR="003F1D8C">
        <w:rPr>
          <w:rFonts w:cs="Arial"/>
          <w:b/>
          <w:szCs w:val="20"/>
        </w:rPr>
        <w:t>1</w:t>
      </w:r>
      <w:r w:rsidRPr="00E45EA8">
        <w:rPr>
          <w:rFonts w:cs="Arial"/>
          <w:szCs w:val="20"/>
        </w:rPr>
        <w:t xml:space="preserve"> </w:t>
      </w:r>
      <w:bookmarkStart w:id="0" w:name="OLE_LINK1"/>
      <w:r w:rsidRPr="00E45EA8">
        <w:rPr>
          <w:rFonts w:cs="Arial"/>
          <w:szCs w:val="20"/>
        </w:rPr>
        <w:t>Representative gating strategy of primary monocytes in isolate</w:t>
      </w:r>
      <w:bookmarkEnd w:id="0"/>
    </w:p>
    <w:p w14:paraId="0318C1D8" w14:textId="77777777" w:rsidR="002B7CC6" w:rsidRDefault="002B7CC6" w:rsidP="00B30BC3">
      <w:pPr>
        <w:rPr>
          <w:rFonts w:cs="Arial"/>
          <w:szCs w:val="20"/>
        </w:rPr>
      </w:pPr>
    </w:p>
    <w:p w14:paraId="0FBD781D" w14:textId="77777777" w:rsidR="002B7CC6" w:rsidRDefault="002B7CC6" w:rsidP="00B30BC3">
      <w:pPr>
        <w:rPr>
          <w:rFonts w:cs="Arial"/>
          <w:szCs w:val="20"/>
        </w:rPr>
      </w:pPr>
    </w:p>
    <w:p w14:paraId="2D0CCCFF" w14:textId="77777777" w:rsidR="009A2905" w:rsidRPr="00E45EA8" w:rsidRDefault="009A2905" w:rsidP="00B30BC3">
      <w:pPr>
        <w:rPr>
          <w:rFonts w:cs="Arial"/>
          <w:szCs w:val="20"/>
        </w:rPr>
      </w:pPr>
    </w:p>
    <w:p w14:paraId="1754108C" w14:textId="0765AC4F" w:rsidR="00DB1797" w:rsidRDefault="005C031F" w:rsidP="005C031F">
      <w:pPr>
        <w:tabs>
          <w:tab w:val="left" w:pos="6237"/>
        </w:tabs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62900067" wp14:editId="70C3BE34">
            <wp:extent cx="6098876" cy="1521895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3.tif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876" cy="152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86219" w14:textId="6997FA7F" w:rsidR="009A2905" w:rsidRDefault="00DB1797" w:rsidP="00B30BC3">
      <w:pPr>
        <w:rPr>
          <w:rFonts w:cs="Arial"/>
          <w:szCs w:val="20"/>
        </w:rPr>
      </w:pPr>
      <w:r w:rsidRPr="00E45EA8">
        <w:rPr>
          <w:rFonts w:cs="Arial"/>
          <w:b/>
          <w:szCs w:val="20"/>
        </w:rPr>
        <w:t>Figure S</w:t>
      </w:r>
      <w:r w:rsidR="003F1D8C">
        <w:rPr>
          <w:rFonts w:cs="Arial"/>
          <w:b/>
          <w:szCs w:val="20"/>
        </w:rPr>
        <w:t>2</w:t>
      </w:r>
      <w:r w:rsidRPr="00E45EA8">
        <w:rPr>
          <w:rFonts w:cs="Arial"/>
          <w:b/>
          <w:szCs w:val="20"/>
        </w:rPr>
        <w:t xml:space="preserve"> </w:t>
      </w:r>
      <w:r w:rsidRPr="00E45EA8">
        <w:rPr>
          <w:rFonts w:cs="Arial"/>
          <w:szCs w:val="20"/>
        </w:rPr>
        <w:t xml:space="preserve">Representative gating strategy of primary monocytes after </w:t>
      </w:r>
      <w:r w:rsidR="00C468DD">
        <w:rPr>
          <w:rFonts w:cs="Arial"/>
          <w:szCs w:val="20"/>
        </w:rPr>
        <w:t xml:space="preserve">24 h of </w:t>
      </w:r>
      <w:r w:rsidR="009A2905">
        <w:rPr>
          <w:rFonts w:cs="Arial"/>
          <w:szCs w:val="20"/>
        </w:rPr>
        <w:t>incubation.</w:t>
      </w:r>
    </w:p>
    <w:p w14:paraId="629DEFC5" w14:textId="7660A8CA" w:rsidR="009A2905" w:rsidRDefault="009A2905" w:rsidP="00B30BC3">
      <w:pPr>
        <w:rPr>
          <w:rFonts w:cs="Arial"/>
          <w:b/>
          <w:noProof/>
          <w:sz w:val="22"/>
          <w:szCs w:val="22"/>
        </w:rPr>
      </w:pPr>
    </w:p>
    <w:p w14:paraId="75384591" w14:textId="42C773AF" w:rsidR="00E60F13" w:rsidRDefault="00E60F13" w:rsidP="00B30BC3">
      <w:pPr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lastRenderedPageBreak/>
        <w:drawing>
          <wp:inline distT="0" distB="0" distL="0" distR="0" wp14:anchorId="2F391589" wp14:editId="39D25AF1">
            <wp:extent cx="5972810" cy="4604385"/>
            <wp:effectExtent l="0" t="0" r="889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P1 komplet bez LP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B2D51" w14:textId="0F52496C" w:rsidR="00E60F13" w:rsidRPr="003F1D8C" w:rsidRDefault="00E60F13" w:rsidP="00E60F13">
      <w:pPr>
        <w:jc w:val="both"/>
      </w:pPr>
      <w:r w:rsidRPr="00E45EA8">
        <w:rPr>
          <w:rFonts w:cs="Arial"/>
          <w:b/>
          <w:szCs w:val="20"/>
        </w:rPr>
        <w:t>Figure S</w:t>
      </w:r>
      <w:r>
        <w:rPr>
          <w:rFonts w:cs="Arial"/>
          <w:b/>
          <w:szCs w:val="20"/>
        </w:rPr>
        <w:t>3</w:t>
      </w:r>
      <w:r w:rsidRPr="00E45EA8">
        <w:rPr>
          <w:rFonts w:cs="Arial"/>
          <w:szCs w:val="20"/>
        </w:rPr>
        <w:t xml:space="preserve"> </w:t>
      </w:r>
      <w:r w:rsidRPr="002C1EF1">
        <w:t xml:space="preserve">Viability </w:t>
      </w:r>
      <w:r>
        <w:t>and NLRP3 activity of THP1-null cells in the presence of TiO</w:t>
      </w:r>
      <w:r w:rsidRPr="003F1D8C">
        <w:rPr>
          <w:vertAlign w:val="subscript"/>
        </w:rPr>
        <w:t>2</w:t>
      </w:r>
      <w:r>
        <w:t xml:space="preserve"> without priming.</w:t>
      </w:r>
    </w:p>
    <w:p w14:paraId="65C65297" w14:textId="77777777" w:rsidR="00E60F13" w:rsidRDefault="00E60F13" w:rsidP="00E60F13">
      <w:pPr>
        <w:jc w:val="both"/>
        <w:rPr>
          <w:rFonts w:cs="Arial"/>
          <w:color w:val="222222"/>
          <w:szCs w:val="20"/>
          <w:shd w:val="clear" w:color="auto" w:fill="FFFFFF"/>
        </w:rPr>
      </w:pPr>
      <w:r w:rsidRPr="00E86CE7">
        <w:rPr>
          <w:b/>
          <w:bCs/>
        </w:rPr>
        <w:t>Notes:</w:t>
      </w:r>
      <w:r>
        <w:t xml:space="preserve"> Viability was assessed by (A) LDH assay with Lysis buffer as 100% positive control and (B) WST-1 assay. (C) IL-1</w:t>
      </w:r>
      <w:r>
        <w:rPr>
          <w:rFonts w:cs="Arial"/>
        </w:rPr>
        <w:t>β</w:t>
      </w:r>
      <w:r>
        <w:t xml:space="preserve"> was evaluated using reporter cell-based assays. Data were analyzed separately according to each corresponding control without TiO</w:t>
      </w:r>
      <w:r w:rsidRPr="00573D0D">
        <w:rPr>
          <w:vertAlign w:val="subscript"/>
        </w:rPr>
        <w:t>2</w:t>
      </w:r>
      <w:r>
        <w:t xml:space="preserve"> treatment (RPMI and MDP) and are reported as median with interquartile range. *</w:t>
      </w:r>
      <w:r>
        <w:rPr>
          <w:rFonts w:cs="Arial"/>
          <w:color w:val="222222"/>
          <w:szCs w:val="20"/>
          <w:shd w:val="clear" w:color="auto" w:fill="FFFFFF"/>
        </w:rPr>
        <w:t>** </w:t>
      </w:r>
      <w:r>
        <w:rPr>
          <w:rStyle w:val="html-italic"/>
          <w:rFonts w:cs="Arial"/>
          <w:i/>
          <w:iCs/>
          <w:color w:val="222222"/>
          <w:szCs w:val="20"/>
          <w:shd w:val="clear" w:color="auto" w:fill="FFFFFF"/>
        </w:rPr>
        <w:t>p</w:t>
      </w:r>
      <w:r>
        <w:rPr>
          <w:rFonts w:cs="Arial"/>
          <w:color w:val="222222"/>
          <w:szCs w:val="20"/>
          <w:shd w:val="clear" w:color="auto" w:fill="FFFFFF"/>
        </w:rPr>
        <w:t> &lt; 0.001, ** </w:t>
      </w:r>
      <w:r>
        <w:rPr>
          <w:rStyle w:val="html-italic"/>
          <w:rFonts w:cs="Arial"/>
          <w:i/>
          <w:iCs/>
          <w:color w:val="222222"/>
          <w:szCs w:val="20"/>
          <w:shd w:val="clear" w:color="auto" w:fill="FFFFFF"/>
        </w:rPr>
        <w:t>p</w:t>
      </w:r>
      <w:r>
        <w:rPr>
          <w:rFonts w:cs="Arial"/>
          <w:color w:val="222222"/>
          <w:szCs w:val="20"/>
          <w:shd w:val="clear" w:color="auto" w:fill="FFFFFF"/>
        </w:rPr>
        <w:t xml:space="preserve"> &lt; 0.01. Results were obtained from three independent experiments </w:t>
      </w:r>
      <w:r w:rsidRPr="000C0FC6">
        <w:t xml:space="preserve">with three replicates each, n = </w:t>
      </w:r>
      <w:r>
        <w:t>9.</w:t>
      </w:r>
    </w:p>
    <w:p w14:paraId="045B66B7" w14:textId="77777777" w:rsidR="00E60F13" w:rsidRPr="00E86CE7" w:rsidRDefault="00E60F13" w:rsidP="00E60F13">
      <w:pPr>
        <w:jc w:val="both"/>
        <w:rPr>
          <w:rFonts w:cs="Arial"/>
          <w:bCs/>
          <w:szCs w:val="20"/>
        </w:rPr>
      </w:pPr>
      <w:r w:rsidRPr="00B915E4">
        <w:rPr>
          <w:rFonts w:cs="Arial"/>
          <w:b/>
          <w:szCs w:val="20"/>
        </w:rPr>
        <w:t>Abbreviations:</w:t>
      </w:r>
      <w:r>
        <w:rPr>
          <w:rFonts w:cs="Arial"/>
          <w:b/>
          <w:szCs w:val="20"/>
        </w:rPr>
        <w:t xml:space="preserve"> </w:t>
      </w:r>
      <w:r>
        <w:rPr>
          <w:rFonts w:cs="Arial"/>
          <w:bCs/>
          <w:szCs w:val="20"/>
        </w:rPr>
        <w:t xml:space="preserve">LDH, lactate dehydrogenase; WST-1, </w:t>
      </w:r>
      <w:r w:rsidRPr="00E86CE7">
        <w:rPr>
          <w:rFonts w:cs="Arial"/>
          <w:bCs/>
          <w:szCs w:val="20"/>
        </w:rPr>
        <w:t>water-soluble tetrazolium salt</w:t>
      </w:r>
      <w:r>
        <w:rPr>
          <w:rFonts w:cs="Arial"/>
          <w:bCs/>
          <w:szCs w:val="20"/>
        </w:rPr>
        <w:t>; LB, lysis buffer; IL, interleukin; LPS, lipopolysaccharide; MDP, muramyl dipeptide; PC, positive control</w:t>
      </w:r>
    </w:p>
    <w:p w14:paraId="78ADDB62" w14:textId="77777777" w:rsidR="00E60F13" w:rsidRDefault="00E60F13" w:rsidP="00B30BC3">
      <w:pPr>
        <w:rPr>
          <w:rFonts w:cs="Arial"/>
          <w:b/>
          <w:sz w:val="22"/>
          <w:szCs w:val="22"/>
        </w:rPr>
      </w:pPr>
    </w:p>
    <w:p w14:paraId="78D08E21" w14:textId="7AAF40A3" w:rsidR="00683534" w:rsidRDefault="00683534" w:rsidP="005C031F">
      <w:pPr>
        <w:jc w:val="both"/>
        <w:rPr>
          <w:rFonts w:cs="Arial"/>
          <w:b/>
          <w:sz w:val="22"/>
          <w:szCs w:val="22"/>
        </w:rPr>
      </w:pPr>
    </w:p>
    <w:p w14:paraId="304FA062" w14:textId="77777777" w:rsidR="005C031F" w:rsidRDefault="005C031F" w:rsidP="005C031F">
      <w:pPr>
        <w:jc w:val="both"/>
        <w:rPr>
          <w:rFonts w:cs="Arial"/>
          <w:b/>
          <w:sz w:val="22"/>
          <w:szCs w:val="22"/>
        </w:rPr>
      </w:pPr>
    </w:p>
    <w:p w14:paraId="045B1187" w14:textId="7E11D050" w:rsidR="00166AD9" w:rsidRDefault="00E60F13" w:rsidP="005C031F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lastRenderedPageBreak/>
        <w:drawing>
          <wp:inline distT="0" distB="0" distL="0" distR="0" wp14:anchorId="60CA10BD" wp14:editId="3DFAA1D6">
            <wp:extent cx="5004601" cy="5826642"/>
            <wp:effectExtent l="0" t="0" r="5715" b="31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160" cy="583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CCF41" w14:textId="1AFFCCDC" w:rsidR="00E60F13" w:rsidRDefault="00E60F13" w:rsidP="00E60F13">
      <w:pPr>
        <w:jc w:val="both"/>
        <w:rPr>
          <w:rFonts w:cs="Arial"/>
          <w:szCs w:val="20"/>
        </w:rPr>
      </w:pPr>
      <w:r w:rsidRPr="00E45EA8">
        <w:rPr>
          <w:rFonts w:cs="Arial"/>
          <w:b/>
          <w:szCs w:val="20"/>
        </w:rPr>
        <w:t>Figure S</w:t>
      </w:r>
      <w:r>
        <w:rPr>
          <w:rFonts w:cs="Arial"/>
          <w:b/>
          <w:szCs w:val="20"/>
        </w:rPr>
        <w:t>4</w:t>
      </w:r>
      <w:r w:rsidRPr="00E45EA8">
        <w:rPr>
          <w:rFonts w:cs="Arial"/>
          <w:b/>
          <w:szCs w:val="20"/>
        </w:rPr>
        <w:t xml:space="preserve"> </w:t>
      </w:r>
      <w:r w:rsidRPr="00E45EA8">
        <w:rPr>
          <w:rFonts w:cs="Arial"/>
          <w:szCs w:val="20"/>
        </w:rPr>
        <w:t xml:space="preserve">Cytokines </w:t>
      </w:r>
      <w:r>
        <w:rPr>
          <w:rFonts w:cs="Arial"/>
          <w:szCs w:val="20"/>
        </w:rPr>
        <w:t>response of primary monocytes after 24 h of incubation with TiO</w:t>
      </w:r>
      <w:r w:rsidRPr="00683534">
        <w:rPr>
          <w:rFonts w:cs="Arial"/>
          <w:szCs w:val="20"/>
          <w:vertAlign w:val="subscript"/>
        </w:rPr>
        <w:t>2.</w:t>
      </w:r>
    </w:p>
    <w:p w14:paraId="6FA7AE0D" w14:textId="77777777" w:rsidR="00E60F13" w:rsidRDefault="00E60F13" w:rsidP="00E60F13">
      <w:pPr>
        <w:jc w:val="both"/>
        <w:rPr>
          <w:rFonts w:cs="Arial"/>
          <w:color w:val="222222"/>
          <w:szCs w:val="20"/>
          <w:shd w:val="clear" w:color="auto" w:fill="FFFFFF"/>
        </w:rPr>
      </w:pPr>
      <w:r w:rsidRPr="00683534">
        <w:rPr>
          <w:rFonts w:cs="Arial"/>
          <w:b/>
          <w:szCs w:val="20"/>
        </w:rPr>
        <w:t>Note</w:t>
      </w:r>
      <w:r>
        <w:rPr>
          <w:rFonts w:cs="Arial"/>
          <w:b/>
          <w:szCs w:val="20"/>
        </w:rPr>
        <w:t>s</w:t>
      </w:r>
      <w:r w:rsidRPr="00683534">
        <w:rPr>
          <w:rFonts w:cs="Arial"/>
          <w:b/>
          <w:szCs w:val="20"/>
        </w:rPr>
        <w:t>:</w:t>
      </w:r>
      <w:r>
        <w:rPr>
          <w:rFonts w:cs="Arial"/>
          <w:b/>
          <w:szCs w:val="20"/>
        </w:rPr>
        <w:t xml:space="preserve"> </w:t>
      </w:r>
      <w:r w:rsidRPr="0056128A">
        <w:rPr>
          <w:rFonts w:cs="Arial"/>
          <w:szCs w:val="20"/>
        </w:rPr>
        <w:t>(A)</w:t>
      </w:r>
      <w:r>
        <w:rPr>
          <w:rFonts w:cs="Arial"/>
          <w:b/>
          <w:szCs w:val="20"/>
        </w:rPr>
        <w:t xml:space="preserve"> </w:t>
      </w:r>
      <w:r>
        <w:t>IL-6 and TNF-</w:t>
      </w:r>
      <w:r>
        <w:rPr>
          <w:rFonts w:cs="Arial"/>
        </w:rPr>
        <w:t>α</w:t>
      </w:r>
      <w:r>
        <w:t xml:space="preserve"> released by monocytes were detected using </w:t>
      </w:r>
      <w:r w:rsidRPr="00714E21">
        <w:t>HEK-Blue™ IL-</w:t>
      </w:r>
      <w:r>
        <w:t>6</w:t>
      </w:r>
      <w:r w:rsidRPr="00714E21">
        <w:t xml:space="preserve"> </w:t>
      </w:r>
      <w:r w:rsidRPr="00D818DF">
        <w:t xml:space="preserve">and </w:t>
      </w:r>
      <w:r w:rsidRPr="00714E21">
        <w:t>HEK-</w:t>
      </w:r>
      <w:r>
        <w:t>Dual TNF-</w:t>
      </w:r>
      <w:r>
        <w:rPr>
          <w:rFonts w:cs="Arial"/>
        </w:rPr>
        <w:t>α</w:t>
      </w:r>
      <w:r>
        <w:t xml:space="preserve"> </w:t>
      </w:r>
      <w:r w:rsidRPr="00214AEA">
        <w:t xml:space="preserve">reporter cells </w:t>
      </w:r>
      <w:r w:rsidRPr="00805DB4">
        <w:t>(San Diego, CA, USA)</w:t>
      </w:r>
      <w:r>
        <w:t xml:space="preserve"> </w:t>
      </w:r>
      <w:r w:rsidRPr="00214AEA">
        <w:t xml:space="preserve">according to </w:t>
      </w:r>
      <w:r>
        <w:t xml:space="preserve">the </w:t>
      </w:r>
      <w:r w:rsidRPr="00214AEA">
        <w:t>manufacturer’s instructions</w:t>
      </w:r>
      <w:r>
        <w:t xml:space="preserve">. </w:t>
      </w:r>
      <w:r w:rsidRPr="003A2B3D">
        <w:t xml:space="preserve">HEK-Blue cells </w:t>
      </w:r>
      <w:r w:rsidRPr="00E25082">
        <w:t xml:space="preserve">were </w:t>
      </w:r>
      <w:r w:rsidRPr="00E25082">
        <w:rPr>
          <w:rFonts w:cs="Arial"/>
          <w:color w:val="222222"/>
          <w:szCs w:val="20"/>
          <w:shd w:val="clear" w:color="auto" w:fill="FFFFFF"/>
        </w:rPr>
        <w:t>cultured in DMEM supplemented with 10% heat</w:t>
      </w:r>
      <w:r>
        <w:rPr>
          <w:rFonts w:cs="Arial"/>
          <w:color w:val="222222"/>
          <w:szCs w:val="20"/>
          <w:shd w:val="clear" w:color="auto" w:fill="FFFFFF"/>
        </w:rPr>
        <w:t>-</w:t>
      </w:r>
      <w:r w:rsidRPr="00E25082">
        <w:rPr>
          <w:rFonts w:cs="Arial"/>
          <w:color w:val="222222"/>
          <w:szCs w:val="20"/>
          <w:shd w:val="clear" w:color="auto" w:fill="FFFFFF"/>
        </w:rPr>
        <w:t>inactivated FBS</w:t>
      </w:r>
      <w:r w:rsidRPr="00E25082">
        <w:rPr>
          <w:rFonts w:cs="Arial"/>
          <w:color w:val="222222"/>
          <w:szCs w:val="20"/>
          <w:shd w:val="clear" w:color="auto" w:fill="FFFFFF"/>
          <w:vertAlign w:val="subscript"/>
        </w:rPr>
        <w:t>LE</w:t>
      </w:r>
      <w:r w:rsidRPr="00E25082">
        <w:rPr>
          <w:rFonts w:cs="Arial"/>
          <w:color w:val="222222"/>
          <w:szCs w:val="20"/>
          <w:shd w:val="clear" w:color="auto" w:fill="FFFFFF"/>
        </w:rPr>
        <w:t>; 2 mM GlutaMAX, Normocin (100 μg/mL)</w:t>
      </w:r>
      <w:r>
        <w:rPr>
          <w:rFonts w:cs="Arial"/>
          <w:color w:val="222222"/>
          <w:szCs w:val="20"/>
          <w:shd w:val="clear" w:color="auto" w:fill="FFFFFF"/>
        </w:rPr>
        <w:t>,</w:t>
      </w:r>
      <w:r w:rsidRPr="00E25082">
        <w:rPr>
          <w:rFonts w:cs="Arial"/>
          <w:color w:val="222222"/>
          <w:szCs w:val="20"/>
          <w:shd w:val="clear" w:color="auto" w:fill="FFFFFF"/>
        </w:rPr>
        <w:t xml:space="preserve"> and selective antibiotics </w:t>
      </w:r>
      <w:r>
        <w:rPr>
          <w:rFonts w:cs="Arial"/>
          <w:color w:val="222222"/>
          <w:szCs w:val="20"/>
          <w:shd w:val="clear" w:color="auto" w:fill="FFFFFF"/>
        </w:rPr>
        <w:t xml:space="preserve">250x HEK selection and Zeocin, respectively. For experiments, cells </w:t>
      </w:r>
      <w:r w:rsidRPr="003A2B3D">
        <w:t>were seeded in</w:t>
      </w:r>
      <w:r>
        <w:t xml:space="preserve"> the 96-well plate</w:t>
      </w:r>
      <w:r w:rsidRPr="003A2B3D">
        <w:t xml:space="preserve"> at 5 × 10</w:t>
      </w:r>
      <w:r w:rsidRPr="003A2B3D">
        <w:rPr>
          <w:vertAlign w:val="superscript"/>
        </w:rPr>
        <w:t>4</w:t>
      </w:r>
      <w:r w:rsidRPr="003A2B3D">
        <w:t xml:space="preserve"> cells per well. </w:t>
      </w:r>
      <w:r>
        <w:t xml:space="preserve">20 </w:t>
      </w:r>
      <w:r>
        <w:rPr>
          <w:rFonts w:cs="Arial"/>
        </w:rPr>
        <w:t>μ</w:t>
      </w:r>
      <w:r>
        <w:t>L of supernatants</w:t>
      </w:r>
      <w:r w:rsidRPr="003A2B3D">
        <w:t xml:space="preserve"> from</w:t>
      </w:r>
      <w:r>
        <w:t xml:space="preserve"> examined monocytes</w:t>
      </w:r>
      <w:r w:rsidRPr="003A2B3D">
        <w:t xml:space="preserve"> were added, and the samples</w:t>
      </w:r>
      <w:r>
        <w:t xml:space="preserve"> in a final volume </w:t>
      </w:r>
      <w:r w:rsidRPr="0018240A">
        <w:rPr>
          <w:rFonts w:cs="Arial"/>
          <w:color w:val="222222"/>
          <w:szCs w:val="20"/>
          <w:shd w:val="clear" w:color="auto" w:fill="FFFFFF"/>
        </w:rPr>
        <w:t>of 0.2 m</w:t>
      </w:r>
      <w:r>
        <w:rPr>
          <w:rFonts w:cs="Arial"/>
          <w:color w:val="222222"/>
          <w:szCs w:val="20"/>
          <w:shd w:val="clear" w:color="auto" w:fill="FFFFFF"/>
        </w:rPr>
        <w:t>L</w:t>
      </w:r>
      <w:r w:rsidRPr="003A2B3D">
        <w:t xml:space="preserve"> were incubated overnight at 37</w:t>
      </w:r>
      <w:r>
        <w:t>°C</w:t>
      </w:r>
      <w:r w:rsidRPr="003A2B3D">
        <w:t xml:space="preserve"> in a 5% CO</w:t>
      </w:r>
      <w:r w:rsidRPr="003A2B3D">
        <w:rPr>
          <w:vertAlign w:val="subscript"/>
        </w:rPr>
        <w:t>2</w:t>
      </w:r>
      <w:r w:rsidRPr="003A2B3D">
        <w:t xml:space="preserve">. </w:t>
      </w:r>
      <w:r>
        <w:t xml:space="preserve">20 </w:t>
      </w:r>
      <w:r>
        <w:rPr>
          <w:rFonts w:cs="Arial"/>
        </w:rPr>
        <w:t>μ</w:t>
      </w:r>
      <w:r>
        <w:t xml:space="preserve">L of the supernatants were then transferred to 150 </w:t>
      </w:r>
      <w:r>
        <w:rPr>
          <w:rFonts w:cs="Arial"/>
        </w:rPr>
        <w:t>μ</w:t>
      </w:r>
      <w:r>
        <w:t xml:space="preserve">L of </w:t>
      </w:r>
      <w:r w:rsidRPr="00D4642F">
        <w:rPr>
          <w:rFonts w:cs="Arial"/>
          <w:szCs w:val="20"/>
          <w:shd w:val="clear" w:color="auto" w:fill="FFFFFF"/>
        </w:rPr>
        <w:t>QUANTI-Blue™</w:t>
      </w:r>
      <w:r>
        <w:rPr>
          <w:rFonts w:cs="Arial"/>
          <w:szCs w:val="20"/>
          <w:shd w:val="clear" w:color="auto" w:fill="FFFFFF"/>
        </w:rPr>
        <w:t xml:space="preserve"> and</w:t>
      </w:r>
      <w:r w:rsidRPr="00EC6BAB">
        <w:t xml:space="preserve"> </w:t>
      </w:r>
      <w:r>
        <w:t>t</w:t>
      </w:r>
      <w:r w:rsidRPr="00EC6BAB">
        <w:t xml:space="preserve">he absorbance was measured </w:t>
      </w:r>
      <w:r w:rsidRPr="00EC6BAB">
        <w:lastRenderedPageBreak/>
        <w:t xml:space="preserve">in a Synergy HTX microplate </w:t>
      </w:r>
      <w:r>
        <w:t>reader</w:t>
      </w:r>
      <w:r w:rsidRPr="00EC6BAB">
        <w:t xml:space="preserve"> at a wavelength of 630 nm.</w:t>
      </w:r>
      <w:r>
        <w:t xml:space="preserve"> Data are reported as median with interquartile range. (B) IL-6 and TNF-</w:t>
      </w:r>
      <w:r>
        <w:rPr>
          <w:rFonts w:cs="Arial"/>
        </w:rPr>
        <w:t>α</w:t>
      </w:r>
      <w:r>
        <w:t xml:space="preserve">l were quantified by </w:t>
      </w:r>
      <w:r w:rsidRPr="0056128A">
        <w:t xml:space="preserve">Human </w:t>
      </w:r>
      <w:r>
        <w:t>IL-6</w:t>
      </w:r>
      <w:r w:rsidRPr="0056128A">
        <w:t xml:space="preserve"> Quantikine ELISA Kit</w:t>
      </w:r>
      <w:r>
        <w:t xml:space="preserve"> and</w:t>
      </w:r>
      <w:r w:rsidRPr="0056128A">
        <w:t xml:space="preserve"> </w:t>
      </w:r>
      <w:r>
        <w:rPr>
          <w:rFonts w:cs="Arial"/>
          <w:color w:val="222222"/>
          <w:szCs w:val="20"/>
          <w:shd w:val="clear" w:color="auto" w:fill="FFFFFF"/>
        </w:rPr>
        <w:t>Human TNF-α Quantikine ELISA Kit (R&amp;D Systems, Minneapolis, MN, USA)</w:t>
      </w:r>
      <w:r>
        <w:t xml:space="preserve">, respectively. IL-10 was detected using </w:t>
      </w:r>
      <w:r w:rsidRPr="00F62D87">
        <w:t>Human IL-10 ELISA Kit, High Sensitivity</w:t>
      </w:r>
      <w:r>
        <w:t xml:space="preserve"> (Thermo Fisher Scientific, USA). All assays were performed </w:t>
      </w:r>
      <w:r w:rsidRPr="00FE7831">
        <w:t>according to the manufacturer’s protocol.</w:t>
      </w:r>
      <w:r>
        <w:t xml:space="preserve"> S</w:t>
      </w:r>
      <w:r w:rsidRPr="00CC353F">
        <w:t xml:space="preserve">amples were diluted </w:t>
      </w:r>
      <w:r>
        <w:t>2</w:t>
      </w:r>
      <w:r w:rsidRPr="00CC353F">
        <w:t>-fold</w:t>
      </w:r>
      <w:r>
        <w:t xml:space="preserve">. Data are </w:t>
      </w:r>
      <w:r>
        <w:rPr>
          <w:rFonts w:cs="Arial"/>
          <w:color w:val="222222"/>
          <w:szCs w:val="20"/>
          <w:shd w:val="clear" w:color="auto" w:fill="FFFFFF"/>
        </w:rPr>
        <w:t>presented as a boxplot from min to max with all points.</w:t>
      </w:r>
    </w:p>
    <w:p w14:paraId="2FFF3C4A" w14:textId="108A99A2" w:rsidR="009E317A" w:rsidRDefault="009E317A" w:rsidP="00E60F13">
      <w:pPr>
        <w:jc w:val="both"/>
        <w:rPr>
          <w:rFonts w:cs="Arial"/>
          <w:color w:val="222222"/>
          <w:szCs w:val="20"/>
          <w:shd w:val="clear" w:color="auto" w:fill="FFFFFF"/>
        </w:rPr>
      </w:pPr>
      <w:r w:rsidRPr="009E317A">
        <w:rPr>
          <w:rFonts w:cs="Arial"/>
          <w:b/>
          <w:bCs/>
          <w:color w:val="222222"/>
          <w:szCs w:val="20"/>
          <w:shd w:val="clear" w:color="auto" w:fill="FFFFFF"/>
          <w:lang w:val="cs-CZ"/>
        </w:rPr>
        <w:t xml:space="preserve">Abbreviations: </w:t>
      </w:r>
      <w:r w:rsidRPr="009E317A">
        <w:rPr>
          <w:rFonts w:cs="Arial"/>
          <w:color w:val="222222"/>
          <w:szCs w:val="20"/>
          <w:shd w:val="clear" w:color="auto" w:fill="FFFFFF"/>
          <w:lang w:val="cs-CZ"/>
        </w:rPr>
        <w:t>RPMI, negative control; MDP, muramyl dipeptide; IL, interleukin; TNF, tumor necrosis factor; A.c., positive assay control: recombinant rIL-6 and rTNF-α</w:t>
      </w:r>
    </w:p>
    <w:p w14:paraId="1FF825C9" w14:textId="5445C737" w:rsidR="00166AD9" w:rsidRDefault="00166AD9" w:rsidP="005C031F">
      <w:pPr>
        <w:jc w:val="both"/>
        <w:rPr>
          <w:rFonts w:cs="Arial"/>
          <w:szCs w:val="20"/>
        </w:rPr>
      </w:pPr>
    </w:p>
    <w:p w14:paraId="13F873FB" w14:textId="77777777" w:rsidR="005C031F" w:rsidRDefault="005C031F" w:rsidP="005C031F">
      <w:pPr>
        <w:jc w:val="both"/>
        <w:rPr>
          <w:rFonts w:cs="Arial"/>
          <w:szCs w:val="20"/>
        </w:rPr>
      </w:pPr>
    </w:p>
    <w:p w14:paraId="507ED824" w14:textId="22664B5D" w:rsidR="00166AD9" w:rsidRDefault="00C770F9" w:rsidP="005C031F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drawing>
          <wp:inline distT="0" distB="0" distL="0" distR="0" wp14:anchorId="4965E9AE" wp14:editId="1925109A">
            <wp:extent cx="3944680" cy="2978141"/>
            <wp:effectExtent l="0" t="0" r="0" b="0"/>
            <wp:docPr id="1433347846" name="Obrázek 6" descr="Obsah obrázku text, diagram, snímek obrazovky, Technický výkre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47846" name="Obrázek 6" descr="Obsah obrázku text, diagram, snímek obrazovky, Technický výkres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283" cy="2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4829" w14:textId="11EA97D3" w:rsidR="00C770F9" w:rsidRDefault="00C770F9" w:rsidP="005C031F">
      <w:pPr>
        <w:jc w:val="both"/>
        <w:rPr>
          <w:rFonts w:cs="Arial"/>
          <w:szCs w:val="20"/>
        </w:rPr>
      </w:pPr>
      <w:r w:rsidRPr="00E45EA8">
        <w:rPr>
          <w:rFonts w:cs="Arial"/>
          <w:b/>
          <w:szCs w:val="20"/>
        </w:rPr>
        <w:t>Figure S</w:t>
      </w:r>
      <w:r w:rsidR="00E60F13">
        <w:rPr>
          <w:rFonts w:cs="Arial"/>
          <w:b/>
          <w:szCs w:val="20"/>
        </w:rPr>
        <w:t>5</w:t>
      </w:r>
      <w:r w:rsidRPr="00E45EA8">
        <w:rPr>
          <w:rFonts w:cs="Arial"/>
          <w:szCs w:val="20"/>
        </w:rPr>
        <w:t xml:space="preserve"> </w:t>
      </w:r>
      <w:r w:rsidR="000C0FC6">
        <w:rPr>
          <w:rFonts w:cs="Arial"/>
          <w:szCs w:val="20"/>
        </w:rPr>
        <w:t xml:space="preserve">Monocytes </w:t>
      </w:r>
      <w:r w:rsidRPr="00E45EA8">
        <w:rPr>
          <w:rFonts w:cs="Arial"/>
          <w:szCs w:val="20"/>
        </w:rPr>
        <w:t>TiO</w:t>
      </w:r>
      <w:r w:rsidRPr="00E45EA8">
        <w:rPr>
          <w:rFonts w:cs="Arial"/>
          <w:szCs w:val="20"/>
          <w:vertAlign w:val="subscript"/>
        </w:rPr>
        <w:t>2</w:t>
      </w:r>
      <w:r w:rsidRPr="00E45EA8">
        <w:rPr>
          <w:rFonts w:cs="Arial"/>
          <w:szCs w:val="20"/>
        </w:rPr>
        <w:t>-based IL-1β production after MDP priming.</w:t>
      </w:r>
    </w:p>
    <w:p w14:paraId="420F1B45" w14:textId="72C9E0E2" w:rsidR="00C770F9" w:rsidRDefault="00C770F9" w:rsidP="005C031F">
      <w:pPr>
        <w:jc w:val="both"/>
        <w:rPr>
          <w:rFonts w:cs="Arial"/>
          <w:color w:val="222222"/>
          <w:szCs w:val="20"/>
          <w:shd w:val="clear" w:color="auto" w:fill="FFFFFF"/>
        </w:rPr>
      </w:pPr>
      <w:r w:rsidRPr="00F62D87">
        <w:rPr>
          <w:rFonts w:cs="Arial"/>
          <w:b/>
          <w:szCs w:val="20"/>
        </w:rPr>
        <w:t>Note:</w:t>
      </w:r>
      <w:r>
        <w:rPr>
          <w:rFonts w:cs="Arial"/>
          <w:b/>
          <w:szCs w:val="20"/>
        </w:rPr>
        <w:t xml:space="preserve"> </w:t>
      </w:r>
      <w:r>
        <w:rPr>
          <w:rFonts w:cs="Arial"/>
          <w:szCs w:val="20"/>
        </w:rPr>
        <w:t>Monocytes were primed for 1 h or 3 h by MDP (5 µg/mL) and after careful washing by RPMI, cells were exposed to TiO</w:t>
      </w:r>
      <w:r w:rsidRPr="00F62D87">
        <w:rPr>
          <w:rFonts w:cs="Arial"/>
          <w:szCs w:val="20"/>
          <w:vertAlign w:val="subscript"/>
        </w:rPr>
        <w:t>2</w:t>
      </w:r>
      <w:r>
        <w:rPr>
          <w:rFonts w:cs="Arial"/>
          <w:szCs w:val="20"/>
        </w:rPr>
        <w:t xml:space="preserve"> (120 µg/mL) for another 24 h. IL-1β in supernatants was evaluated using HEK-Blue IL-1β reporter cells</w:t>
      </w:r>
      <w:r w:rsidRPr="000C0FC6">
        <w:rPr>
          <w:rFonts w:cs="Arial"/>
          <w:szCs w:val="20"/>
        </w:rPr>
        <w:t xml:space="preserve">. </w:t>
      </w:r>
      <w:r w:rsidR="000C0FC6" w:rsidRPr="000C0FC6">
        <w:t xml:space="preserve">Results were obtained from two independent experiments/donors with three replicates each, n = 6. </w:t>
      </w:r>
      <w:r>
        <w:t xml:space="preserve">Data are reported as median with interquartile range with </w:t>
      </w:r>
      <w:r>
        <w:rPr>
          <w:rFonts w:cs="Arial"/>
          <w:color w:val="222222"/>
          <w:szCs w:val="20"/>
          <w:shd w:val="clear" w:color="auto" w:fill="FFFFFF"/>
        </w:rPr>
        <w:t>*** </w:t>
      </w:r>
      <w:r>
        <w:rPr>
          <w:rStyle w:val="html-italic"/>
          <w:rFonts w:cs="Arial"/>
          <w:i/>
          <w:iCs/>
          <w:color w:val="222222"/>
          <w:szCs w:val="20"/>
          <w:shd w:val="clear" w:color="auto" w:fill="FFFFFF"/>
        </w:rPr>
        <w:t>p</w:t>
      </w:r>
      <w:r>
        <w:rPr>
          <w:rFonts w:cs="Arial"/>
          <w:color w:val="222222"/>
          <w:szCs w:val="20"/>
          <w:shd w:val="clear" w:color="auto" w:fill="FFFFFF"/>
        </w:rPr>
        <w:t> &lt; 0.01 and * </w:t>
      </w:r>
      <w:r>
        <w:rPr>
          <w:rStyle w:val="html-italic"/>
          <w:rFonts w:cs="Arial"/>
          <w:i/>
          <w:iCs/>
          <w:color w:val="222222"/>
          <w:szCs w:val="20"/>
          <w:shd w:val="clear" w:color="auto" w:fill="FFFFFF"/>
        </w:rPr>
        <w:t>p</w:t>
      </w:r>
      <w:r>
        <w:rPr>
          <w:rFonts w:cs="Arial"/>
          <w:color w:val="222222"/>
          <w:szCs w:val="20"/>
          <w:shd w:val="clear" w:color="auto" w:fill="FFFFFF"/>
        </w:rPr>
        <w:t> &lt; 0.05 highlighting the statistical significance as compared to corresponding control without TiO</w:t>
      </w:r>
      <w:r w:rsidRPr="007230AE">
        <w:rPr>
          <w:rFonts w:cs="Arial"/>
          <w:color w:val="222222"/>
          <w:szCs w:val="20"/>
          <w:shd w:val="clear" w:color="auto" w:fill="FFFFFF"/>
          <w:vertAlign w:val="subscript"/>
        </w:rPr>
        <w:t>2</w:t>
      </w:r>
      <w:r>
        <w:rPr>
          <w:rFonts w:cs="Arial"/>
          <w:color w:val="222222"/>
          <w:szCs w:val="20"/>
          <w:shd w:val="clear" w:color="auto" w:fill="FFFFFF"/>
        </w:rPr>
        <w:t>.</w:t>
      </w:r>
    </w:p>
    <w:p w14:paraId="07373FB8" w14:textId="70F96C59" w:rsidR="00C770F9" w:rsidRPr="002B7CC6" w:rsidRDefault="00C770F9" w:rsidP="005C031F">
      <w:pPr>
        <w:jc w:val="both"/>
      </w:pPr>
      <w:r>
        <w:rPr>
          <w:b/>
        </w:rPr>
        <w:t>Abbreviations</w:t>
      </w:r>
      <w:r w:rsidRPr="009F3965">
        <w:rPr>
          <w:b/>
        </w:rPr>
        <w:t>:</w:t>
      </w:r>
      <w:r>
        <w:rPr>
          <w:b/>
        </w:rPr>
        <w:t xml:space="preserve"> </w:t>
      </w:r>
      <w:r>
        <w:t>RPMI, negative control</w:t>
      </w:r>
    </w:p>
    <w:p w14:paraId="1D44E3E3" w14:textId="7ED4E049" w:rsidR="00166AD9" w:rsidRDefault="009A2905" w:rsidP="005C031F">
      <w:pPr>
        <w:jc w:val="both"/>
        <w:rPr>
          <w:rFonts w:cs="Arial"/>
          <w:b/>
          <w:sz w:val="22"/>
          <w:szCs w:val="22"/>
        </w:rPr>
      </w:pPr>
      <w:r>
        <w:rPr>
          <w:rFonts w:cs="Arial"/>
          <w:b/>
          <w:noProof/>
          <w:sz w:val="22"/>
          <w:szCs w:val="22"/>
        </w:rPr>
        <w:lastRenderedPageBreak/>
        <w:drawing>
          <wp:inline distT="0" distB="0" distL="0" distR="0" wp14:anchorId="47AD4F73" wp14:editId="3FE76ECB">
            <wp:extent cx="6120666" cy="4691802"/>
            <wp:effectExtent l="0" t="0" r="0" b="0"/>
            <wp:docPr id="1305188278" name="Obrázek 2" descr="Obsah obrázku text, diagram, snímek obrazovky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88278" name="Obrázek 2" descr="Obsah obrázku text, diagram, snímek obrazovky, Paralelní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133" cy="469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08E82" w14:textId="7B7F0B2B" w:rsidR="00166AD9" w:rsidRDefault="00166AD9" w:rsidP="005C031F">
      <w:pPr>
        <w:jc w:val="both"/>
      </w:pPr>
      <w:r w:rsidRPr="00E45EA8">
        <w:rPr>
          <w:rFonts w:cs="Arial"/>
          <w:b/>
          <w:szCs w:val="20"/>
        </w:rPr>
        <w:t>Figure S</w:t>
      </w:r>
      <w:r w:rsidR="00E60F13">
        <w:rPr>
          <w:rFonts w:cs="Arial"/>
          <w:b/>
          <w:szCs w:val="20"/>
        </w:rPr>
        <w:t>6</w:t>
      </w:r>
      <w:r w:rsidRPr="00E45EA8">
        <w:rPr>
          <w:rFonts w:cs="Arial"/>
          <w:szCs w:val="20"/>
        </w:rPr>
        <w:t xml:space="preserve"> </w:t>
      </w:r>
      <w:r w:rsidR="009A2905" w:rsidRPr="002C1EF1">
        <w:t xml:space="preserve">Viability </w:t>
      </w:r>
      <w:r w:rsidR="009A2905">
        <w:t>and NLRP3 activity of THP1-null cells in the presence of TiO</w:t>
      </w:r>
      <w:r w:rsidR="009A2905" w:rsidRPr="003F1D8C">
        <w:rPr>
          <w:vertAlign w:val="subscript"/>
        </w:rPr>
        <w:t>2</w:t>
      </w:r>
      <w:r w:rsidR="009A2905">
        <w:t xml:space="preserve"> after </w:t>
      </w:r>
      <w:r w:rsidR="001F37CE">
        <w:t>priming.</w:t>
      </w:r>
    </w:p>
    <w:p w14:paraId="40D5D076" w14:textId="1369D626" w:rsidR="001F37CE" w:rsidRDefault="001F37CE" w:rsidP="005C031F">
      <w:pPr>
        <w:jc w:val="both"/>
        <w:rPr>
          <w:rFonts w:cs="Arial"/>
          <w:color w:val="222222"/>
          <w:szCs w:val="20"/>
        </w:rPr>
      </w:pPr>
      <w:r w:rsidRPr="00E86CE7">
        <w:rPr>
          <w:b/>
          <w:bCs/>
        </w:rPr>
        <w:t>Notes:</w:t>
      </w:r>
      <w:r>
        <w:t xml:space="preserve"> Viability was assessed by (A) LDH assay with Lysis buffer as 100% positive control and (B) WST-1 assay. (C) IL-1</w:t>
      </w:r>
      <w:r>
        <w:rPr>
          <w:rFonts w:cs="Arial"/>
        </w:rPr>
        <w:t>β</w:t>
      </w:r>
      <w:r>
        <w:t xml:space="preserve"> was evaluated using reporter cell-based assays. </w:t>
      </w:r>
      <w:r w:rsidR="000C0FC6">
        <w:t xml:space="preserve">Results were obtained from three independent experiments </w:t>
      </w:r>
      <w:r w:rsidR="000C0FC6" w:rsidRPr="000C0FC6">
        <w:t xml:space="preserve">with three replicates each, n = </w:t>
      </w:r>
      <w:r w:rsidR="000C0FC6">
        <w:t>9 and d</w:t>
      </w:r>
      <w:r>
        <w:t>ata were analyzed separately according to each corresponding control without TiO</w:t>
      </w:r>
      <w:r w:rsidRPr="00573D0D">
        <w:rPr>
          <w:vertAlign w:val="subscript"/>
        </w:rPr>
        <w:t>2</w:t>
      </w:r>
      <w:r>
        <w:t xml:space="preserve"> treatment (RPMI and MDP) and are reported as median with interquartile range</w:t>
      </w:r>
      <w:r w:rsidR="000C0FC6">
        <w:t xml:space="preserve"> with</w:t>
      </w:r>
      <w:r>
        <w:t xml:space="preserve"> *</w:t>
      </w:r>
      <w:r>
        <w:rPr>
          <w:rFonts w:cs="Arial"/>
          <w:color w:val="222222"/>
          <w:szCs w:val="20"/>
          <w:shd w:val="clear" w:color="auto" w:fill="FFFFFF"/>
        </w:rPr>
        <w:t>** </w:t>
      </w:r>
      <w:r>
        <w:rPr>
          <w:rStyle w:val="html-italic"/>
          <w:rFonts w:cs="Arial"/>
          <w:i/>
          <w:iCs/>
          <w:color w:val="222222"/>
          <w:szCs w:val="20"/>
          <w:shd w:val="clear" w:color="auto" w:fill="FFFFFF"/>
        </w:rPr>
        <w:t>p</w:t>
      </w:r>
      <w:r>
        <w:rPr>
          <w:rFonts w:cs="Arial"/>
          <w:color w:val="222222"/>
          <w:szCs w:val="20"/>
          <w:shd w:val="clear" w:color="auto" w:fill="FFFFFF"/>
        </w:rPr>
        <w:t> &lt; 0.001, ** </w:t>
      </w:r>
      <w:r>
        <w:rPr>
          <w:rStyle w:val="html-italic"/>
          <w:rFonts w:cs="Arial"/>
          <w:i/>
          <w:iCs/>
          <w:color w:val="222222"/>
          <w:szCs w:val="20"/>
          <w:shd w:val="clear" w:color="auto" w:fill="FFFFFF"/>
        </w:rPr>
        <w:t>p</w:t>
      </w:r>
      <w:r>
        <w:rPr>
          <w:rFonts w:cs="Arial"/>
          <w:color w:val="222222"/>
          <w:szCs w:val="20"/>
          <w:shd w:val="clear" w:color="auto" w:fill="FFFFFF"/>
        </w:rPr>
        <w:t> &lt; 0.01</w:t>
      </w:r>
      <w:r w:rsidR="000C0FC6">
        <w:rPr>
          <w:rFonts w:cs="Arial"/>
          <w:color w:val="222222"/>
          <w:szCs w:val="20"/>
          <w:shd w:val="clear" w:color="auto" w:fill="FFFFFF"/>
        </w:rPr>
        <w:t xml:space="preserve"> highlighting the statistical significance as compared to corresponding control without TiO</w:t>
      </w:r>
      <w:r w:rsidR="000C0FC6" w:rsidRPr="007230AE">
        <w:rPr>
          <w:rFonts w:cs="Arial"/>
          <w:color w:val="222222"/>
          <w:szCs w:val="20"/>
          <w:shd w:val="clear" w:color="auto" w:fill="FFFFFF"/>
          <w:vertAlign w:val="subscript"/>
        </w:rPr>
        <w:t>2</w:t>
      </w:r>
      <w:r w:rsidR="000C0FC6">
        <w:rPr>
          <w:rFonts w:cs="Arial"/>
          <w:color w:val="222222"/>
          <w:szCs w:val="20"/>
          <w:shd w:val="clear" w:color="auto" w:fill="FFFFFF"/>
        </w:rPr>
        <w:t xml:space="preserve"> (RPMI) and </w:t>
      </w:r>
      <w:r w:rsidR="000C0FC6" w:rsidRPr="001E5A3A">
        <w:rPr>
          <w:rFonts w:cs="Arial"/>
          <w:color w:val="222222"/>
          <w:szCs w:val="20"/>
          <w:shd w:val="clear" w:color="auto" w:fill="FFFFFF"/>
          <w:vertAlign w:val="superscript"/>
        </w:rPr>
        <w:t>##</w:t>
      </w:r>
      <w:r w:rsidR="000C0FC6" w:rsidRPr="001E5A3A">
        <w:rPr>
          <w:rFonts w:cs="Arial"/>
          <w:i/>
          <w:color w:val="222222"/>
          <w:szCs w:val="20"/>
          <w:shd w:val="clear" w:color="auto" w:fill="FFFFFF"/>
        </w:rPr>
        <w:t>p</w:t>
      </w:r>
      <w:r w:rsidR="000C0FC6">
        <w:rPr>
          <w:rFonts w:cs="Arial"/>
          <w:i/>
          <w:color w:val="222222"/>
          <w:szCs w:val="20"/>
          <w:shd w:val="clear" w:color="auto" w:fill="FFFFFF"/>
        </w:rPr>
        <w:t xml:space="preserve"> </w:t>
      </w:r>
      <w:r w:rsidR="000C0FC6">
        <w:rPr>
          <w:rFonts w:cs="Arial"/>
          <w:color w:val="222222"/>
          <w:szCs w:val="20"/>
          <w:shd w:val="clear" w:color="auto" w:fill="FFFFFF"/>
        </w:rPr>
        <w:t xml:space="preserve">&lt; 0.01, </w:t>
      </w:r>
      <w:r w:rsidR="000C0FC6" w:rsidRPr="001E5A3A">
        <w:rPr>
          <w:rFonts w:cs="Arial"/>
          <w:color w:val="222222"/>
          <w:szCs w:val="20"/>
          <w:shd w:val="clear" w:color="auto" w:fill="FFFFFF"/>
          <w:vertAlign w:val="superscript"/>
        </w:rPr>
        <w:t>###</w:t>
      </w:r>
      <w:r w:rsidR="000C0FC6" w:rsidRPr="009F0C8A">
        <w:rPr>
          <w:rFonts w:cs="Arial"/>
          <w:i/>
          <w:color w:val="222222"/>
          <w:szCs w:val="20"/>
          <w:shd w:val="clear" w:color="auto" w:fill="FFFFFF"/>
        </w:rPr>
        <w:t>p</w:t>
      </w:r>
      <w:r w:rsidR="000C0FC6">
        <w:rPr>
          <w:rFonts w:cs="Arial"/>
          <w:color w:val="222222"/>
          <w:szCs w:val="20"/>
          <w:shd w:val="clear" w:color="auto" w:fill="FFFFFF"/>
        </w:rPr>
        <w:t xml:space="preserve"> &lt; 0.001 as compared to corresponding control without TiO</w:t>
      </w:r>
      <w:r w:rsidR="000C0FC6" w:rsidRPr="007230AE">
        <w:rPr>
          <w:rFonts w:cs="Arial"/>
          <w:color w:val="222222"/>
          <w:szCs w:val="20"/>
          <w:shd w:val="clear" w:color="auto" w:fill="FFFFFF"/>
          <w:vertAlign w:val="subscript"/>
        </w:rPr>
        <w:t>2</w:t>
      </w:r>
      <w:r w:rsidR="000C0FC6">
        <w:rPr>
          <w:rFonts w:cs="Arial"/>
          <w:color w:val="222222"/>
          <w:szCs w:val="20"/>
          <w:shd w:val="clear" w:color="auto" w:fill="FFFFFF"/>
        </w:rPr>
        <w:t xml:space="preserve"> (MDP). (D) </w:t>
      </w:r>
      <w:r w:rsidR="000C0FC6">
        <w:t>Cells were exposed to TiO</w:t>
      </w:r>
      <w:r w:rsidR="000C0FC6" w:rsidRPr="001E5A3A">
        <w:rPr>
          <w:vertAlign w:val="subscript"/>
        </w:rPr>
        <w:t>2</w:t>
      </w:r>
      <w:r w:rsidR="000C0FC6">
        <w:t>, MDP, or their mixture for 24 h in the presence of the NOD2</w:t>
      </w:r>
      <w:r w:rsidR="00250D7E">
        <w:t xml:space="preserve">, </w:t>
      </w:r>
      <w:r w:rsidR="000C0FC6">
        <w:t>NLRP3</w:t>
      </w:r>
      <w:r w:rsidR="00250D7E">
        <w:t xml:space="preserve">, their mixture, or AIM2 </w:t>
      </w:r>
      <w:r w:rsidR="000C0FC6">
        <w:t>inhibitors GSK717</w:t>
      </w:r>
      <w:r w:rsidR="00250D7E">
        <w:t xml:space="preserve">, </w:t>
      </w:r>
      <w:r w:rsidR="000C0FC6">
        <w:t>MCC950</w:t>
      </w:r>
      <w:r w:rsidR="00250D7E">
        <w:t>, GSK717+ MCC950 and A151</w:t>
      </w:r>
      <w:r w:rsidR="000C0FC6">
        <w:t xml:space="preserve">, respectively. Results </w:t>
      </w:r>
      <w:r w:rsidR="000C0FC6" w:rsidRPr="000C0FC6">
        <w:t xml:space="preserve">were obtained from </w:t>
      </w:r>
      <w:r w:rsidR="000C0FC6">
        <w:t xml:space="preserve">two </w:t>
      </w:r>
      <w:r w:rsidR="000C0FC6" w:rsidRPr="000C0FC6">
        <w:t xml:space="preserve">independent experiments with three replicates each, n = </w:t>
      </w:r>
      <w:r w:rsidR="000C0FC6">
        <w:t>6</w:t>
      </w:r>
      <w:r w:rsidR="000C0FC6" w:rsidRPr="000C0FC6">
        <w:t xml:space="preserve"> and</w:t>
      </w:r>
      <w:r w:rsidR="000C0FC6">
        <w:t xml:space="preserve"> data</w:t>
      </w:r>
      <w:r w:rsidR="000C0FC6" w:rsidRPr="000C0FC6">
        <w:t xml:space="preserve"> </w:t>
      </w:r>
      <w:r w:rsidR="000C0FC6">
        <w:t xml:space="preserve">are reported as median with interquartile range with </w:t>
      </w:r>
      <w:r w:rsidR="000C0FC6">
        <w:rPr>
          <w:rFonts w:cs="Arial"/>
          <w:color w:val="222222"/>
          <w:szCs w:val="20"/>
          <w:shd w:val="clear" w:color="auto" w:fill="FFFFFF"/>
        </w:rPr>
        <w:t>*** </w:t>
      </w:r>
      <w:r w:rsidR="000C0FC6">
        <w:rPr>
          <w:rStyle w:val="html-italic"/>
          <w:rFonts w:cs="Arial"/>
          <w:i/>
          <w:iCs/>
          <w:color w:val="222222"/>
          <w:szCs w:val="20"/>
          <w:shd w:val="clear" w:color="auto" w:fill="FFFFFF"/>
        </w:rPr>
        <w:t>p</w:t>
      </w:r>
      <w:r w:rsidR="000C0FC6">
        <w:rPr>
          <w:rFonts w:cs="Arial"/>
          <w:color w:val="222222"/>
          <w:szCs w:val="20"/>
          <w:shd w:val="clear" w:color="auto" w:fill="FFFFFF"/>
        </w:rPr>
        <w:t> &lt; 0.0</w:t>
      </w:r>
      <w:r w:rsidR="00250D7E">
        <w:rPr>
          <w:rFonts w:cs="Arial"/>
          <w:color w:val="222222"/>
          <w:szCs w:val="20"/>
          <w:shd w:val="clear" w:color="auto" w:fill="FFFFFF"/>
        </w:rPr>
        <w:t>0</w:t>
      </w:r>
      <w:r w:rsidR="000C0FC6">
        <w:rPr>
          <w:rFonts w:cs="Arial"/>
          <w:color w:val="222222"/>
          <w:szCs w:val="20"/>
          <w:shd w:val="clear" w:color="auto" w:fill="FFFFFF"/>
        </w:rPr>
        <w:t>1</w:t>
      </w:r>
      <w:r w:rsidR="00250D7E">
        <w:rPr>
          <w:rFonts w:cs="Arial"/>
          <w:color w:val="222222"/>
          <w:szCs w:val="20"/>
          <w:shd w:val="clear" w:color="auto" w:fill="FFFFFF"/>
        </w:rPr>
        <w:t xml:space="preserve"> </w:t>
      </w:r>
      <w:r w:rsidR="000C0FC6">
        <w:rPr>
          <w:rFonts w:cs="Arial"/>
          <w:color w:val="222222"/>
          <w:szCs w:val="20"/>
        </w:rPr>
        <w:t xml:space="preserve">highlighting statistical </w:t>
      </w:r>
      <w:r w:rsidR="000C0FC6">
        <w:rPr>
          <w:rFonts w:cs="Arial"/>
          <w:color w:val="222222"/>
          <w:szCs w:val="20"/>
        </w:rPr>
        <w:lastRenderedPageBreak/>
        <w:t xml:space="preserve">significance </w:t>
      </w:r>
      <w:r w:rsidR="000C0FC6">
        <w:rPr>
          <w:rFonts w:cs="Arial"/>
          <w:color w:val="222222"/>
          <w:szCs w:val="20"/>
          <w:shd w:val="clear" w:color="auto" w:fill="FFFFFF"/>
        </w:rPr>
        <w:t xml:space="preserve">compared to </w:t>
      </w:r>
      <w:r w:rsidR="000C0FC6">
        <w:rPr>
          <w:rFonts w:cs="Arial"/>
          <w:color w:val="222222"/>
          <w:szCs w:val="20"/>
        </w:rPr>
        <w:t xml:space="preserve">the unstimulated control (RPMI), and </w:t>
      </w:r>
      <w:bookmarkStart w:id="1" w:name="_Hlk184574830"/>
      <w:r w:rsidR="000C0FC6" w:rsidRPr="001E5A3A">
        <w:rPr>
          <w:rFonts w:cs="Arial"/>
          <w:color w:val="222222"/>
          <w:szCs w:val="20"/>
          <w:shd w:val="clear" w:color="auto" w:fill="FFFFFF"/>
          <w:vertAlign w:val="superscript"/>
        </w:rPr>
        <w:t>###</w:t>
      </w:r>
      <w:r w:rsidR="000C0FC6" w:rsidRPr="009F0C8A">
        <w:rPr>
          <w:rFonts w:cs="Arial"/>
          <w:i/>
          <w:color w:val="222222"/>
          <w:szCs w:val="20"/>
          <w:shd w:val="clear" w:color="auto" w:fill="FFFFFF"/>
        </w:rPr>
        <w:t>p</w:t>
      </w:r>
      <w:r w:rsidR="000C0FC6">
        <w:rPr>
          <w:rFonts w:cs="Arial"/>
          <w:color w:val="222222"/>
          <w:szCs w:val="20"/>
          <w:shd w:val="clear" w:color="auto" w:fill="FFFFFF"/>
        </w:rPr>
        <w:t xml:space="preserve"> &lt; 0.001 </w:t>
      </w:r>
      <w:bookmarkEnd w:id="1"/>
      <w:r w:rsidR="000C0FC6">
        <w:rPr>
          <w:rFonts w:cs="Arial"/>
          <w:color w:val="222222"/>
          <w:szCs w:val="20"/>
          <w:shd w:val="clear" w:color="auto" w:fill="FFFFFF"/>
        </w:rPr>
        <w:t xml:space="preserve">highlighting statistical significance compared to </w:t>
      </w:r>
      <w:r w:rsidR="000C0FC6">
        <w:rPr>
          <w:rFonts w:cs="Arial"/>
          <w:color w:val="222222"/>
          <w:szCs w:val="20"/>
        </w:rPr>
        <w:t>the stimulated control without inhibitor</w:t>
      </w:r>
      <w:r w:rsidR="00250D7E">
        <w:rPr>
          <w:rFonts w:cs="Arial"/>
          <w:color w:val="222222"/>
          <w:szCs w:val="20"/>
        </w:rPr>
        <w:t>.</w:t>
      </w:r>
    </w:p>
    <w:p w14:paraId="1D158200" w14:textId="1DDD0482" w:rsidR="00250D7E" w:rsidRPr="00E86CE7" w:rsidRDefault="00250D7E" w:rsidP="005C031F">
      <w:pPr>
        <w:jc w:val="both"/>
        <w:rPr>
          <w:rFonts w:cs="Arial"/>
          <w:bCs/>
          <w:szCs w:val="20"/>
        </w:rPr>
      </w:pPr>
      <w:r>
        <w:rPr>
          <w:b/>
        </w:rPr>
        <w:t>Abbreviations</w:t>
      </w:r>
      <w:r w:rsidRPr="009F3965">
        <w:rPr>
          <w:b/>
        </w:rPr>
        <w:t>:</w:t>
      </w:r>
      <w:r>
        <w:rPr>
          <w:b/>
        </w:rPr>
        <w:t xml:space="preserve"> </w:t>
      </w:r>
      <w:r>
        <w:t xml:space="preserve">RPMI, negative control; MDP, muramyl dipeptide; </w:t>
      </w:r>
      <w:r>
        <w:rPr>
          <w:rFonts w:cs="Arial"/>
          <w:bCs/>
          <w:szCs w:val="20"/>
        </w:rPr>
        <w:t xml:space="preserve">LDH, lactate dehydrogenase; WST-1, </w:t>
      </w:r>
      <w:r w:rsidRPr="00E86CE7">
        <w:rPr>
          <w:rFonts w:cs="Arial"/>
          <w:bCs/>
          <w:szCs w:val="20"/>
        </w:rPr>
        <w:t>water-soluble tetrazolium salt</w:t>
      </w:r>
      <w:r>
        <w:rPr>
          <w:rFonts w:cs="Arial"/>
          <w:bCs/>
          <w:szCs w:val="20"/>
        </w:rPr>
        <w:t>; LB, lysis buffer; IL, interleukin; LPS, lipopolysaccharide; PC, positive control</w:t>
      </w:r>
    </w:p>
    <w:p w14:paraId="53008BC1" w14:textId="5D290B85" w:rsidR="00250D7E" w:rsidRPr="00250D7E" w:rsidRDefault="00250D7E" w:rsidP="005C031F">
      <w:pPr>
        <w:jc w:val="both"/>
      </w:pPr>
    </w:p>
    <w:sectPr w:rsidR="00250D7E" w:rsidRPr="00250D7E" w:rsidSect="00AD307E">
      <w:footerReference w:type="even" r:id="rId14"/>
      <w:footerReference w:type="default" r:id="rId15"/>
      <w:footerReference w:type="first" r:id="rId16"/>
      <w:pgSz w:w="12240" w:h="15840"/>
      <w:pgMar w:top="1440" w:right="1418" w:bottom="1440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219F2" w14:textId="77777777" w:rsidR="00962BC9" w:rsidRPr="00B915E4" w:rsidRDefault="00962BC9">
      <w:r w:rsidRPr="00B915E4">
        <w:separator/>
      </w:r>
    </w:p>
  </w:endnote>
  <w:endnote w:type="continuationSeparator" w:id="0">
    <w:p w14:paraId="2AE31A7C" w14:textId="77777777" w:rsidR="00962BC9" w:rsidRPr="00B915E4" w:rsidRDefault="00962BC9">
      <w:r w:rsidRPr="00B915E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89816" w14:textId="77777777" w:rsidR="006C5368" w:rsidRPr="00B915E4" w:rsidRDefault="006C5368" w:rsidP="00FF2660">
    <w:pPr>
      <w:pStyle w:val="Zpat"/>
      <w:framePr w:wrap="around" w:vAnchor="text" w:hAnchor="margin" w:xAlign="center" w:y="1"/>
      <w:rPr>
        <w:rStyle w:val="slostrnky"/>
      </w:rPr>
    </w:pPr>
    <w:r w:rsidRPr="00B915E4">
      <w:rPr>
        <w:rStyle w:val="slostrnky"/>
      </w:rPr>
      <w:fldChar w:fldCharType="begin"/>
    </w:r>
    <w:r w:rsidRPr="00B915E4">
      <w:rPr>
        <w:rStyle w:val="slostrnky"/>
      </w:rPr>
      <w:instrText xml:space="preserve">PAGE  </w:instrText>
    </w:r>
    <w:r w:rsidRPr="00B915E4">
      <w:rPr>
        <w:rStyle w:val="slostrnky"/>
      </w:rPr>
      <w:fldChar w:fldCharType="end"/>
    </w:r>
  </w:p>
  <w:p w14:paraId="2CAF2E2E" w14:textId="77777777" w:rsidR="006C5368" w:rsidRPr="00B915E4" w:rsidRDefault="006C536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767A7" w14:textId="6FB5C562" w:rsidR="006C5368" w:rsidRPr="00B915E4" w:rsidRDefault="00D82CEA" w:rsidP="00FF2660">
    <w:pPr>
      <w:pStyle w:val="Zpat"/>
      <w:framePr w:wrap="around" w:vAnchor="text" w:hAnchor="margin" w:xAlign="center" w:y="1"/>
      <w:rPr>
        <w:rStyle w:val="slostrnky"/>
      </w:rPr>
    </w:pPr>
    <w:r w:rsidRPr="00B915E4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7AB8E50F" wp14:editId="33DE3C22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BE7705" w14:textId="11E8F27B" w:rsidR="00740F67" w:rsidRPr="00B915E4" w:rsidRDefault="00740F67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915E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8E50F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5CBE7705" w14:textId="11E8F27B" w:rsidR="00740F67" w:rsidRPr="00B915E4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915E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C5368" w:rsidRPr="00B915E4">
      <w:rPr>
        <w:rStyle w:val="slostrnky"/>
      </w:rPr>
      <w:fldChar w:fldCharType="begin"/>
    </w:r>
    <w:r w:rsidR="006C5368" w:rsidRPr="00B915E4">
      <w:rPr>
        <w:rStyle w:val="slostrnky"/>
      </w:rPr>
      <w:instrText xml:space="preserve">PAGE  </w:instrText>
    </w:r>
    <w:r w:rsidR="006C5368" w:rsidRPr="00B915E4">
      <w:rPr>
        <w:rStyle w:val="slostrnky"/>
      </w:rPr>
      <w:fldChar w:fldCharType="separate"/>
    </w:r>
    <w:r w:rsidR="00C94612" w:rsidRPr="00B915E4">
      <w:rPr>
        <w:rStyle w:val="slostrnky"/>
      </w:rPr>
      <w:t>5</w:t>
    </w:r>
    <w:r w:rsidR="006C5368" w:rsidRPr="00B915E4">
      <w:rPr>
        <w:rStyle w:val="slostrnky"/>
      </w:rPr>
      <w:fldChar w:fldCharType="end"/>
    </w:r>
  </w:p>
  <w:p w14:paraId="57E037CD" w14:textId="77777777" w:rsidR="006C5368" w:rsidRPr="00B915E4" w:rsidRDefault="006C5368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E9367" w14:textId="2D5073CE" w:rsidR="00740F67" w:rsidRPr="00B915E4" w:rsidRDefault="00D82CEA">
    <w:pPr>
      <w:pStyle w:val="Zpat"/>
    </w:pPr>
    <w:r w:rsidRPr="00B915E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D742D44" wp14:editId="27777857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1861909695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858B6" w14:textId="2F40394D" w:rsidR="00740F67" w:rsidRPr="00B915E4" w:rsidRDefault="00740F67" w:rsidP="00740F67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B915E4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42D44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" o:allowincell="f" filled="f" stroked="f">
              <v:textbox inset="20pt,0,,0">
                <w:txbxContent>
                  <w:p w14:paraId="640858B6" w14:textId="2F40394D" w:rsidR="00740F67" w:rsidRPr="00B915E4" w:rsidRDefault="00740F67" w:rsidP="00740F67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B915E4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C8C23" w14:textId="77777777" w:rsidR="00962BC9" w:rsidRPr="00B915E4" w:rsidRDefault="00962BC9">
      <w:r w:rsidRPr="00B915E4">
        <w:separator/>
      </w:r>
    </w:p>
  </w:footnote>
  <w:footnote w:type="continuationSeparator" w:id="0">
    <w:p w14:paraId="60BAC195" w14:textId="77777777" w:rsidR="00962BC9" w:rsidRPr="00B915E4" w:rsidRDefault="00962BC9">
      <w:r w:rsidRPr="00B915E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5355582">
    <w:abstractNumId w:val="1"/>
  </w:num>
  <w:num w:numId="2" w16cid:durableId="1315839758">
    <w:abstractNumId w:val="2"/>
  </w:num>
  <w:num w:numId="3" w16cid:durableId="1833911523">
    <w:abstractNumId w:val="5"/>
  </w:num>
  <w:num w:numId="4" w16cid:durableId="805466754">
    <w:abstractNumId w:val="3"/>
  </w:num>
  <w:num w:numId="5" w16cid:durableId="416942839">
    <w:abstractNumId w:val="0"/>
  </w:num>
  <w:num w:numId="6" w16cid:durableId="14822328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6E2A"/>
    <w:rsid w:val="00033695"/>
    <w:rsid w:val="000342A0"/>
    <w:rsid w:val="00035CCC"/>
    <w:rsid w:val="00043C1E"/>
    <w:rsid w:val="0005257A"/>
    <w:rsid w:val="00052C0A"/>
    <w:rsid w:val="00054361"/>
    <w:rsid w:val="0005593D"/>
    <w:rsid w:val="00062025"/>
    <w:rsid w:val="000666AF"/>
    <w:rsid w:val="0007252D"/>
    <w:rsid w:val="000774B1"/>
    <w:rsid w:val="0008401B"/>
    <w:rsid w:val="00087F9B"/>
    <w:rsid w:val="000A1664"/>
    <w:rsid w:val="000A4388"/>
    <w:rsid w:val="000B2BC9"/>
    <w:rsid w:val="000C0FC6"/>
    <w:rsid w:val="000C59ED"/>
    <w:rsid w:val="000D3E37"/>
    <w:rsid w:val="000D5360"/>
    <w:rsid w:val="000E6B48"/>
    <w:rsid w:val="000E7758"/>
    <w:rsid w:val="000F3098"/>
    <w:rsid w:val="00117777"/>
    <w:rsid w:val="00127CD5"/>
    <w:rsid w:val="001337FB"/>
    <w:rsid w:val="00166AD9"/>
    <w:rsid w:val="0017004E"/>
    <w:rsid w:val="00170F20"/>
    <w:rsid w:val="00173279"/>
    <w:rsid w:val="00191F49"/>
    <w:rsid w:val="001E7479"/>
    <w:rsid w:val="001F37CE"/>
    <w:rsid w:val="00203209"/>
    <w:rsid w:val="00212E22"/>
    <w:rsid w:val="00217D65"/>
    <w:rsid w:val="0022632E"/>
    <w:rsid w:val="00240E76"/>
    <w:rsid w:val="00246A32"/>
    <w:rsid w:val="00250D7E"/>
    <w:rsid w:val="00270A96"/>
    <w:rsid w:val="00272487"/>
    <w:rsid w:val="00285503"/>
    <w:rsid w:val="00286E82"/>
    <w:rsid w:val="00294CB0"/>
    <w:rsid w:val="002A2D9E"/>
    <w:rsid w:val="002B7CC6"/>
    <w:rsid w:val="002D1A3E"/>
    <w:rsid w:val="002D6E1B"/>
    <w:rsid w:val="002F4012"/>
    <w:rsid w:val="00302402"/>
    <w:rsid w:val="003155A1"/>
    <w:rsid w:val="00320521"/>
    <w:rsid w:val="00324666"/>
    <w:rsid w:val="003327ED"/>
    <w:rsid w:val="00342717"/>
    <w:rsid w:val="0037212B"/>
    <w:rsid w:val="0038573C"/>
    <w:rsid w:val="0038598C"/>
    <w:rsid w:val="0039041E"/>
    <w:rsid w:val="003948EC"/>
    <w:rsid w:val="003A6F39"/>
    <w:rsid w:val="003B4083"/>
    <w:rsid w:val="003D69BD"/>
    <w:rsid w:val="003F1D8C"/>
    <w:rsid w:val="00410570"/>
    <w:rsid w:val="00411796"/>
    <w:rsid w:val="00416C1A"/>
    <w:rsid w:val="0042633D"/>
    <w:rsid w:val="00431388"/>
    <w:rsid w:val="00437DF6"/>
    <w:rsid w:val="00441D51"/>
    <w:rsid w:val="00473BF1"/>
    <w:rsid w:val="004754C9"/>
    <w:rsid w:val="00492E7E"/>
    <w:rsid w:val="004B52C5"/>
    <w:rsid w:val="004C5313"/>
    <w:rsid w:val="004C5DB2"/>
    <w:rsid w:val="004E0368"/>
    <w:rsid w:val="004E2F6D"/>
    <w:rsid w:val="004E782D"/>
    <w:rsid w:val="00510B32"/>
    <w:rsid w:val="00511DB2"/>
    <w:rsid w:val="00553744"/>
    <w:rsid w:val="00553800"/>
    <w:rsid w:val="00556F09"/>
    <w:rsid w:val="0056128A"/>
    <w:rsid w:val="00565970"/>
    <w:rsid w:val="005715C2"/>
    <w:rsid w:val="005A6431"/>
    <w:rsid w:val="005C031F"/>
    <w:rsid w:val="005E1ECB"/>
    <w:rsid w:val="00600B5C"/>
    <w:rsid w:val="0060400B"/>
    <w:rsid w:val="00611C5F"/>
    <w:rsid w:val="00616A5D"/>
    <w:rsid w:val="0062140C"/>
    <w:rsid w:val="00646CF0"/>
    <w:rsid w:val="00661C2D"/>
    <w:rsid w:val="00662E52"/>
    <w:rsid w:val="00664525"/>
    <w:rsid w:val="00664C09"/>
    <w:rsid w:val="00667BDF"/>
    <w:rsid w:val="00680193"/>
    <w:rsid w:val="00683534"/>
    <w:rsid w:val="006B2DA2"/>
    <w:rsid w:val="006C5368"/>
    <w:rsid w:val="006C58F2"/>
    <w:rsid w:val="006C6E88"/>
    <w:rsid w:val="006D0474"/>
    <w:rsid w:val="006D142F"/>
    <w:rsid w:val="006D4AC5"/>
    <w:rsid w:val="006E7713"/>
    <w:rsid w:val="006F4910"/>
    <w:rsid w:val="00711171"/>
    <w:rsid w:val="0071230B"/>
    <w:rsid w:val="007230AE"/>
    <w:rsid w:val="00723455"/>
    <w:rsid w:val="007265D3"/>
    <w:rsid w:val="00740F67"/>
    <w:rsid w:val="00745C2A"/>
    <w:rsid w:val="00753E6B"/>
    <w:rsid w:val="00776A7C"/>
    <w:rsid w:val="00780A29"/>
    <w:rsid w:val="007900DA"/>
    <w:rsid w:val="007A1BDB"/>
    <w:rsid w:val="007A2AB8"/>
    <w:rsid w:val="007A3BEE"/>
    <w:rsid w:val="007C30BC"/>
    <w:rsid w:val="007E39E1"/>
    <w:rsid w:val="007E5D6F"/>
    <w:rsid w:val="007F32DA"/>
    <w:rsid w:val="007F3E8B"/>
    <w:rsid w:val="00827FC5"/>
    <w:rsid w:val="00852799"/>
    <w:rsid w:val="00872BF6"/>
    <w:rsid w:val="0088598F"/>
    <w:rsid w:val="00887016"/>
    <w:rsid w:val="008A08C0"/>
    <w:rsid w:val="008A4036"/>
    <w:rsid w:val="008A52A5"/>
    <w:rsid w:val="008B697C"/>
    <w:rsid w:val="008B7AD5"/>
    <w:rsid w:val="008C361E"/>
    <w:rsid w:val="008E3EA8"/>
    <w:rsid w:val="00900663"/>
    <w:rsid w:val="00901244"/>
    <w:rsid w:val="0091401F"/>
    <w:rsid w:val="009147B3"/>
    <w:rsid w:val="00927DE6"/>
    <w:rsid w:val="009345FC"/>
    <w:rsid w:val="00937F3D"/>
    <w:rsid w:val="00946800"/>
    <w:rsid w:val="009563F4"/>
    <w:rsid w:val="00956C4D"/>
    <w:rsid w:val="00962BC9"/>
    <w:rsid w:val="009828D3"/>
    <w:rsid w:val="00992CB9"/>
    <w:rsid w:val="009A1F5A"/>
    <w:rsid w:val="009A2905"/>
    <w:rsid w:val="009A3534"/>
    <w:rsid w:val="009A4057"/>
    <w:rsid w:val="009B1D49"/>
    <w:rsid w:val="009D3AD0"/>
    <w:rsid w:val="009E317A"/>
    <w:rsid w:val="009F3965"/>
    <w:rsid w:val="00A06800"/>
    <w:rsid w:val="00A10913"/>
    <w:rsid w:val="00A20FFB"/>
    <w:rsid w:val="00A3756A"/>
    <w:rsid w:val="00A445D7"/>
    <w:rsid w:val="00A526C7"/>
    <w:rsid w:val="00A6170F"/>
    <w:rsid w:val="00A63CD7"/>
    <w:rsid w:val="00A70251"/>
    <w:rsid w:val="00AA42CD"/>
    <w:rsid w:val="00AB389E"/>
    <w:rsid w:val="00AB47E4"/>
    <w:rsid w:val="00AC1F93"/>
    <w:rsid w:val="00AC40EE"/>
    <w:rsid w:val="00AC5480"/>
    <w:rsid w:val="00AD307E"/>
    <w:rsid w:val="00AD76B0"/>
    <w:rsid w:val="00AE5062"/>
    <w:rsid w:val="00B26A6E"/>
    <w:rsid w:val="00B30BC3"/>
    <w:rsid w:val="00B42F97"/>
    <w:rsid w:val="00B7570E"/>
    <w:rsid w:val="00B82724"/>
    <w:rsid w:val="00B86FEB"/>
    <w:rsid w:val="00B915E4"/>
    <w:rsid w:val="00B96017"/>
    <w:rsid w:val="00BB027B"/>
    <w:rsid w:val="00BD6666"/>
    <w:rsid w:val="00C078EB"/>
    <w:rsid w:val="00C27B5D"/>
    <w:rsid w:val="00C43B3D"/>
    <w:rsid w:val="00C468DD"/>
    <w:rsid w:val="00C548FC"/>
    <w:rsid w:val="00C701F9"/>
    <w:rsid w:val="00C770F9"/>
    <w:rsid w:val="00C77450"/>
    <w:rsid w:val="00C85DF2"/>
    <w:rsid w:val="00C94612"/>
    <w:rsid w:val="00CA63BE"/>
    <w:rsid w:val="00CB0023"/>
    <w:rsid w:val="00CC1ADF"/>
    <w:rsid w:val="00CD758F"/>
    <w:rsid w:val="00CE3D29"/>
    <w:rsid w:val="00CE79D7"/>
    <w:rsid w:val="00CE7DDC"/>
    <w:rsid w:val="00D00B4B"/>
    <w:rsid w:val="00D10823"/>
    <w:rsid w:val="00D20F53"/>
    <w:rsid w:val="00D27A92"/>
    <w:rsid w:val="00D50641"/>
    <w:rsid w:val="00D51863"/>
    <w:rsid w:val="00D578A6"/>
    <w:rsid w:val="00D700C3"/>
    <w:rsid w:val="00D7204D"/>
    <w:rsid w:val="00D81B3E"/>
    <w:rsid w:val="00D82CEA"/>
    <w:rsid w:val="00D83A6C"/>
    <w:rsid w:val="00D94F22"/>
    <w:rsid w:val="00DB0A0D"/>
    <w:rsid w:val="00DB1797"/>
    <w:rsid w:val="00DB423B"/>
    <w:rsid w:val="00DD0FE9"/>
    <w:rsid w:val="00DD1A55"/>
    <w:rsid w:val="00DE5F42"/>
    <w:rsid w:val="00DF4C7F"/>
    <w:rsid w:val="00DF6A1F"/>
    <w:rsid w:val="00E021BA"/>
    <w:rsid w:val="00E031E1"/>
    <w:rsid w:val="00E1216B"/>
    <w:rsid w:val="00E13241"/>
    <w:rsid w:val="00E1328D"/>
    <w:rsid w:val="00E225F8"/>
    <w:rsid w:val="00E45EA8"/>
    <w:rsid w:val="00E45ED2"/>
    <w:rsid w:val="00E60230"/>
    <w:rsid w:val="00E60F13"/>
    <w:rsid w:val="00E62BC6"/>
    <w:rsid w:val="00E96D45"/>
    <w:rsid w:val="00EC0D75"/>
    <w:rsid w:val="00ED4D96"/>
    <w:rsid w:val="00EE0017"/>
    <w:rsid w:val="00EE2FBA"/>
    <w:rsid w:val="00F03012"/>
    <w:rsid w:val="00F05A9C"/>
    <w:rsid w:val="00F05E46"/>
    <w:rsid w:val="00F16121"/>
    <w:rsid w:val="00F210A1"/>
    <w:rsid w:val="00F24210"/>
    <w:rsid w:val="00F4151E"/>
    <w:rsid w:val="00F41860"/>
    <w:rsid w:val="00F424C5"/>
    <w:rsid w:val="00F56A5E"/>
    <w:rsid w:val="00F62D87"/>
    <w:rsid w:val="00F67733"/>
    <w:rsid w:val="00F82795"/>
    <w:rsid w:val="00F91124"/>
    <w:rsid w:val="00F9503E"/>
    <w:rsid w:val="00FA2EA1"/>
    <w:rsid w:val="00FB5A89"/>
    <w:rsid w:val="00FC05F2"/>
    <w:rsid w:val="00FD1E3B"/>
    <w:rsid w:val="00FD4807"/>
    <w:rsid w:val="00FF2660"/>
    <w:rsid w:val="00FF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5FFCA"/>
  <w15:chartTrackingRefBased/>
  <w15:docId w15:val="{9CEDA437-AE40-4573-B884-AF953DA64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60400B"/>
    <w:pPr>
      <w:spacing w:line="480" w:lineRule="auto"/>
    </w:pPr>
    <w:rPr>
      <w:rFonts w:ascii="Arial" w:hAnsi="Arial"/>
      <w:szCs w:val="24"/>
    </w:rPr>
  </w:style>
  <w:style w:type="paragraph" w:styleId="Nadpis1">
    <w:name w:val="heading 1"/>
    <w:basedOn w:val="Normln"/>
    <w:next w:val="Normln"/>
    <w:qFormat/>
    <w:rsid w:val="006040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60400B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60400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82795"/>
    <w:pPr>
      <w:tabs>
        <w:tab w:val="center" w:pos="4320"/>
        <w:tab w:val="right" w:pos="8640"/>
      </w:tabs>
    </w:pPr>
  </w:style>
  <w:style w:type="character" w:styleId="slostrnky">
    <w:name w:val="page number"/>
    <w:basedOn w:val="Standardnpsmoodstavce"/>
    <w:rsid w:val="00F82795"/>
  </w:style>
  <w:style w:type="character" w:styleId="Zdraznn">
    <w:name w:val="Emphasis"/>
    <w:qFormat/>
    <w:rsid w:val="00FF6EA8"/>
    <w:rPr>
      <w:b/>
      <w:bCs/>
      <w:i w:val="0"/>
      <w:iCs w:val="0"/>
    </w:rPr>
  </w:style>
  <w:style w:type="character" w:styleId="Hypertextovodkaz">
    <w:name w:val="Hyperlink"/>
    <w:rsid w:val="00887016"/>
    <w:rPr>
      <w:color w:val="0000FF"/>
      <w:u w:val="single"/>
    </w:rPr>
  </w:style>
  <w:style w:type="character" w:styleId="Odkaznakoment">
    <w:name w:val="annotation reference"/>
    <w:semiHidden/>
    <w:rsid w:val="00D00B4B"/>
    <w:rPr>
      <w:sz w:val="16"/>
      <w:szCs w:val="16"/>
    </w:rPr>
  </w:style>
  <w:style w:type="paragraph" w:styleId="Textkomente">
    <w:name w:val="annotation text"/>
    <w:basedOn w:val="Normln"/>
    <w:semiHidden/>
    <w:rsid w:val="00D00B4B"/>
    <w:rPr>
      <w:szCs w:val="20"/>
    </w:rPr>
  </w:style>
  <w:style w:type="paragraph" w:styleId="Pedmtkomente">
    <w:name w:val="annotation subject"/>
    <w:basedOn w:val="Textkomente"/>
    <w:next w:val="Textkomente"/>
    <w:semiHidden/>
    <w:rsid w:val="00D00B4B"/>
    <w:rPr>
      <w:b/>
      <w:bCs/>
    </w:rPr>
  </w:style>
  <w:style w:type="paragraph" w:styleId="Textbubliny">
    <w:name w:val="Balloon Text"/>
    <w:basedOn w:val="Normln"/>
    <w:semiHidden/>
    <w:rsid w:val="00D00B4B"/>
    <w:rPr>
      <w:rFonts w:ascii="Tahoma" w:hAnsi="Tahoma" w:cs="Tahoma"/>
      <w:sz w:val="16"/>
      <w:szCs w:val="16"/>
    </w:rPr>
  </w:style>
  <w:style w:type="character" w:styleId="slodku">
    <w:name w:val="line number"/>
    <w:rsid w:val="00C94612"/>
  </w:style>
  <w:style w:type="paragraph" w:styleId="Zhlav">
    <w:name w:val="header"/>
    <w:basedOn w:val="Normln"/>
    <w:link w:val="ZhlavChar"/>
    <w:rsid w:val="00740F67"/>
    <w:pPr>
      <w:tabs>
        <w:tab w:val="center" w:pos="4680"/>
        <w:tab w:val="right" w:pos="9360"/>
      </w:tabs>
    </w:pPr>
  </w:style>
  <w:style w:type="character" w:customStyle="1" w:styleId="ZhlavChar">
    <w:name w:val="Záhlaví Char"/>
    <w:link w:val="Zhlav"/>
    <w:rsid w:val="00740F67"/>
    <w:rPr>
      <w:rFonts w:ascii="Arial" w:hAnsi="Arial"/>
      <w:szCs w:val="24"/>
      <w:lang w:val="en-US" w:eastAsia="en-US"/>
    </w:rPr>
  </w:style>
  <w:style w:type="paragraph" w:styleId="Revize">
    <w:name w:val="Revision"/>
    <w:hidden/>
    <w:uiPriority w:val="99"/>
    <w:semiHidden/>
    <w:rsid w:val="00A526C7"/>
    <w:rPr>
      <w:rFonts w:ascii="Arial" w:hAnsi="Arial"/>
      <w:szCs w:val="24"/>
    </w:rPr>
  </w:style>
  <w:style w:type="character" w:styleId="Sledovanodkaz">
    <w:name w:val="FollowedHyperlink"/>
    <w:basedOn w:val="Standardnpsmoodstavce"/>
    <w:rsid w:val="00441D51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41D51"/>
    <w:rPr>
      <w:color w:val="605E5C"/>
      <w:shd w:val="clear" w:color="auto" w:fill="E1DFDD"/>
    </w:rPr>
  </w:style>
  <w:style w:type="character" w:customStyle="1" w:styleId="cf01">
    <w:name w:val="cf01"/>
    <w:basedOn w:val="Standardnpsmoodstavce"/>
    <w:rsid w:val="00872BF6"/>
    <w:rPr>
      <w:rFonts w:ascii="Segoe UI" w:hAnsi="Segoe UI" w:cs="Segoe UI" w:hint="default"/>
      <w:sz w:val="18"/>
      <w:szCs w:val="18"/>
    </w:rPr>
  </w:style>
  <w:style w:type="character" w:customStyle="1" w:styleId="html-italic">
    <w:name w:val="html-italic"/>
    <w:basedOn w:val="Standardnpsmoodstavce"/>
    <w:rsid w:val="009F3965"/>
  </w:style>
  <w:style w:type="paragraph" w:styleId="Titulek">
    <w:name w:val="caption"/>
    <w:basedOn w:val="Normln"/>
    <w:next w:val="Normln"/>
    <w:unhideWhenUsed/>
    <w:qFormat/>
    <w:rsid w:val="00166AD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689</Words>
  <Characters>3856</Characters>
  <Application>Microsoft Office Word</Application>
  <DocSecurity>0</DocSecurity>
  <Lines>32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Manuscript template</vt:lpstr>
      <vt:lpstr>The contraceptive implant</vt:lpstr>
    </vt:vector>
  </TitlesOfParts>
  <Company>Dove Medical Press</Company>
  <LinksUpToDate>false</LinksUpToDate>
  <CharactersWithSpaces>4536</CharactersWithSpaces>
  <SharedDoc>false</SharedDoc>
  <HLinks>
    <vt:vector size="36" baseType="variant">
      <vt:variant>
        <vt:i4>1048578</vt:i4>
      </vt:variant>
      <vt:variant>
        <vt:i4>15</vt:i4>
      </vt:variant>
      <vt:variant>
        <vt:i4>0</vt:i4>
      </vt:variant>
      <vt:variant>
        <vt:i4>5</vt:i4>
      </vt:variant>
      <vt:variant>
        <vt:lpwstr>https://www.dovepress.com/author_guidelines.php?content_id=3511</vt:lpwstr>
      </vt:variant>
      <vt:variant>
        <vt:lpwstr/>
      </vt:variant>
      <vt:variant>
        <vt:i4>6881324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sites/entrez?Db=pubmed&amp;Cmd=Search&amp;Term=%22Efficacy%20of%20Vasopressin%20Antagonism%20in%20Heart%20Failure%20Outcome%20Study%20With%20Tolvaptan%20(EVEREST)%20Investigators%22%5BCorporate%20Author%5D&amp;itool=EntrezSystem2.PEntrez.Pubmed.Pubmed_ResultsPanel.Pubmed_DiscoveryPanel.Pubmed_RVAbstractPlus</vt:lpwstr>
      </vt:variant>
      <vt:variant>
        <vt:lpwstr/>
      </vt:variant>
      <vt:variant>
        <vt:i4>5177376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http://www.ncbi.nlm.nih.gov/sites/entrez?Db=pubmed&amp;Cmd=Search&amp;Term=%22Burnett%20JC%20Jr%22%5BAuthor%5D&amp;itool=EntrezSystem2.PEntrez.Pubmed.Pubmed_ResultsPanel.Pubmed_DiscoveryPanel.Pubmed_RVAbstractPlus</vt:lpwstr>
      </vt:variant>
      <vt:variant>
        <vt:lpwstr/>
      </vt:variant>
      <vt:variant>
        <vt:i4>6488138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http://www.ncbi.nlm.nih.gov/sites/entrez?Db=pubmed&amp;Cmd=Search&amp;Term=%22Konstam%20MA%22%5BAuthor%5D&amp;itool=EntrezSystem2.PEntrez.Pubmed.Pubmed_ResultsPanel.Pubmed_DiscoveryPanel.Pubmed_RVAbstractPlus</vt:lpwstr>
      </vt:variant>
      <vt:variant>
        <vt:lpwstr/>
      </vt:variant>
      <vt:variant>
        <vt:i4>7733341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http://www.ncbi.nlm.nih.gov/sites/entrez?Db=pubmed&amp;Cmd=Search&amp;Term=%22Gheorghiade%20M%22%5BAuthor%5D&amp;itool=EntrezSystem2.PEntrez.Pubmed.Pubmed_ResultsPanel.Pubmed_DiscoveryPanel.Pubmed_RVAbstractPlus</vt:lpwstr>
      </vt:variant>
      <vt:variant>
        <vt:lpwstr/>
      </vt:variant>
      <vt:variant>
        <vt:i4>4849753</vt:i4>
      </vt:variant>
      <vt:variant>
        <vt:i4>0</vt:i4>
      </vt:variant>
      <vt:variant>
        <vt:i4>0</vt:i4>
      </vt:variant>
      <vt:variant>
        <vt:i4>5</vt:i4>
      </vt:variant>
      <vt:variant>
        <vt:lpwstr>http://www.dovepress.com/author_guidelines.php?folder_id=208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subject/>
  <dc:creator>Angela Jones</dc:creator>
  <cp:keywords/>
  <cp:lastModifiedBy>Švadláková, Tereza</cp:lastModifiedBy>
  <cp:revision>2</cp:revision>
  <cp:lastPrinted>2024-12-12T10:10:00Z</cp:lastPrinted>
  <dcterms:created xsi:type="dcterms:W3CDTF">2024-12-14T22:54:00Z</dcterms:created>
  <dcterms:modified xsi:type="dcterms:W3CDTF">2024-12-14T22:54:00Z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</Properties>
</file>