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20" w:rsidRPr="00636C20" w:rsidRDefault="00632CF8" w:rsidP="00A43C6B">
      <w:pPr>
        <w:jc w:val="center"/>
        <w:outlineLvl w:val="0"/>
        <w:rPr>
          <w:rFonts w:ascii="Calibri" w:eastAsia="等线" w:hAnsi="Calibri" w:cs="Arial"/>
          <w:b/>
          <w:bCs/>
          <w:kern w:val="0"/>
          <w:sz w:val="24"/>
          <w:szCs w:val="24"/>
        </w:rPr>
      </w:pPr>
      <w:bookmarkStart w:id="0" w:name="_Hlk141898665"/>
      <w:r w:rsidRPr="00636C20">
        <w:rPr>
          <w:rFonts w:ascii="Calibri" w:eastAsia="等线" w:hAnsi="Calibri" w:cs="Arial"/>
          <w:b/>
          <w:bCs/>
          <w:kern w:val="0"/>
          <w:sz w:val="24"/>
          <w:szCs w:val="24"/>
        </w:rPr>
        <w:t>Supplementary Material</w:t>
      </w:r>
    </w:p>
    <w:bookmarkEnd w:id="0"/>
    <w:p w:rsidR="00A952BF" w:rsidRDefault="00A952BF" w:rsidP="00A952BF">
      <w:pPr>
        <w:pStyle w:val="ab"/>
        <w:snapToGrid w:val="0"/>
        <w:spacing w:before="0" w:after="0" w:line="480" w:lineRule="auto"/>
        <w:contextualSpacing/>
        <w:jc w:val="both"/>
        <w:rPr>
          <w:sz w:val="24"/>
        </w:rPr>
      </w:pPr>
      <w:r w:rsidRPr="00553BFF">
        <w:rPr>
          <w:sz w:val="24"/>
        </w:rPr>
        <w:t>Altered CD73-</w:t>
      </w:r>
      <w:r>
        <w:rPr>
          <w:sz w:val="24"/>
        </w:rPr>
        <w:t>a</w:t>
      </w:r>
      <w:r w:rsidRPr="00553BFF">
        <w:rPr>
          <w:sz w:val="24"/>
        </w:rPr>
        <w:t xml:space="preserve">denosine signaling </w:t>
      </w:r>
      <w:r>
        <w:rPr>
          <w:sz w:val="24"/>
        </w:rPr>
        <w:t>linked to</w:t>
      </w:r>
      <w:r w:rsidRPr="00553BFF">
        <w:rPr>
          <w:sz w:val="24"/>
        </w:rPr>
        <w:t xml:space="preserve"> infection </w:t>
      </w:r>
      <w:r>
        <w:rPr>
          <w:rFonts w:eastAsiaTheme="minorEastAsia" w:hint="eastAsia"/>
          <w:sz w:val="24"/>
          <w:szCs w:val="24"/>
        </w:rPr>
        <w:t xml:space="preserve">in patients </w:t>
      </w:r>
      <w:r>
        <w:rPr>
          <w:rFonts w:eastAsiaTheme="minorEastAsia" w:hint="eastAsia"/>
          <w:sz w:val="24"/>
        </w:rPr>
        <w:t xml:space="preserve">undergoing </w:t>
      </w:r>
      <w:r w:rsidRPr="00553BFF">
        <w:rPr>
          <w:sz w:val="24"/>
        </w:rPr>
        <w:t>hemodialysis</w:t>
      </w:r>
    </w:p>
    <w:p w:rsidR="00A952BF" w:rsidRPr="003A0A31" w:rsidRDefault="00A952BF" w:rsidP="00A952BF">
      <w:pPr>
        <w:snapToGrid w:val="0"/>
        <w:spacing w:line="480" w:lineRule="auto"/>
        <w:ind w:left="103" w:hangingChars="49" w:hanging="103"/>
        <w:rPr>
          <w:rFonts w:ascii="Times New Roman" w:hAnsi="Times New Roman" w:cs="Times New Roman"/>
          <w:b/>
          <w:sz w:val="21"/>
          <w:szCs w:val="21"/>
        </w:rPr>
      </w:pPr>
      <w:bookmarkStart w:id="1" w:name="_Hlk141970190"/>
      <w:bookmarkStart w:id="2" w:name="_Hlk177807693"/>
      <w:r w:rsidRPr="003A0A31">
        <w:rPr>
          <w:rFonts w:ascii="Times New Roman" w:hAnsi="Times New Roman" w:cs="Times New Roman"/>
          <w:b/>
          <w:sz w:val="21"/>
          <w:szCs w:val="21"/>
        </w:rPr>
        <w:t>Fangfang Xiang</w:t>
      </w:r>
      <w:r>
        <w:rPr>
          <w:rFonts w:ascii="Times New Roman" w:hAnsi="Times New Roman" w:cs="Times New Roman" w:hint="eastAsia"/>
          <w:b/>
          <w:sz w:val="21"/>
          <w:szCs w:val="21"/>
          <w:vertAlign w:val="superscript"/>
        </w:rPr>
        <w:t>1</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2</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3</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4</w:t>
      </w:r>
      <w:r w:rsidRPr="003A0A31">
        <w:rPr>
          <w:rFonts w:ascii="Times New Roman" w:hAnsi="Times New Roman" w:cs="Times New Roman"/>
          <w:b/>
          <w:sz w:val="21"/>
          <w:szCs w:val="21"/>
        </w:rPr>
        <w:t>*</w:t>
      </w:r>
      <w:r w:rsidRPr="003A0A31">
        <w:rPr>
          <w:rFonts w:ascii="Times New Roman" w:hAnsi="Times New Roman" w:cs="Times New Roman"/>
          <w:b/>
          <w:sz w:val="21"/>
          <w:szCs w:val="21"/>
          <w:vertAlign w:val="superscript"/>
        </w:rPr>
        <w:t>,</w:t>
      </w:r>
      <w:r w:rsidRPr="003A0A31">
        <w:rPr>
          <w:rFonts w:ascii="Times New Roman" w:hAnsi="Times New Roman" w:cs="Times New Roman"/>
          <w:b/>
          <w:sz w:val="21"/>
          <w:szCs w:val="21"/>
        </w:rPr>
        <w:t>Zhen Zhang</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xml:space="preserve">*, </w:t>
      </w:r>
      <w:r>
        <w:rPr>
          <w:rFonts w:ascii="Times New Roman" w:hAnsi="Times New Roman" w:cs="Times New Roman" w:hint="eastAsia"/>
          <w:b/>
          <w:sz w:val="21"/>
          <w:szCs w:val="21"/>
        </w:rPr>
        <w:t>Yuxin Nie</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Xuesen Cao</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Yang Li</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Xiaohong Chen</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xml:space="preserve">, </w:t>
      </w:r>
      <w:r>
        <w:rPr>
          <w:rFonts w:ascii="Times New Roman" w:hAnsi="Times New Roman" w:cs="Times New Roman" w:hint="eastAsia"/>
          <w:b/>
          <w:sz w:val="21"/>
          <w:szCs w:val="21"/>
        </w:rPr>
        <w:t>Shaomin Gong</w:t>
      </w:r>
      <w:r>
        <w:rPr>
          <w:rFonts w:ascii="Times New Roman" w:hAnsi="Times New Roman" w:cs="Times New Roman" w:hint="eastAsia"/>
          <w:b/>
          <w:sz w:val="21"/>
          <w:szCs w:val="21"/>
          <w:vertAlign w:val="superscript"/>
        </w:rPr>
        <w:t>1</w:t>
      </w:r>
      <w:r>
        <w:rPr>
          <w:rFonts w:ascii="Times New Roman" w:hAnsi="Times New Roman" w:cs="Times New Roman" w:hint="eastAsia"/>
          <w:b/>
          <w:sz w:val="21"/>
          <w:szCs w:val="21"/>
        </w:rPr>
        <w:t xml:space="preserve">, </w:t>
      </w:r>
      <w:r w:rsidRPr="003A0A31">
        <w:rPr>
          <w:rFonts w:ascii="Times New Roman" w:hAnsi="Times New Roman" w:cs="Times New Roman"/>
          <w:b/>
          <w:sz w:val="21"/>
          <w:szCs w:val="21"/>
        </w:rPr>
        <w:t>Jianzhou Zou</w:t>
      </w:r>
      <w:r>
        <w:rPr>
          <w:rFonts w:ascii="Times New Roman" w:hAnsi="Times New Roman" w:cs="Times New Roman" w:hint="eastAsia"/>
          <w:b/>
          <w:sz w:val="21"/>
          <w:szCs w:val="21"/>
          <w:vertAlign w:val="superscript"/>
        </w:rPr>
        <w:t>1</w:t>
      </w:r>
      <w:r w:rsidRPr="003A0A31">
        <w:rPr>
          <w:rFonts w:ascii="Times New Roman" w:hAnsi="Times New Roman" w:cs="Times New Roman"/>
          <w:b/>
          <w:sz w:val="21"/>
          <w:szCs w:val="21"/>
        </w:rPr>
        <w:t xml:space="preserve">, </w:t>
      </w:r>
      <w:bookmarkStart w:id="3" w:name="_Hlk141969742"/>
      <w:bookmarkStart w:id="4" w:name="_Hlk141970215"/>
      <w:r w:rsidRPr="003A0A31">
        <w:rPr>
          <w:rFonts w:ascii="Times New Roman" w:hAnsi="Times New Roman" w:cs="Times New Roman"/>
          <w:b/>
          <w:sz w:val="21"/>
          <w:szCs w:val="21"/>
        </w:rPr>
        <w:t>Jie Teng</w:t>
      </w:r>
      <w:bookmarkEnd w:id="3"/>
      <w:r>
        <w:rPr>
          <w:rFonts w:ascii="Times New Roman" w:hAnsi="Times New Roman" w:cs="Times New Roman" w:hint="eastAsia"/>
          <w:b/>
          <w:sz w:val="21"/>
          <w:szCs w:val="21"/>
          <w:vertAlign w:val="superscript"/>
        </w:rPr>
        <w:t>1</w:t>
      </w:r>
      <w:bookmarkEnd w:id="4"/>
      <w:r w:rsidRPr="003A0A31">
        <w:rPr>
          <w:rFonts w:ascii="Times New Roman" w:eastAsia="MS Mincho" w:hAnsi="MS Mincho" w:cs="Times New Roman"/>
          <w:b/>
          <w:sz w:val="21"/>
          <w:szCs w:val="21"/>
        </w:rPr>
        <w:t>，</w:t>
      </w:r>
      <w:r w:rsidRPr="003A0A31">
        <w:rPr>
          <w:rFonts w:ascii="Times New Roman" w:hAnsi="Times New Roman" w:cs="Times New Roman"/>
          <w:b/>
          <w:sz w:val="21"/>
          <w:szCs w:val="21"/>
        </w:rPr>
        <w:t>Xiaoqiang Ding</w:t>
      </w:r>
      <w:bookmarkEnd w:id="1"/>
      <w:bookmarkEnd w:id="2"/>
      <w:r>
        <w:rPr>
          <w:rFonts w:ascii="Times New Roman" w:hAnsi="Times New Roman" w:cs="Times New Roman" w:hint="eastAsia"/>
          <w:b/>
          <w:sz w:val="21"/>
          <w:szCs w:val="21"/>
          <w:vertAlign w:val="superscript"/>
        </w:rPr>
        <w:t>1</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2</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3</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4</w:t>
      </w:r>
      <w:r w:rsidRPr="003A0A31">
        <w:rPr>
          <w:rFonts w:ascii="Times New Roman" w:hAnsi="Times New Roman" w:cs="Times New Roman"/>
          <w:b/>
          <w:sz w:val="21"/>
          <w:szCs w:val="21"/>
        </w:rPr>
        <w:t>and Bo Shen</w:t>
      </w:r>
      <w:r>
        <w:rPr>
          <w:rFonts w:ascii="Times New Roman" w:hAnsi="Times New Roman" w:cs="Times New Roman" w:hint="eastAsia"/>
          <w:b/>
          <w:sz w:val="21"/>
          <w:szCs w:val="21"/>
          <w:vertAlign w:val="superscript"/>
        </w:rPr>
        <w:t>1</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2</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3</w:t>
      </w:r>
      <w:r>
        <w:rPr>
          <w:rFonts w:ascii="Times New Roman" w:hAnsi="Times New Roman" w:cs="Times New Roman"/>
          <w:b/>
          <w:sz w:val="21"/>
          <w:szCs w:val="21"/>
          <w:vertAlign w:val="superscript"/>
        </w:rPr>
        <w:t xml:space="preserve">, </w:t>
      </w:r>
      <w:r>
        <w:rPr>
          <w:rFonts w:ascii="Times New Roman" w:hAnsi="Times New Roman" w:cs="Times New Roman" w:hint="eastAsia"/>
          <w:b/>
          <w:sz w:val="21"/>
          <w:szCs w:val="21"/>
          <w:vertAlign w:val="superscript"/>
        </w:rPr>
        <w:t>4</w:t>
      </w:r>
    </w:p>
    <w:p w:rsidR="00A952BF" w:rsidRPr="003A0A31" w:rsidRDefault="00A952BF" w:rsidP="00A952BF">
      <w:pPr>
        <w:snapToGrid w:val="0"/>
        <w:spacing w:line="480" w:lineRule="auto"/>
        <w:rPr>
          <w:rFonts w:ascii="Times New Roman" w:hAnsi="Times New Roman" w:cs="Times New Roman"/>
          <w:sz w:val="21"/>
          <w:szCs w:val="21"/>
        </w:rPr>
      </w:pPr>
      <w:r>
        <w:rPr>
          <w:rFonts w:ascii="Times New Roman" w:hAnsi="Times New Roman" w:cs="Times New Roman" w:hint="eastAsia"/>
          <w:sz w:val="21"/>
          <w:szCs w:val="21"/>
          <w:vertAlign w:val="superscript"/>
        </w:rPr>
        <w:t>1</w:t>
      </w:r>
      <w:r w:rsidRPr="003A0A31">
        <w:rPr>
          <w:rFonts w:ascii="Times New Roman" w:hAnsi="Times New Roman" w:cs="Times New Roman"/>
          <w:sz w:val="21"/>
          <w:szCs w:val="21"/>
        </w:rPr>
        <w:t>Department of Nephrology, Zhongshan Hospital, Fudan University, Shanghai, China</w:t>
      </w:r>
    </w:p>
    <w:p w:rsidR="00A952BF" w:rsidRPr="003A0A31" w:rsidRDefault="00A952BF" w:rsidP="00A952BF">
      <w:pPr>
        <w:snapToGrid w:val="0"/>
        <w:spacing w:line="480" w:lineRule="auto"/>
        <w:rPr>
          <w:rFonts w:ascii="Times New Roman" w:hAnsi="Times New Roman" w:cs="Times New Roman"/>
          <w:sz w:val="21"/>
          <w:szCs w:val="21"/>
        </w:rPr>
      </w:pPr>
      <w:r>
        <w:rPr>
          <w:rFonts w:ascii="Times New Roman" w:hAnsi="Times New Roman" w:cs="Times New Roman" w:hint="eastAsia"/>
          <w:sz w:val="21"/>
          <w:szCs w:val="21"/>
          <w:vertAlign w:val="superscript"/>
        </w:rPr>
        <w:t>2</w:t>
      </w:r>
      <w:r w:rsidRPr="003A0A31">
        <w:rPr>
          <w:rFonts w:ascii="Times New Roman" w:hAnsi="Times New Roman" w:cs="Times New Roman"/>
          <w:sz w:val="21"/>
          <w:szCs w:val="21"/>
        </w:rPr>
        <w:t>Shanghai Key Laboratory of Renal Disease and Blood Purification, Shanghai, China</w:t>
      </w:r>
    </w:p>
    <w:p w:rsidR="00A952BF" w:rsidRPr="003A0A31" w:rsidRDefault="00A952BF" w:rsidP="00A952BF">
      <w:pPr>
        <w:snapToGrid w:val="0"/>
        <w:spacing w:line="480" w:lineRule="auto"/>
        <w:rPr>
          <w:rFonts w:ascii="Times New Roman" w:hAnsi="Times New Roman" w:cs="Times New Roman"/>
          <w:sz w:val="21"/>
          <w:szCs w:val="21"/>
        </w:rPr>
      </w:pPr>
      <w:r>
        <w:rPr>
          <w:rFonts w:ascii="Times New Roman" w:hAnsi="Times New Roman" w:cs="Times New Roman" w:hint="eastAsia"/>
          <w:sz w:val="21"/>
          <w:szCs w:val="21"/>
          <w:vertAlign w:val="superscript"/>
        </w:rPr>
        <w:t>3</w:t>
      </w:r>
      <w:r w:rsidRPr="003A0A31">
        <w:rPr>
          <w:rFonts w:ascii="Times New Roman" w:hAnsi="Times New Roman" w:cs="Times New Roman"/>
          <w:sz w:val="21"/>
          <w:szCs w:val="21"/>
        </w:rPr>
        <w:t>Shanghai Medical Center of Kidney, Shanghai, China.</w:t>
      </w:r>
    </w:p>
    <w:p w:rsidR="00A952BF" w:rsidRPr="003A0A31" w:rsidRDefault="00A952BF" w:rsidP="00A952BF">
      <w:pPr>
        <w:snapToGrid w:val="0"/>
        <w:spacing w:line="480" w:lineRule="auto"/>
        <w:rPr>
          <w:rFonts w:ascii="Times New Roman" w:hAnsi="Times New Roman" w:cs="Times New Roman"/>
          <w:sz w:val="21"/>
          <w:szCs w:val="21"/>
        </w:rPr>
      </w:pPr>
      <w:r>
        <w:rPr>
          <w:rFonts w:ascii="Times New Roman" w:hAnsi="Times New Roman" w:cs="Times New Roman" w:hint="eastAsia"/>
          <w:sz w:val="21"/>
          <w:szCs w:val="21"/>
          <w:vertAlign w:val="superscript"/>
        </w:rPr>
        <w:t>4</w:t>
      </w:r>
      <w:r w:rsidRPr="003A0A31">
        <w:rPr>
          <w:rFonts w:ascii="Times New Roman" w:hAnsi="Times New Roman" w:cs="Times New Roman"/>
          <w:sz w:val="21"/>
          <w:szCs w:val="21"/>
        </w:rPr>
        <w:t>Shanghai Institute of Kidney and Dialysis, Shanghai, China</w:t>
      </w:r>
    </w:p>
    <w:p w:rsidR="00A952BF" w:rsidRPr="00176689" w:rsidRDefault="00A952BF" w:rsidP="00A952BF">
      <w:pPr>
        <w:snapToGrid w:val="0"/>
        <w:spacing w:line="480" w:lineRule="auto"/>
        <w:contextualSpacing/>
        <w:rPr>
          <w:rFonts w:ascii="Times New Roman" w:hAnsi="Times New Roman" w:cs="Times New Roman"/>
          <w:sz w:val="24"/>
          <w:szCs w:val="24"/>
        </w:rPr>
      </w:pPr>
      <w:bookmarkStart w:id="5" w:name="_Hlk100848830"/>
      <w:bookmarkStart w:id="6" w:name="_Hlk173849739"/>
      <w:r w:rsidRPr="003A0A31">
        <w:rPr>
          <w:rFonts w:ascii="Times New Roman" w:hAnsi="Times New Roman" w:cs="Times New Roman"/>
          <w:b/>
          <w:sz w:val="21"/>
          <w:szCs w:val="21"/>
        </w:rPr>
        <w:t>*</w:t>
      </w:r>
      <w:r w:rsidRPr="006F17B2">
        <w:rPr>
          <w:rFonts w:ascii="Times New Roman" w:eastAsia="Times New Roman" w:hAnsi="Times New Roman" w:cs="Times New Roman"/>
          <w:sz w:val="24"/>
          <w:szCs w:val="24"/>
        </w:rPr>
        <w:t>These authors contributed equally</w:t>
      </w:r>
    </w:p>
    <w:p w:rsidR="00A952BF" w:rsidRDefault="00A952BF" w:rsidP="00A952BF">
      <w:pPr>
        <w:snapToGrid w:val="0"/>
        <w:spacing w:line="480" w:lineRule="auto"/>
        <w:contextualSpacing/>
        <w:rPr>
          <w:rFonts w:ascii="Times New Roman" w:hAnsi="Times New Roman" w:cs="Times New Roman"/>
          <w:sz w:val="24"/>
          <w:szCs w:val="24"/>
        </w:rPr>
      </w:pPr>
    </w:p>
    <w:p w:rsidR="00A952BF" w:rsidRDefault="00A952BF" w:rsidP="00A952BF">
      <w:pPr>
        <w:snapToGrid w:val="0"/>
        <w:spacing w:line="480" w:lineRule="auto"/>
        <w:contextualSpacing/>
        <w:rPr>
          <w:rFonts w:ascii="Times New Roman" w:hAnsi="Times New Roman" w:cs="Times New Roman"/>
          <w:sz w:val="21"/>
          <w:szCs w:val="21"/>
        </w:rPr>
      </w:pPr>
      <w:r w:rsidRPr="00DE0E27">
        <w:rPr>
          <w:rFonts w:ascii="Times New Roman" w:eastAsia="Times New Roman" w:hAnsi="Times New Roman" w:cs="Times New Roman"/>
          <w:sz w:val="24"/>
          <w:szCs w:val="24"/>
        </w:rPr>
        <w:t>Correspondence</w:t>
      </w:r>
      <w:r>
        <w:rPr>
          <w:rFonts w:ascii="Times New Roman" w:hAnsi="Times New Roman" w:cs="Times New Roman" w:hint="eastAsia"/>
          <w:sz w:val="24"/>
          <w:szCs w:val="24"/>
        </w:rPr>
        <w:t>:</w:t>
      </w:r>
      <w:bookmarkStart w:id="7" w:name="_Hlk177807764"/>
      <w:r>
        <w:rPr>
          <w:rFonts w:ascii="Times New Roman" w:hAnsi="Times New Roman" w:cs="Times New Roman" w:hint="eastAsia"/>
          <w:sz w:val="24"/>
          <w:szCs w:val="24"/>
        </w:rPr>
        <w:t xml:space="preserve"> </w:t>
      </w:r>
      <w:r w:rsidRPr="003A0A31">
        <w:rPr>
          <w:rFonts w:ascii="Times New Roman" w:hAnsi="Times New Roman" w:cs="Times New Roman"/>
          <w:sz w:val="21"/>
          <w:szCs w:val="21"/>
        </w:rPr>
        <w:t xml:space="preserve">Bo Shen </w:t>
      </w:r>
    </w:p>
    <w:p w:rsidR="00A952BF" w:rsidRPr="00DE0E27" w:rsidRDefault="00A952BF" w:rsidP="00A952BF">
      <w:pPr>
        <w:snapToGrid w:val="0"/>
        <w:spacing w:line="480" w:lineRule="auto"/>
        <w:contextualSpacing/>
        <w:rPr>
          <w:rFonts w:ascii="Times New Roman" w:eastAsia="Times New Roman" w:hAnsi="Times New Roman" w:cs="Times New Roman"/>
          <w:sz w:val="24"/>
          <w:szCs w:val="24"/>
        </w:rPr>
      </w:pPr>
      <w:r w:rsidRPr="00DE0E27">
        <w:rPr>
          <w:rFonts w:ascii="Times New Roman" w:eastAsia="Times New Roman" w:hAnsi="Times New Roman" w:cs="Times New Roman" w:hint="eastAsia"/>
          <w:sz w:val="24"/>
          <w:szCs w:val="24"/>
        </w:rPr>
        <w:t xml:space="preserve">No.180 Fenglin Road, Xuhui District, </w:t>
      </w:r>
      <w:r w:rsidRPr="00DE0E27">
        <w:rPr>
          <w:rFonts w:ascii="Times New Roman" w:eastAsia="Times New Roman" w:hAnsi="Times New Roman" w:cs="Times New Roman"/>
          <w:sz w:val="24"/>
          <w:szCs w:val="24"/>
        </w:rPr>
        <w:t>Shanghai</w:t>
      </w:r>
      <w:r w:rsidRPr="00DE0E27">
        <w:rPr>
          <w:rFonts w:ascii="Times New Roman" w:eastAsia="Times New Roman" w:hAnsi="Times New Roman" w:cs="Times New Roman" w:hint="eastAsia"/>
          <w:sz w:val="24"/>
          <w:szCs w:val="24"/>
        </w:rPr>
        <w:t>,</w:t>
      </w:r>
      <w:r w:rsidRPr="00DE0E27">
        <w:rPr>
          <w:rFonts w:ascii="Times New Roman" w:eastAsia="Times New Roman" w:hAnsi="Times New Roman" w:cs="Times New Roman"/>
          <w:sz w:val="24"/>
          <w:szCs w:val="24"/>
        </w:rPr>
        <w:t xml:space="preserve">China </w:t>
      </w:r>
    </w:p>
    <w:p w:rsidR="00A952BF" w:rsidRPr="00DE0E27" w:rsidRDefault="00A952BF" w:rsidP="00A952BF">
      <w:pPr>
        <w:snapToGrid w:val="0"/>
        <w:spacing w:line="480" w:lineRule="auto"/>
        <w:contextualSpacing/>
        <w:rPr>
          <w:rFonts w:ascii="Times New Roman" w:hAnsi="Times New Roman" w:cs="Times New Roman"/>
          <w:sz w:val="24"/>
          <w:szCs w:val="24"/>
        </w:rPr>
      </w:pPr>
      <w:hyperlink r:id="rId7" w:history="1">
        <w:r w:rsidRPr="003A0A31">
          <w:rPr>
            <w:rStyle w:val="a7"/>
            <w:rFonts w:ascii="Times New Roman" w:hAnsi="Times New Roman" w:cs="Times New Roman"/>
            <w:sz w:val="21"/>
            <w:szCs w:val="21"/>
          </w:rPr>
          <w:t>shen.bo@zs-hosptial.sh.cn</w:t>
        </w:r>
      </w:hyperlink>
      <w:bookmarkEnd w:id="7"/>
    </w:p>
    <w:bookmarkEnd w:id="5"/>
    <w:bookmarkEnd w:id="6"/>
    <w:p w:rsidR="000011E8" w:rsidRPr="00A952BF" w:rsidRDefault="000011E8" w:rsidP="00EF079A">
      <w:pPr>
        <w:adjustRightInd w:val="0"/>
        <w:snapToGrid w:val="0"/>
        <w:spacing w:after="0"/>
        <w:jc w:val="both"/>
        <w:rPr>
          <w:rFonts w:ascii="Calibri" w:eastAsia="宋体" w:hAnsi="Calibri" w:cs="Times New Roman"/>
          <w:b/>
          <w:bCs/>
          <w:kern w:val="0"/>
          <w:szCs w:val="24"/>
          <w:lang w:eastAsia="zh-CN"/>
        </w:rPr>
      </w:pPr>
    </w:p>
    <w:p w:rsidR="00F56D62" w:rsidRDefault="00F56D62" w:rsidP="00EF079A">
      <w:pPr>
        <w:adjustRightInd w:val="0"/>
        <w:snapToGrid w:val="0"/>
        <w:spacing w:after="0"/>
        <w:jc w:val="both"/>
        <w:rPr>
          <w:rFonts w:ascii="Calibri" w:eastAsia="宋体" w:hAnsi="Calibri" w:cs="Times New Roman"/>
          <w:b/>
          <w:bCs/>
          <w:kern w:val="0"/>
          <w:szCs w:val="24"/>
          <w:lang w:eastAsia="zh-CN"/>
        </w:rPr>
      </w:pPr>
      <w:r>
        <w:rPr>
          <w:rFonts w:ascii="Calibri" w:eastAsia="宋体" w:hAnsi="Calibri" w:cs="Times New Roman"/>
          <w:b/>
          <w:bCs/>
          <w:kern w:val="0"/>
          <w:szCs w:val="24"/>
          <w:lang w:eastAsia="zh-CN"/>
        </w:rPr>
        <w:br w:type="page"/>
      </w:r>
    </w:p>
    <w:p w:rsidR="00A43C6B" w:rsidRDefault="00A43C6B" w:rsidP="00A43C6B">
      <w:pPr>
        <w:pStyle w:val="1"/>
        <w:widowControl/>
        <w:numPr>
          <w:ilvl w:val="0"/>
          <w:numId w:val="0"/>
        </w:numPr>
        <w:snapToGrid w:val="0"/>
        <w:spacing w:before="0" w:after="0" w:line="480" w:lineRule="auto"/>
        <w:contextualSpacing/>
        <w:rPr>
          <w:rFonts w:ascii="Times New Roman" w:hAnsi="Times New Roman"/>
          <w:sz w:val="24"/>
        </w:rPr>
      </w:pPr>
      <w:r w:rsidRPr="006D4999">
        <w:rPr>
          <w:rFonts w:ascii="Times New Roman" w:hAnsi="Times New Roman" w:hint="eastAsia"/>
          <w:sz w:val="24"/>
        </w:rPr>
        <w:lastRenderedPageBreak/>
        <w:t>Methods</w:t>
      </w:r>
    </w:p>
    <w:p w:rsidR="00A43C6B" w:rsidRPr="00CE1CAB" w:rsidRDefault="00A43C6B" w:rsidP="00A43C6B">
      <w:pPr>
        <w:adjustRightInd w:val="0"/>
        <w:snapToGrid w:val="0"/>
        <w:spacing w:line="480" w:lineRule="auto"/>
        <w:jc w:val="both"/>
        <w:rPr>
          <w:rFonts w:eastAsia="宋体"/>
          <w:b/>
          <w:bCs/>
          <w:lang w:eastAsia="zh-CN"/>
        </w:rPr>
      </w:pPr>
      <w:r w:rsidRPr="00CE1CAB">
        <w:rPr>
          <w:rFonts w:eastAsia="宋体"/>
          <w:b/>
          <w:bCs/>
          <w:lang w:eastAsia="zh-CN"/>
        </w:rPr>
        <w:t>Cell preparation and flow cytometric analysis</w:t>
      </w:r>
    </w:p>
    <w:p w:rsidR="00A43C6B" w:rsidRDefault="00A43C6B" w:rsidP="00A43C6B">
      <w:pPr>
        <w:snapToGrid w:val="0"/>
        <w:spacing w:line="480" w:lineRule="auto"/>
        <w:contextualSpacing/>
        <w:jc w:val="both"/>
      </w:pPr>
      <w:r w:rsidRPr="00441C89">
        <w:t>Whole blood samples (100 μL) were obtained from K2-EDTA anticoagula</w:t>
      </w:r>
      <w:r>
        <w:t>nt</w:t>
      </w:r>
      <w:r w:rsidRPr="00441C89">
        <w:t xml:space="preserve"> tubes and stained with </w:t>
      </w:r>
      <w:r w:rsidRPr="006F17B2">
        <w:t>an antibody cocktail</w:t>
      </w:r>
      <w:r w:rsidRPr="00441C89">
        <w:t xml:space="preserve"> obtained from </w:t>
      </w:r>
      <w:r w:rsidRPr="006F17B2">
        <w:t>Becton Dickinson</w:t>
      </w:r>
      <w:r w:rsidRPr="00441C89">
        <w:t xml:space="preserve"> (BD</w:t>
      </w:r>
      <w:r w:rsidRPr="006F17B2">
        <w:t xml:space="preserve"> Biosciences</w:t>
      </w:r>
      <w:r w:rsidRPr="00441C89">
        <w:t xml:space="preserve">, San Jose, CA, USA) or </w:t>
      </w:r>
      <w:r w:rsidRPr="006F17B2">
        <w:t>BioLegend</w:t>
      </w:r>
      <w:r w:rsidRPr="00441C89">
        <w:t xml:space="preserve"> (BL, San Diego, CA, USA</w:t>
      </w:r>
      <w:r w:rsidRPr="006F17B2">
        <w:t>). The cocktail contained</w:t>
      </w:r>
      <w:r w:rsidRPr="00441C89">
        <w:t xml:space="preserve"> antibodies against CD45 V500 (BD, clone HI30), CD3 BV421 (BD, clone UCHT1), CD73 FITC (BL, clone AD2</w:t>
      </w:r>
      <w:r w:rsidRPr="006F17B2">
        <w:t>),</w:t>
      </w:r>
      <w:r w:rsidRPr="00441C89">
        <w:t xml:space="preserve"> and CD39 APC (BL, clone A1). The samples were examined </w:t>
      </w:r>
      <w:r w:rsidRPr="006F17B2">
        <w:t>using</w:t>
      </w:r>
      <w:r w:rsidRPr="00441C89">
        <w:t xml:space="preserve"> a FACSLyric </w:t>
      </w:r>
      <w:r w:rsidRPr="006F17B2">
        <w:t xml:space="preserve">system </w:t>
      </w:r>
      <w:r w:rsidRPr="00441C89">
        <w:t>(BD</w:t>
      </w:r>
      <w:r w:rsidRPr="006F17B2">
        <w:t xml:space="preserve"> Biosciences</w:t>
      </w:r>
      <w:r w:rsidRPr="00441C89">
        <w:t>, San Jose, CA</w:t>
      </w:r>
      <w:r w:rsidRPr="006F17B2">
        <w:t>, USA</w:t>
      </w:r>
      <w:r w:rsidRPr="00441C89">
        <w:t xml:space="preserve">), and the data were analyzed using </w:t>
      </w:r>
      <w:r w:rsidRPr="006F17B2">
        <w:t>FlowJo Software, version 10</w:t>
      </w:r>
      <w:r w:rsidRPr="00441C89">
        <w:t>.1 (BD</w:t>
      </w:r>
      <w:r w:rsidRPr="006F17B2">
        <w:t xml:space="preserve"> Biosciences</w:t>
      </w:r>
      <w:r w:rsidRPr="00441C89">
        <w:t xml:space="preserve">). The </w:t>
      </w:r>
      <w:r w:rsidRPr="006F17B2">
        <w:t xml:space="preserve">methods employed for the </w:t>
      </w:r>
      <w:r w:rsidRPr="00441C89">
        <w:t xml:space="preserve">immunophenotyping and gating </w:t>
      </w:r>
      <w:r w:rsidRPr="006F17B2">
        <w:t>strategies</w:t>
      </w:r>
      <w:r w:rsidRPr="00441C89">
        <w:t xml:space="preserve"> are </w:t>
      </w:r>
      <w:r w:rsidRPr="006F17B2">
        <w:t>detailed</w:t>
      </w:r>
      <w:r w:rsidRPr="00441C89">
        <w:t xml:space="preserve"> in Figure S1</w:t>
      </w:r>
      <w:r w:rsidRPr="006F17B2">
        <w:t>.</w:t>
      </w:r>
    </w:p>
    <w:p w:rsidR="00A43C6B" w:rsidRDefault="00A43C6B" w:rsidP="00A43C6B">
      <w:pPr>
        <w:jc w:val="both"/>
        <w:rPr>
          <w:rFonts w:eastAsia="宋体"/>
          <w:lang w:eastAsia="zh-CN"/>
        </w:rPr>
      </w:pPr>
      <w:r w:rsidRPr="00CE1CAB">
        <w:rPr>
          <w:rFonts w:eastAsia="宋体"/>
          <w:bCs/>
          <w:lang w:eastAsia="zh-CN"/>
        </w:rPr>
        <w:t>Figure S1.</w:t>
      </w:r>
      <w:r w:rsidRPr="00CE1CAB">
        <w:rPr>
          <w:rFonts w:eastAsia="宋体" w:hint="eastAsia"/>
          <w:bCs/>
          <w:lang w:eastAsia="zh-CN"/>
        </w:rPr>
        <w:t xml:space="preserve"> </w:t>
      </w:r>
      <w:r w:rsidRPr="00CE1CAB">
        <w:rPr>
          <w:rFonts w:eastAsia="宋体"/>
          <w:lang w:eastAsia="zh-CN"/>
        </w:rPr>
        <w:t>F</w:t>
      </w:r>
      <w:r w:rsidRPr="00A90F55">
        <w:rPr>
          <w:rFonts w:eastAsia="宋体"/>
          <w:lang w:eastAsia="zh-CN"/>
        </w:rPr>
        <w:t>low cytometry analysis to identify T</w:t>
      </w:r>
      <w:r w:rsidRPr="00A90F55">
        <w:rPr>
          <w:rFonts w:eastAsia="宋体" w:hint="eastAsia"/>
          <w:lang w:eastAsia="zh-CN"/>
        </w:rPr>
        <w:t xml:space="preserve"> </w:t>
      </w:r>
      <w:r w:rsidRPr="00A90F55">
        <w:rPr>
          <w:rFonts w:eastAsia="宋体"/>
          <w:lang w:eastAsia="zh-CN"/>
        </w:rPr>
        <w:t>cell subsets.</w:t>
      </w:r>
    </w:p>
    <w:p w:rsidR="00A43C6B" w:rsidRPr="0013339E" w:rsidRDefault="00A43C6B" w:rsidP="00A43C6B">
      <w:pPr>
        <w:jc w:val="both"/>
        <w:rPr>
          <w:b/>
          <w:szCs w:val="20"/>
          <w:lang w:eastAsia="zh-CN"/>
        </w:rPr>
      </w:pPr>
    </w:p>
    <w:p w:rsidR="00A43C6B" w:rsidRPr="00A90F55" w:rsidRDefault="00A43C6B" w:rsidP="00A43C6B">
      <w:pPr>
        <w:jc w:val="both"/>
        <w:rPr>
          <w:rFonts w:ascii="Calibri" w:eastAsia="等线" w:hAnsi="Calibri" w:cs="Arial"/>
          <w:b/>
          <w:bCs/>
          <w:lang w:eastAsia="zh-CN"/>
        </w:rPr>
      </w:pPr>
      <w:r>
        <w:rPr>
          <w:rFonts w:ascii="Calibri" w:eastAsia="等线" w:hAnsi="Calibri" w:cs="Arial"/>
          <w:b/>
          <w:bCs/>
          <w:noProof/>
          <w:lang w:val="en-US" w:eastAsia="zh-CN"/>
        </w:rPr>
        <w:drawing>
          <wp:inline distT="0" distB="0" distL="0" distR="0">
            <wp:extent cx="5202775" cy="3128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545" cy="3131078"/>
                    </a:xfrm>
                    <a:prstGeom prst="rect">
                      <a:avLst/>
                    </a:prstGeom>
                    <a:noFill/>
                    <a:ln w="9525">
                      <a:noFill/>
                      <a:miter lim="800000"/>
                      <a:headEnd/>
                      <a:tailEnd/>
                    </a:ln>
                  </pic:spPr>
                </pic:pic>
              </a:graphicData>
            </a:graphic>
          </wp:inline>
        </w:drawing>
      </w:r>
    </w:p>
    <w:p w:rsidR="00A43C6B" w:rsidRDefault="00A43C6B" w:rsidP="00A43C6B">
      <w:pPr>
        <w:adjustRightInd w:val="0"/>
        <w:snapToGrid w:val="0"/>
        <w:spacing w:line="480" w:lineRule="auto"/>
        <w:jc w:val="both"/>
        <w:rPr>
          <w:rFonts w:eastAsia="宋体"/>
          <w:b/>
          <w:bCs/>
          <w:lang w:eastAsia="zh-CN"/>
        </w:rPr>
      </w:pPr>
    </w:p>
    <w:p w:rsidR="00A43C6B" w:rsidRDefault="00A43C6B" w:rsidP="00A43C6B">
      <w:pPr>
        <w:adjustRightInd w:val="0"/>
        <w:snapToGrid w:val="0"/>
        <w:spacing w:line="480" w:lineRule="auto"/>
        <w:jc w:val="both"/>
        <w:rPr>
          <w:rFonts w:eastAsia="宋体"/>
          <w:b/>
          <w:bCs/>
          <w:lang w:eastAsia="zh-CN"/>
        </w:rPr>
      </w:pPr>
      <w:r w:rsidRPr="00EC4224">
        <w:rPr>
          <w:rFonts w:eastAsia="宋体"/>
          <w:b/>
          <w:bCs/>
          <w:lang w:eastAsia="zh-CN"/>
        </w:rPr>
        <w:t>Animals and models of CKD and sepsi</w:t>
      </w:r>
      <w:r w:rsidRPr="00EC4224">
        <w:rPr>
          <w:rFonts w:eastAsia="宋体" w:hint="eastAsia"/>
          <w:b/>
          <w:bCs/>
          <w:lang w:eastAsia="zh-CN"/>
        </w:rPr>
        <w:t>s</w:t>
      </w:r>
    </w:p>
    <w:p w:rsidR="00A43C6B" w:rsidRPr="00EC4224" w:rsidRDefault="00A43C6B" w:rsidP="00A43C6B">
      <w:pPr>
        <w:pStyle w:val="p"/>
        <w:snapToGrid w:val="0"/>
        <w:spacing w:before="0" w:beforeAutospacing="0" w:after="0" w:afterAutospacing="0" w:line="480" w:lineRule="auto"/>
        <w:contextualSpacing/>
        <w:jc w:val="both"/>
        <w:rPr>
          <w:rFonts w:ascii="Times New Roman" w:hAnsi="Times New Roman"/>
        </w:rPr>
      </w:pPr>
      <w:r w:rsidRPr="00EC4224">
        <w:rPr>
          <w:rFonts w:ascii="Times New Roman" w:hAnsi="Times New Roman"/>
        </w:rPr>
        <w:t xml:space="preserve">Male Sprague Dawley rats </w:t>
      </w:r>
      <w:r w:rsidRPr="00EC4224">
        <w:rPr>
          <w:rFonts w:ascii="Times New Roman" w:hAnsi="Times New Roman" w:hint="eastAsia"/>
        </w:rPr>
        <w:t>(200 to 250g,</w:t>
      </w:r>
      <w:r w:rsidRPr="00EC4224">
        <w:rPr>
          <w:rFonts w:ascii="Times New Roman" w:hAnsi="Times New Roman"/>
        </w:rPr>
        <w:t xml:space="preserve"> 6-7 weeks old</w:t>
      </w:r>
      <w:r w:rsidRPr="00EC4224">
        <w:rPr>
          <w:rFonts w:ascii="Times New Roman" w:hAnsi="Times New Roman" w:hint="eastAsia"/>
        </w:rPr>
        <w:t xml:space="preserve">) </w:t>
      </w:r>
      <w:r w:rsidRPr="00EC4224">
        <w:rPr>
          <w:rFonts w:ascii="Times New Roman" w:hAnsi="Times New Roman"/>
        </w:rPr>
        <w:t>were obtained from</w:t>
      </w:r>
      <w:r w:rsidRPr="00EC4224">
        <w:rPr>
          <w:rFonts w:ascii="Times New Roman" w:hAnsi="Times New Roman" w:hint="eastAsia"/>
        </w:rPr>
        <w:t xml:space="preserve"> Shanghai SLAC Laboratory Anmimal CO., Ltd</w:t>
      </w:r>
      <w:r w:rsidRPr="00EC4224">
        <w:rPr>
          <w:rFonts w:ascii="Times New Roman" w:hAnsi="Times New Roman"/>
        </w:rPr>
        <w:t xml:space="preserve"> and maintained in a controlled temperature and humidity with adequate food and water supply.</w:t>
      </w:r>
    </w:p>
    <w:p w:rsidR="00A43C6B" w:rsidRPr="00EC4224" w:rsidRDefault="00A43C6B" w:rsidP="00A43C6B">
      <w:pPr>
        <w:pStyle w:val="p"/>
        <w:snapToGrid w:val="0"/>
        <w:spacing w:before="0" w:beforeAutospacing="0" w:after="0" w:afterAutospacing="0" w:line="480" w:lineRule="auto"/>
        <w:contextualSpacing/>
        <w:jc w:val="both"/>
        <w:rPr>
          <w:rFonts w:ascii="Times New Roman" w:hAnsi="Times New Roman"/>
        </w:rPr>
      </w:pPr>
      <w:r w:rsidRPr="00EC4224">
        <w:rPr>
          <w:rFonts w:ascii="Times New Roman" w:hAnsi="Times New Roman"/>
        </w:rPr>
        <w:lastRenderedPageBreak/>
        <w:t>CKD was induced by 5/6 nephrectomy (Nx). Anesthesia was induced by isoflurane. Laparotomy was performed to expose the left kidney followed by dissection of the adipose tissue and the renal capsule. Both poles were ligated approximately at the 1/3 position; then, the poles were excised.</w:t>
      </w:r>
      <w:r w:rsidRPr="00EC4224">
        <w:rPr>
          <w:rFonts w:ascii="Times New Roman" w:hAnsi="Times New Roman" w:hint="eastAsia"/>
        </w:rPr>
        <w:t xml:space="preserve"> 12</w:t>
      </w:r>
      <w:r w:rsidRPr="00EC4224">
        <w:rPr>
          <w:rFonts w:ascii="Times New Roman" w:hAnsi="Times New Roman"/>
        </w:rPr>
        <w:t xml:space="preserve"> week</w:t>
      </w:r>
      <w:r w:rsidRPr="00EC4224">
        <w:rPr>
          <w:rFonts w:ascii="Times New Roman" w:hAnsi="Times New Roman" w:hint="eastAsia"/>
        </w:rPr>
        <w:t>s</w:t>
      </w:r>
      <w:r w:rsidRPr="00EC4224">
        <w:rPr>
          <w:rFonts w:ascii="Times New Roman" w:hAnsi="Times New Roman"/>
        </w:rPr>
        <w:t xml:space="preserve"> after the first operation, a total right nephrectomy was performed following the same steps described above, in which the right kidney was dissected. The adrenal gland was gently freed and placed back into the abdominal cavity. Following the ligation of the ureter and renal blood vessels, the right kidney was removed. Control animals were subjected to a sham operation, during of which the renal capsule was removed.</w:t>
      </w:r>
    </w:p>
    <w:p w:rsidR="00A43C6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r w:rsidRPr="00EC4224">
        <w:rPr>
          <w:rFonts w:ascii="Times New Roman" w:hAnsi="Times New Roman"/>
        </w:rPr>
        <w:t>Sepsis was induced via cecal ligation and puncture (CLP). After isoflurane anesthesia,</w:t>
      </w:r>
      <w:r w:rsidRPr="00EC4224">
        <w:rPr>
          <w:rFonts w:ascii="Times New Roman" w:hAnsi="Times New Roman" w:hint="eastAsia"/>
        </w:rPr>
        <w:t xml:space="preserve"> a</w:t>
      </w:r>
      <w:r w:rsidRPr="00EC4224">
        <w:rPr>
          <w:rFonts w:ascii="Times New Roman" w:hAnsi="Times New Roman"/>
        </w:rPr>
        <w:t xml:space="preserve"> 1.5-cm incision was made to expose the cecum to the abdominal portion. The cecum was ligated at 70% of its total length and perforated with a single puncture midway between the ligation point and tip of the cecum using a 20-gauge needle. Once the needle was removed, extrusion of fecal matter was confirmed. The cecum was returned to its original position and the abdominal incision was closed with sutures. In sham mice, no ligation of the cecum was performed; however, the treatment was administered identically. Antibiotics were not administered. </w:t>
      </w:r>
    </w:p>
    <w:p w:rsidR="00A43C6B" w:rsidRPr="00A43C6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p>
    <w:p w:rsidR="00A43C6B" w:rsidRPr="00CE1CAB" w:rsidRDefault="00A43C6B" w:rsidP="00A43C6B">
      <w:pPr>
        <w:adjustRightInd w:val="0"/>
        <w:snapToGrid w:val="0"/>
        <w:spacing w:line="480" w:lineRule="auto"/>
        <w:jc w:val="both"/>
        <w:rPr>
          <w:rFonts w:eastAsia="宋体"/>
          <w:b/>
          <w:bCs/>
          <w:lang w:eastAsia="zh-CN"/>
        </w:rPr>
      </w:pPr>
      <w:r w:rsidRPr="00CE1CAB">
        <w:rPr>
          <w:rFonts w:eastAsia="宋体"/>
          <w:b/>
          <w:bCs/>
          <w:lang w:eastAsia="zh-CN"/>
        </w:rPr>
        <w:t>Blood test</w:t>
      </w:r>
    </w:p>
    <w:p w:rsidR="00A43C6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r w:rsidRPr="002B70F4">
        <w:rPr>
          <w:rFonts w:ascii="Times New Roman" w:hAnsi="Times New Roman"/>
        </w:rPr>
        <w:t xml:space="preserve">Blood samples were collected </w:t>
      </w:r>
      <w:r w:rsidRPr="006F17B2">
        <w:rPr>
          <w:rFonts w:ascii="Times New Roman" w:eastAsia="Times New Roman" w:hAnsi="Times New Roman" w:cs="Times New Roman"/>
          <w:szCs w:val="24"/>
        </w:rPr>
        <w:t>via</w:t>
      </w:r>
      <w:r w:rsidRPr="002B70F4">
        <w:rPr>
          <w:rFonts w:ascii="Times New Roman" w:hAnsi="Times New Roman"/>
        </w:rPr>
        <w:t xml:space="preserve"> cardiac puncture at the </w:t>
      </w:r>
      <w:r>
        <w:rPr>
          <w:rFonts w:ascii="Times New Roman" w:hAnsi="Times New Roman"/>
        </w:rPr>
        <w:t>conclusion</w:t>
      </w:r>
      <w:r w:rsidRPr="002B70F4">
        <w:rPr>
          <w:rFonts w:ascii="Times New Roman" w:hAnsi="Times New Roman"/>
        </w:rPr>
        <w:t xml:space="preserve">. The blood </w:t>
      </w:r>
      <w:r w:rsidRPr="006F17B2">
        <w:rPr>
          <w:rFonts w:ascii="Times New Roman" w:eastAsia="Times New Roman" w:hAnsi="Times New Roman" w:cs="Times New Roman"/>
          <w:szCs w:val="24"/>
        </w:rPr>
        <w:t xml:space="preserve">samples </w:t>
      </w:r>
      <w:r w:rsidRPr="002B70F4">
        <w:rPr>
          <w:rFonts w:ascii="Times New Roman" w:hAnsi="Times New Roman"/>
        </w:rPr>
        <w:t xml:space="preserve">were </w:t>
      </w:r>
      <w:r>
        <w:rPr>
          <w:rFonts w:ascii="Times New Roman" w:eastAsia="Times New Roman" w:hAnsi="Times New Roman" w:cs="Times New Roman"/>
          <w:szCs w:val="24"/>
        </w:rPr>
        <w:t>centrifuged and</w:t>
      </w:r>
      <w:r w:rsidRPr="002B70F4">
        <w:rPr>
          <w:rFonts w:ascii="Times New Roman" w:hAnsi="Times New Roman"/>
        </w:rPr>
        <w:t xml:space="preserve"> the sera </w:t>
      </w:r>
      <w:r>
        <w:rPr>
          <w:rFonts w:ascii="Times New Roman" w:eastAsia="Times New Roman" w:hAnsi="Times New Roman" w:cs="Times New Roman"/>
          <w:szCs w:val="24"/>
        </w:rPr>
        <w:t>were</w:t>
      </w:r>
      <w:r w:rsidRPr="002B70F4">
        <w:rPr>
          <w:rFonts w:ascii="Times New Roman" w:hAnsi="Times New Roman"/>
        </w:rPr>
        <w:t xml:space="preserve"> separated and stored at −80 °C. </w:t>
      </w:r>
      <w:r w:rsidRPr="006F17B2">
        <w:rPr>
          <w:rFonts w:ascii="Times New Roman" w:eastAsia="Times New Roman" w:hAnsi="Times New Roman" w:cs="Times New Roman"/>
          <w:szCs w:val="24"/>
        </w:rPr>
        <w:t>The concentrations of creatinine</w:t>
      </w:r>
      <w:r w:rsidRPr="002B70F4">
        <w:rPr>
          <w:rFonts w:ascii="Times New Roman" w:hAnsi="Times New Roman"/>
        </w:rPr>
        <w:t>, urea nitrogen, C-reactive protein (CRP</w:t>
      </w:r>
      <w:r w:rsidRPr="006F17B2">
        <w:rPr>
          <w:rFonts w:ascii="Times New Roman" w:eastAsia="Times New Roman" w:hAnsi="Times New Roman" w:cs="Times New Roman"/>
          <w:szCs w:val="24"/>
        </w:rPr>
        <w:t>),</w:t>
      </w:r>
      <w:r w:rsidRPr="002B70F4">
        <w:rPr>
          <w:rFonts w:ascii="Times New Roman" w:hAnsi="Times New Roman"/>
        </w:rPr>
        <w:t xml:space="preserve"> and </w:t>
      </w:r>
      <w:r w:rsidRPr="006F17B2">
        <w:rPr>
          <w:rFonts w:ascii="Times New Roman" w:eastAsia="Times New Roman" w:hAnsi="Times New Roman" w:cs="Times New Roman"/>
          <w:szCs w:val="24"/>
        </w:rPr>
        <w:t>beta</w:t>
      </w:r>
      <w:r w:rsidRPr="002B70F4">
        <w:rPr>
          <w:rFonts w:ascii="Times New Roman" w:hAnsi="Times New Roman"/>
        </w:rPr>
        <w:t>-2-</w:t>
      </w:r>
      <w:r w:rsidRPr="006F17B2">
        <w:rPr>
          <w:rFonts w:ascii="Times New Roman" w:eastAsia="Times New Roman" w:hAnsi="Times New Roman" w:cs="Times New Roman"/>
          <w:szCs w:val="24"/>
        </w:rPr>
        <w:t>microglobulin</w:t>
      </w:r>
      <w:r w:rsidRPr="002B70F4">
        <w:rPr>
          <w:rFonts w:ascii="Times New Roman" w:hAnsi="Times New Roman"/>
        </w:rPr>
        <w:t xml:space="preserve"> (β2-MG) </w:t>
      </w:r>
      <w:r w:rsidRPr="006F17B2">
        <w:rPr>
          <w:rFonts w:ascii="Times New Roman" w:eastAsia="Times New Roman" w:hAnsi="Times New Roman" w:cs="Times New Roman"/>
          <w:szCs w:val="24"/>
        </w:rPr>
        <w:t>were determined</w:t>
      </w:r>
      <w:r w:rsidRPr="002B70F4">
        <w:rPr>
          <w:rFonts w:ascii="Times New Roman" w:hAnsi="Times New Roman"/>
        </w:rPr>
        <w:t xml:space="preserve"> using enzyme-linked immunosorbent assay </w:t>
      </w:r>
      <w:r w:rsidRPr="006F17B2">
        <w:rPr>
          <w:rFonts w:ascii="Times New Roman" w:eastAsia="Times New Roman" w:hAnsi="Times New Roman" w:cs="Times New Roman"/>
          <w:szCs w:val="24"/>
        </w:rPr>
        <w:t>(ELISA) kits in accordance with</w:t>
      </w:r>
      <w:r w:rsidRPr="002B70F4">
        <w:rPr>
          <w:rFonts w:ascii="Times New Roman" w:hAnsi="Times New Roman"/>
        </w:rPr>
        <w:t xml:space="preserve"> the manufacturer’s instructions (Elabscience Biotechnology Co., Ltd., Wuhan, China). </w:t>
      </w:r>
      <w:r>
        <w:rPr>
          <w:rFonts w:ascii="Times New Roman" w:eastAsia="Times New Roman" w:hAnsi="Times New Roman" w:cs="Times New Roman"/>
          <w:szCs w:val="24"/>
        </w:rPr>
        <w:t>In addition</w:t>
      </w:r>
      <w:r w:rsidRPr="006F17B2">
        <w:rPr>
          <w:rFonts w:ascii="Times New Roman" w:eastAsia="Times New Roman" w:hAnsi="Times New Roman" w:cs="Times New Roman"/>
          <w:szCs w:val="24"/>
        </w:rPr>
        <w:t xml:space="preserve">, ELISA kits (MULTI SCIENCE, Shanghai, China) were used to quantify the levels of </w:t>
      </w:r>
      <w:r w:rsidRPr="006F17B2">
        <w:rPr>
          <w:rFonts w:ascii="Times New Roman" w:eastAsia="Times New Roman" w:hAnsi="Times New Roman" w:cs="Times New Roman"/>
          <w:szCs w:val="24"/>
        </w:rPr>
        <w:lastRenderedPageBreak/>
        <w:t>interleukin</w:t>
      </w:r>
      <w:r w:rsidRPr="002B70F4">
        <w:rPr>
          <w:rFonts w:ascii="Times New Roman" w:hAnsi="Times New Roman"/>
        </w:rPr>
        <w:t>-1β (IL-1β), interleukin-2 (IL-2), interleukin-6 (IL-6), tumor necrosis factor-α (TNF-α</w:t>
      </w:r>
      <w:r w:rsidRPr="006F17B2">
        <w:rPr>
          <w:rFonts w:ascii="Times New Roman" w:eastAsia="Times New Roman" w:hAnsi="Times New Roman" w:cs="Times New Roman"/>
          <w:szCs w:val="24"/>
        </w:rPr>
        <w:t xml:space="preserve">), </w:t>
      </w:r>
      <w:r w:rsidRPr="002B70F4">
        <w:rPr>
          <w:rFonts w:ascii="Times New Roman" w:hAnsi="Times New Roman"/>
        </w:rPr>
        <w:t xml:space="preserve">and </w:t>
      </w:r>
      <w:r w:rsidRPr="006F17B2">
        <w:rPr>
          <w:rFonts w:ascii="Times New Roman" w:eastAsia="Times New Roman" w:hAnsi="Times New Roman" w:cs="Times New Roman"/>
          <w:szCs w:val="24"/>
        </w:rPr>
        <w:t>interferon</w:t>
      </w:r>
      <w:r w:rsidRPr="002B70F4">
        <w:rPr>
          <w:rFonts w:ascii="Times New Roman" w:hAnsi="Times New Roman"/>
        </w:rPr>
        <w:t>-γ (IFN-γ).</w:t>
      </w:r>
    </w:p>
    <w:p w:rsidR="00A43C6B" w:rsidRPr="00A43C6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p>
    <w:p w:rsidR="00A43C6B" w:rsidRPr="00CE1CAB" w:rsidRDefault="00A43C6B" w:rsidP="00A43C6B">
      <w:pPr>
        <w:adjustRightInd w:val="0"/>
        <w:snapToGrid w:val="0"/>
        <w:spacing w:line="480" w:lineRule="auto"/>
        <w:jc w:val="both"/>
        <w:rPr>
          <w:rFonts w:eastAsia="宋体"/>
          <w:b/>
          <w:bCs/>
          <w:lang w:eastAsia="zh-CN"/>
        </w:rPr>
      </w:pPr>
      <w:r>
        <w:rPr>
          <w:rFonts w:eastAsia="宋体" w:hint="eastAsia"/>
          <w:b/>
          <w:bCs/>
          <w:lang w:eastAsia="zh-CN"/>
        </w:rPr>
        <w:t>Q</w:t>
      </w:r>
      <w:r w:rsidRPr="00CE1CAB">
        <w:rPr>
          <w:rFonts w:eastAsia="宋体"/>
          <w:b/>
          <w:bCs/>
          <w:lang w:eastAsia="zh-CN"/>
        </w:rPr>
        <w:t>uantitative reverse transcription polymerase chain reaction</w:t>
      </w:r>
    </w:p>
    <w:p w:rsidR="00A43C6B" w:rsidRPr="002B70F4" w:rsidRDefault="00A43C6B" w:rsidP="00A43C6B">
      <w:pPr>
        <w:pStyle w:val="p"/>
        <w:snapToGrid w:val="0"/>
        <w:spacing w:before="0" w:beforeAutospacing="0" w:after="0" w:afterAutospacing="0" w:line="480" w:lineRule="auto"/>
        <w:contextualSpacing/>
        <w:jc w:val="both"/>
        <w:rPr>
          <w:rFonts w:ascii="Times New Roman" w:hAnsi="Times New Roman"/>
        </w:rPr>
      </w:pPr>
      <w:r w:rsidRPr="002B70F4">
        <w:rPr>
          <w:rFonts w:ascii="Times New Roman" w:hAnsi="Times New Roman"/>
        </w:rPr>
        <w:t xml:space="preserve">Total RNA was extracted </w:t>
      </w:r>
      <w:r w:rsidRPr="006F17B2">
        <w:rPr>
          <w:rFonts w:ascii="Times New Roman" w:eastAsia="Times New Roman" w:hAnsi="Times New Roman" w:cs="Times New Roman"/>
          <w:szCs w:val="24"/>
        </w:rPr>
        <w:t>using</w:t>
      </w:r>
      <w:r w:rsidRPr="002B70F4">
        <w:rPr>
          <w:rFonts w:ascii="Times New Roman" w:hAnsi="Times New Roman"/>
        </w:rPr>
        <w:t xml:space="preserve"> TRIzol reagent (Invitrogen, Carlsbad, CA, USA</w:t>
      </w:r>
      <w:r w:rsidRPr="006F17B2">
        <w:rPr>
          <w:rFonts w:ascii="Times New Roman" w:eastAsia="Times New Roman" w:hAnsi="Times New Roman" w:cs="Times New Roman"/>
          <w:szCs w:val="24"/>
        </w:rPr>
        <w:t>),</w:t>
      </w:r>
      <w:r w:rsidRPr="002B70F4">
        <w:rPr>
          <w:rFonts w:ascii="Times New Roman" w:hAnsi="Times New Roman"/>
        </w:rPr>
        <w:t xml:space="preserve"> according to the manufacturer</w:t>
      </w:r>
      <w:r>
        <w:rPr>
          <w:rFonts w:ascii="Times New Roman" w:hAnsi="Times New Roman"/>
        </w:rPr>
        <w:t>’</w:t>
      </w:r>
      <w:r w:rsidRPr="002B70F4">
        <w:rPr>
          <w:rFonts w:ascii="Times New Roman" w:hAnsi="Times New Roman"/>
        </w:rPr>
        <w:t xml:space="preserve">s instructions. Reverse transcription was </w:t>
      </w:r>
      <w:r w:rsidRPr="006F17B2">
        <w:rPr>
          <w:rFonts w:ascii="Times New Roman" w:eastAsia="Times New Roman" w:hAnsi="Times New Roman" w:cs="Times New Roman"/>
          <w:szCs w:val="24"/>
        </w:rPr>
        <w:t>conducted</w:t>
      </w:r>
      <w:r w:rsidRPr="002B70F4">
        <w:rPr>
          <w:rFonts w:ascii="Times New Roman" w:hAnsi="Times New Roman"/>
        </w:rPr>
        <w:t xml:space="preserve"> and cDNA was prepared for amplification. The expression levels of </w:t>
      </w:r>
      <w:r w:rsidRPr="006F17B2">
        <w:rPr>
          <w:rFonts w:ascii="Times New Roman" w:eastAsia="Times New Roman" w:hAnsi="Times New Roman" w:cs="Times New Roman"/>
          <w:szCs w:val="24"/>
        </w:rPr>
        <w:t>the following genes</w:t>
      </w:r>
      <w:r>
        <w:rPr>
          <w:rFonts w:ascii="Times New Roman" w:eastAsiaTheme="minorEastAsia" w:hAnsi="Times New Roman" w:cs="Times New Roman" w:hint="eastAsia"/>
          <w:szCs w:val="24"/>
        </w:rPr>
        <w:t xml:space="preserve"> </w:t>
      </w:r>
      <w:r w:rsidRPr="006F17B2">
        <w:rPr>
          <w:rFonts w:ascii="Times New Roman" w:eastAsia="Times New Roman" w:hAnsi="Times New Roman" w:cs="Times New Roman"/>
          <w:szCs w:val="24"/>
        </w:rPr>
        <w:t xml:space="preserve">were quantified: </w:t>
      </w:r>
      <w:r w:rsidRPr="002B70F4">
        <w:rPr>
          <w:rFonts w:ascii="Times New Roman" w:hAnsi="Times New Roman"/>
        </w:rPr>
        <w:t xml:space="preserve">Rattus norvegicus ectonucleoside triphosphate diphosphohydrolase 1 (Entpd1), </w:t>
      </w:r>
      <w:r w:rsidRPr="00A66A62">
        <w:rPr>
          <w:rFonts w:ascii="Times New Roman" w:hAnsi="Times New Roman"/>
          <w:i/>
          <w:iCs/>
        </w:rPr>
        <w:t>Rattus norvegicu</w:t>
      </w:r>
      <w:r w:rsidRPr="00A66A62">
        <w:rPr>
          <w:rFonts w:ascii="Times New Roman" w:hAnsi="Times New Roman" w:cs="Times New Roman"/>
          <w:i/>
          <w:iCs/>
        </w:rPr>
        <w:t>s</w:t>
      </w:r>
      <w:r w:rsidRPr="00CF0931">
        <w:rPr>
          <w:rFonts w:ascii="Times New Roman" w:hAnsi="Times New Roman" w:cs="Times New Roman"/>
        </w:rPr>
        <w:t>5</w:t>
      </w:r>
      <w:r w:rsidRPr="00CF0931">
        <w:rPr>
          <w:rFonts w:ascii="Times New Roman" w:hAnsi="Times New Roman" w:cs="Times New Roman" w:hint="eastAsia"/>
        </w:rPr>
        <w:t>′</w:t>
      </w:r>
      <w:r w:rsidRPr="00CF0931">
        <w:rPr>
          <w:rFonts w:ascii="Times New Roman" w:hAnsi="Times New Roman" w:cs="Times New Roman"/>
        </w:rPr>
        <w:t xml:space="preserve"> nucleotidase</w:t>
      </w:r>
      <w:r w:rsidRPr="002B70F4">
        <w:rPr>
          <w:rFonts w:ascii="Times New Roman" w:hAnsi="Times New Roman"/>
        </w:rPr>
        <w:t xml:space="preserve"> ecto (Nt5e), </w:t>
      </w:r>
      <w:r w:rsidRPr="006F17B2">
        <w:rPr>
          <w:rFonts w:ascii="Times New Roman" w:eastAsia="Times New Roman" w:hAnsi="Times New Roman" w:cs="Times New Roman"/>
          <w:szCs w:val="24"/>
        </w:rPr>
        <w:t xml:space="preserve">and </w:t>
      </w:r>
      <w:r w:rsidRPr="00A66A62">
        <w:rPr>
          <w:rFonts w:ascii="Times New Roman" w:hAnsi="Times New Roman"/>
          <w:i/>
          <w:iCs/>
        </w:rPr>
        <w:t>Rattus norvegicus</w:t>
      </w:r>
      <w:r w:rsidRPr="002B70F4">
        <w:rPr>
          <w:rFonts w:ascii="Times New Roman" w:hAnsi="Times New Roman"/>
        </w:rPr>
        <w:t xml:space="preserve"> nuclear factor kappa B subunit 1 (Nfkb1</w:t>
      </w:r>
      <w:r w:rsidRPr="006F17B2">
        <w:rPr>
          <w:rFonts w:ascii="Times New Roman" w:eastAsia="Times New Roman" w:hAnsi="Times New Roman" w:cs="Times New Roman"/>
          <w:szCs w:val="24"/>
        </w:rPr>
        <w:t xml:space="preserve">). Quantification of the </w:t>
      </w:r>
      <w:r w:rsidRPr="002B70F4">
        <w:rPr>
          <w:rFonts w:ascii="Times New Roman" w:hAnsi="Times New Roman"/>
        </w:rPr>
        <w:t>adenosine A2a receptor (Adora2a), adenosine A2B receptor (Adora2b</w:t>
      </w:r>
      <w:r w:rsidRPr="006F17B2">
        <w:rPr>
          <w:rFonts w:ascii="Times New Roman" w:eastAsia="Times New Roman" w:hAnsi="Times New Roman" w:cs="Times New Roman"/>
          <w:szCs w:val="24"/>
        </w:rPr>
        <w:t>),</w:t>
      </w:r>
      <w:r w:rsidRPr="002B70F4">
        <w:rPr>
          <w:rFonts w:ascii="Times New Roman" w:hAnsi="Times New Roman"/>
        </w:rPr>
        <w:t xml:space="preserve"> and purinergic receptor P2X 7 (P2rx7) </w:t>
      </w:r>
      <w:r w:rsidRPr="006F17B2">
        <w:rPr>
          <w:rFonts w:ascii="Times New Roman" w:eastAsia="Times New Roman" w:hAnsi="Times New Roman" w:cs="Times New Roman"/>
          <w:szCs w:val="24"/>
        </w:rPr>
        <w:t xml:space="preserve">in </w:t>
      </w:r>
      <w:r w:rsidRPr="00A66A62">
        <w:rPr>
          <w:rFonts w:ascii="Times New Roman" w:eastAsia="Times New Roman" w:hAnsi="Times New Roman" w:cs="Times New Roman"/>
          <w:i/>
          <w:iCs/>
          <w:szCs w:val="24"/>
        </w:rPr>
        <w:t xml:space="preserve">Rattus norvegicus </w:t>
      </w:r>
      <w:r w:rsidRPr="006F17B2">
        <w:rPr>
          <w:rFonts w:ascii="Times New Roman" w:eastAsia="Times New Roman" w:hAnsi="Times New Roman" w:cs="Times New Roman"/>
          <w:szCs w:val="24"/>
        </w:rPr>
        <w:t>was performed using an</w:t>
      </w:r>
      <w:r w:rsidRPr="002B70F4">
        <w:rPr>
          <w:rFonts w:ascii="Times New Roman" w:hAnsi="Times New Roman"/>
        </w:rPr>
        <w:t xml:space="preserve"> miRNA Assay Kit (Applied Biosystems, Foster City, CA</w:t>
      </w:r>
      <w:r>
        <w:rPr>
          <w:rFonts w:ascii="Times New Roman" w:hAnsi="Times New Roman"/>
        </w:rPr>
        <w:t>, USA</w:t>
      </w:r>
      <w:r w:rsidRPr="002B70F4">
        <w:rPr>
          <w:rFonts w:ascii="Times New Roman" w:hAnsi="Times New Roman"/>
        </w:rPr>
        <w:t xml:space="preserve">). </w:t>
      </w:r>
      <w:r>
        <w:rPr>
          <w:rFonts w:ascii="Times New Roman" w:eastAsiaTheme="minorEastAsia" w:hAnsi="Times New Roman" w:hint="eastAsia"/>
        </w:rPr>
        <w:t xml:space="preserve">Primer sequences </w:t>
      </w:r>
      <w:r>
        <w:rPr>
          <w:rFonts w:ascii="Times New Roman" w:eastAsiaTheme="minorEastAsia" w:hAnsi="Times New Roman"/>
        </w:rPr>
        <w:t>are</w:t>
      </w:r>
      <w:r>
        <w:rPr>
          <w:rFonts w:ascii="Times New Roman" w:eastAsiaTheme="minorEastAsia" w:hAnsi="Times New Roman" w:hint="eastAsia"/>
        </w:rPr>
        <w:t xml:space="preserve"> listed in </w:t>
      </w:r>
      <w:r w:rsidRPr="0079169C">
        <w:rPr>
          <w:rFonts w:ascii="Times New Roman" w:eastAsiaTheme="minorEastAsia" w:hAnsi="Times New Roman" w:hint="eastAsia"/>
        </w:rPr>
        <w:t>Table S</w:t>
      </w:r>
      <w:r>
        <w:rPr>
          <w:rFonts w:ascii="Times New Roman" w:eastAsiaTheme="minorEastAsia" w:hAnsi="Times New Roman" w:hint="eastAsia"/>
        </w:rPr>
        <w:t>1</w:t>
      </w:r>
      <w:r w:rsidRPr="0079169C">
        <w:rPr>
          <w:rFonts w:ascii="Times New Roman" w:eastAsiaTheme="minorEastAsia" w:hAnsi="Times New Roman" w:hint="eastAsia"/>
        </w:rPr>
        <w:t>.</w:t>
      </w:r>
      <w:r w:rsidRPr="002B70F4">
        <w:rPr>
          <w:rFonts w:ascii="Times New Roman" w:hAnsi="Times New Roman"/>
        </w:rPr>
        <w:t xml:space="preserve">mRNA levels were calculated </w:t>
      </w:r>
      <w:r w:rsidRPr="006F17B2">
        <w:rPr>
          <w:rFonts w:ascii="Times New Roman" w:eastAsia="Times New Roman" w:hAnsi="Times New Roman" w:cs="Times New Roman"/>
          <w:szCs w:val="24"/>
        </w:rPr>
        <w:t>using</w:t>
      </w:r>
      <w:r w:rsidRPr="002B70F4">
        <w:rPr>
          <w:rFonts w:ascii="Times New Roman" w:hAnsi="Times New Roman"/>
        </w:rPr>
        <w:t xml:space="preserve"> the comparative cycle threshold (∆∆Ct) method. </w:t>
      </w:r>
      <w:r>
        <w:rPr>
          <w:rFonts w:ascii="Times New Roman" w:hAnsi="Times New Roman"/>
        </w:rPr>
        <w:t>R</w:t>
      </w:r>
      <w:r w:rsidRPr="002B70F4">
        <w:rPr>
          <w:rFonts w:ascii="Times New Roman" w:hAnsi="Times New Roman"/>
        </w:rPr>
        <w:t xml:space="preserve">elative expression </w:t>
      </w:r>
      <w:r w:rsidRPr="006F17B2">
        <w:rPr>
          <w:rFonts w:ascii="Times New Roman" w:eastAsia="Times New Roman" w:hAnsi="Times New Roman" w:cs="Times New Roman"/>
          <w:szCs w:val="24"/>
        </w:rPr>
        <w:t>levels were</w:t>
      </w:r>
      <w:r w:rsidRPr="002B70F4">
        <w:rPr>
          <w:rFonts w:ascii="Times New Roman" w:hAnsi="Times New Roman"/>
        </w:rPr>
        <w:t xml:space="preserve"> normalized </w:t>
      </w:r>
      <w:r w:rsidRPr="006F17B2">
        <w:rPr>
          <w:rFonts w:ascii="Times New Roman" w:eastAsia="Times New Roman" w:hAnsi="Times New Roman" w:cs="Times New Roman"/>
          <w:szCs w:val="24"/>
        </w:rPr>
        <w:t>to that of</w:t>
      </w:r>
      <w:r>
        <w:rPr>
          <w:rFonts w:ascii="Times New Roman" w:eastAsiaTheme="minorEastAsia" w:hAnsi="Times New Roman" w:cs="Times New Roman" w:hint="eastAsia"/>
          <w:szCs w:val="24"/>
        </w:rPr>
        <w:t xml:space="preserve"> </w:t>
      </w:r>
      <w:r w:rsidRPr="00A66A62">
        <w:rPr>
          <w:rFonts w:ascii="Times New Roman" w:hAnsi="Times New Roman"/>
          <w:i/>
          <w:iCs/>
        </w:rPr>
        <w:t>GAPDH</w:t>
      </w:r>
      <w:r w:rsidRPr="002B70F4">
        <w:rPr>
          <w:rFonts w:ascii="Times New Roman" w:hAnsi="Times New Roman"/>
        </w:rPr>
        <w:t>.</w:t>
      </w:r>
    </w:p>
    <w:p w:rsidR="00A43C6B" w:rsidRDefault="00A43C6B" w:rsidP="00A43C6B">
      <w:pPr>
        <w:snapToGrid w:val="0"/>
        <w:spacing w:line="480" w:lineRule="auto"/>
        <w:contextualSpacing/>
        <w:jc w:val="center"/>
        <w:rPr>
          <w:lang w:eastAsia="zh-CN"/>
        </w:rPr>
      </w:pPr>
      <w:r w:rsidRPr="002B70F4">
        <w:rPr>
          <w:b/>
        </w:rPr>
        <w:t xml:space="preserve">Table </w:t>
      </w:r>
      <w:r>
        <w:rPr>
          <w:rFonts w:hint="eastAsia"/>
          <w:b/>
          <w:lang w:eastAsia="zh-CN"/>
        </w:rPr>
        <w:t>S</w:t>
      </w:r>
      <w:r w:rsidRPr="002B70F4">
        <w:rPr>
          <w:b/>
        </w:rPr>
        <w:t>1</w:t>
      </w:r>
      <w:r w:rsidRPr="002B70F4">
        <w:t xml:space="preserve">. </w:t>
      </w:r>
      <w:r>
        <w:rPr>
          <w:rFonts w:hint="eastAsia"/>
          <w:lang w:eastAsia="zh-CN"/>
        </w:rPr>
        <w:t>Primer sequences</w:t>
      </w:r>
    </w:p>
    <w:tbl>
      <w:tblPr>
        <w:tblW w:w="0" w:type="auto"/>
        <w:jc w:val="center"/>
        <w:tblInd w:w="-745" w:type="dxa"/>
        <w:tblLook w:val="0000"/>
      </w:tblPr>
      <w:tblGrid>
        <w:gridCol w:w="1295"/>
        <w:gridCol w:w="3543"/>
        <w:gridCol w:w="2938"/>
      </w:tblGrid>
      <w:tr w:rsidR="00A43C6B" w:rsidRPr="002B70F4" w:rsidTr="00E0032E">
        <w:trPr>
          <w:trHeight w:val="285"/>
          <w:jc w:val="center"/>
        </w:trPr>
        <w:tc>
          <w:tcPr>
            <w:tcW w:w="1295" w:type="dxa"/>
            <w:tcBorders>
              <w:top w:val="single" w:sz="4" w:space="0" w:color="auto"/>
              <w:bottom w:val="single" w:sz="4" w:space="0" w:color="auto"/>
            </w:tcBorders>
            <w:shd w:val="clear" w:color="auto" w:fill="FFFFFF"/>
            <w:vAlign w:val="center"/>
          </w:tcPr>
          <w:p w:rsidR="00A43C6B" w:rsidRPr="0013339E" w:rsidRDefault="00A43C6B" w:rsidP="00E0032E">
            <w:pPr>
              <w:snapToGrid w:val="0"/>
              <w:contextualSpacing/>
              <w:jc w:val="both"/>
              <w:rPr>
                <w:lang w:eastAsia="zh-CN"/>
              </w:rPr>
            </w:pPr>
            <w:r>
              <w:rPr>
                <w:rFonts w:hint="eastAsia"/>
                <w:lang w:eastAsia="zh-CN"/>
              </w:rPr>
              <w:t>Name</w:t>
            </w:r>
          </w:p>
        </w:tc>
        <w:tc>
          <w:tcPr>
            <w:tcW w:w="3543" w:type="dxa"/>
            <w:tcBorders>
              <w:top w:val="single" w:sz="4" w:space="0" w:color="auto"/>
              <w:bottom w:val="single" w:sz="4" w:space="0" w:color="auto"/>
            </w:tcBorders>
            <w:shd w:val="clear" w:color="auto" w:fill="FFFFFF"/>
            <w:vAlign w:val="center"/>
          </w:tcPr>
          <w:p w:rsidR="00A43C6B" w:rsidRPr="0013339E" w:rsidRDefault="00A43C6B" w:rsidP="00E0032E">
            <w:pPr>
              <w:snapToGrid w:val="0"/>
              <w:contextualSpacing/>
              <w:jc w:val="both"/>
              <w:rPr>
                <w:lang w:eastAsia="zh-CN"/>
              </w:rPr>
            </w:pPr>
            <w:r w:rsidRPr="0013339E">
              <w:rPr>
                <w:lang w:eastAsia="zh-CN"/>
              </w:rPr>
              <w:t>Forward prime</w:t>
            </w:r>
            <w:r w:rsidRPr="0013339E">
              <w:rPr>
                <w:rFonts w:hint="eastAsia"/>
                <w:lang w:eastAsia="zh-CN"/>
              </w:rPr>
              <w:t>r</w:t>
            </w:r>
          </w:p>
        </w:tc>
        <w:tc>
          <w:tcPr>
            <w:tcW w:w="2938" w:type="dxa"/>
            <w:tcBorders>
              <w:top w:val="single" w:sz="4" w:space="0" w:color="auto"/>
              <w:bottom w:val="single" w:sz="4" w:space="0" w:color="auto"/>
            </w:tcBorders>
            <w:shd w:val="clear" w:color="auto" w:fill="FFFFFF"/>
          </w:tcPr>
          <w:p w:rsidR="00A43C6B" w:rsidRPr="0013339E" w:rsidRDefault="00A43C6B" w:rsidP="00E0032E">
            <w:pPr>
              <w:snapToGrid w:val="0"/>
              <w:contextualSpacing/>
              <w:jc w:val="both"/>
              <w:rPr>
                <w:lang w:eastAsia="zh-CN"/>
              </w:rPr>
            </w:pPr>
            <w:r w:rsidRPr="0013339E">
              <w:rPr>
                <w:lang w:eastAsia="zh-CN"/>
              </w:rPr>
              <w:t>Reverse primer</w:t>
            </w:r>
          </w:p>
        </w:tc>
      </w:tr>
      <w:tr w:rsidR="00A43C6B" w:rsidRPr="002B70F4" w:rsidTr="00E0032E">
        <w:trPr>
          <w:trHeight w:val="20"/>
          <w:jc w:val="center"/>
        </w:trPr>
        <w:tc>
          <w:tcPr>
            <w:tcW w:w="1295" w:type="dxa"/>
            <w:tcBorders>
              <w:top w:val="single" w:sz="4" w:space="0" w:color="auto"/>
            </w:tcBorders>
            <w:shd w:val="clear" w:color="auto" w:fill="FFFFFF"/>
            <w:vAlign w:val="center"/>
          </w:tcPr>
          <w:p w:rsidR="00A43C6B" w:rsidRPr="002B70F4" w:rsidRDefault="00A43C6B" w:rsidP="00E0032E">
            <w:pPr>
              <w:snapToGrid w:val="0"/>
              <w:contextualSpacing/>
              <w:jc w:val="both"/>
            </w:pPr>
            <w:r w:rsidRPr="002B70F4">
              <w:t>Entpd1</w:t>
            </w:r>
          </w:p>
        </w:tc>
        <w:tc>
          <w:tcPr>
            <w:tcW w:w="3543" w:type="dxa"/>
            <w:tcBorders>
              <w:top w:val="single" w:sz="4" w:space="0" w:color="auto"/>
            </w:tcBorders>
            <w:shd w:val="clear" w:color="auto" w:fill="FFFFFF"/>
            <w:vAlign w:val="center"/>
          </w:tcPr>
          <w:p w:rsidR="00A43C6B" w:rsidRPr="0013339E" w:rsidRDefault="00A43C6B" w:rsidP="00E0032E">
            <w:pPr>
              <w:snapToGrid w:val="0"/>
              <w:contextualSpacing/>
              <w:jc w:val="both"/>
              <w:rPr>
                <w:lang w:eastAsia="zh-CN"/>
              </w:rPr>
            </w:pPr>
            <w:r w:rsidRPr="0013339E">
              <w:rPr>
                <w:lang w:eastAsia="zh-CN"/>
              </w:rPr>
              <w:t>GGCCCAGGACATTCAGGTTT</w:t>
            </w:r>
          </w:p>
        </w:tc>
        <w:tc>
          <w:tcPr>
            <w:tcW w:w="2938" w:type="dxa"/>
            <w:tcBorders>
              <w:top w:val="single" w:sz="4" w:space="0" w:color="auto"/>
            </w:tcBorders>
            <w:shd w:val="clear" w:color="auto" w:fill="FFFFFF"/>
          </w:tcPr>
          <w:p w:rsidR="00A43C6B" w:rsidRPr="0013339E" w:rsidRDefault="00A43C6B" w:rsidP="00E0032E">
            <w:pPr>
              <w:snapToGrid w:val="0"/>
              <w:contextualSpacing/>
              <w:jc w:val="both"/>
              <w:rPr>
                <w:lang w:eastAsia="zh-CN"/>
              </w:rPr>
            </w:pPr>
            <w:r w:rsidRPr="0013339E">
              <w:rPr>
                <w:lang w:eastAsia="zh-CN"/>
              </w:rPr>
              <w:t>GGCAGTGGCTGTTGTTGAAG</w:t>
            </w:r>
          </w:p>
        </w:tc>
      </w:tr>
      <w:tr w:rsidR="00A43C6B" w:rsidRPr="002B70F4" w:rsidTr="00E0032E">
        <w:trPr>
          <w:trHeight w:val="20"/>
          <w:jc w:val="center"/>
        </w:trPr>
        <w:tc>
          <w:tcPr>
            <w:tcW w:w="1295" w:type="dxa"/>
            <w:shd w:val="clear" w:color="auto" w:fill="FFFFFF"/>
            <w:vAlign w:val="center"/>
          </w:tcPr>
          <w:p w:rsidR="00A43C6B" w:rsidRPr="002B70F4" w:rsidRDefault="00A43C6B" w:rsidP="00E0032E">
            <w:pPr>
              <w:snapToGrid w:val="0"/>
              <w:contextualSpacing/>
              <w:jc w:val="both"/>
            </w:pPr>
            <w:r w:rsidRPr="002B70F4">
              <w:t>Nt5e</w:t>
            </w:r>
          </w:p>
        </w:tc>
        <w:tc>
          <w:tcPr>
            <w:tcW w:w="3543" w:type="dxa"/>
            <w:shd w:val="clear" w:color="auto" w:fill="FFFFFF"/>
            <w:vAlign w:val="center"/>
          </w:tcPr>
          <w:p w:rsidR="00A43C6B" w:rsidRPr="0013339E" w:rsidRDefault="00A43C6B" w:rsidP="00E0032E">
            <w:pPr>
              <w:snapToGrid w:val="0"/>
              <w:contextualSpacing/>
              <w:jc w:val="both"/>
              <w:rPr>
                <w:lang w:eastAsia="zh-CN"/>
              </w:rPr>
            </w:pPr>
            <w:r w:rsidRPr="0013339E">
              <w:rPr>
                <w:lang w:eastAsia="zh-CN"/>
              </w:rPr>
              <w:t>CACGTGTCCATGTGCATTGT</w:t>
            </w:r>
          </w:p>
        </w:tc>
        <w:tc>
          <w:tcPr>
            <w:tcW w:w="2938" w:type="dxa"/>
            <w:shd w:val="clear" w:color="auto" w:fill="FFFFFF"/>
          </w:tcPr>
          <w:p w:rsidR="00A43C6B" w:rsidRPr="0013339E" w:rsidRDefault="00A43C6B" w:rsidP="00E0032E">
            <w:pPr>
              <w:snapToGrid w:val="0"/>
              <w:contextualSpacing/>
              <w:jc w:val="both"/>
              <w:rPr>
                <w:lang w:eastAsia="zh-CN"/>
              </w:rPr>
            </w:pPr>
            <w:r w:rsidRPr="0013339E">
              <w:rPr>
                <w:lang w:eastAsia="zh-CN"/>
              </w:rPr>
              <w:t>CCACATGGATTCCACCCACT</w:t>
            </w:r>
          </w:p>
        </w:tc>
      </w:tr>
      <w:tr w:rsidR="00A43C6B" w:rsidRPr="002B70F4" w:rsidTr="00E0032E">
        <w:trPr>
          <w:trHeight w:val="20"/>
          <w:jc w:val="center"/>
        </w:trPr>
        <w:tc>
          <w:tcPr>
            <w:tcW w:w="1295" w:type="dxa"/>
            <w:shd w:val="clear" w:color="auto" w:fill="FFFFFF"/>
            <w:vAlign w:val="center"/>
          </w:tcPr>
          <w:p w:rsidR="00A43C6B" w:rsidRPr="002B70F4" w:rsidRDefault="00A43C6B" w:rsidP="00E0032E">
            <w:pPr>
              <w:snapToGrid w:val="0"/>
              <w:contextualSpacing/>
              <w:jc w:val="both"/>
            </w:pPr>
            <w:r w:rsidRPr="002B70F4">
              <w:t>Nfkb1</w:t>
            </w:r>
          </w:p>
        </w:tc>
        <w:tc>
          <w:tcPr>
            <w:tcW w:w="3543" w:type="dxa"/>
            <w:shd w:val="clear" w:color="auto" w:fill="FFFFFF"/>
            <w:vAlign w:val="center"/>
          </w:tcPr>
          <w:p w:rsidR="00A43C6B" w:rsidRPr="0013339E" w:rsidRDefault="00A43C6B" w:rsidP="00E0032E">
            <w:pPr>
              <w:snapToGrid w:val="0"/>
              <w:contextualSpacing/>
              <w:jc w:val="both"/>
              <w:rPr>
                <w:lang w:eastAsia="zh-CN"/>
              </w:rPr>
            </w:pPr>
            <w:r w:rsidRPr="0013339E">
              <w:rPr>
                <w:lang w:eastAsia="zh-CN"/>
              </w:rPr>
              <w:t>GATCCTTTCGGAACTGGGCA</w:t>
            </w:r>
          </w:p>
        </w:tc>
        <w:tc>
          <w:tcPr>
            <w:tcW w:w="2938" w:type="dxa"/>
            <w:shd w:val="clear" w:color="auto" w:fill="FFFFFF"/>
          </w:tcPr>
          <w:p w:rsidR="00A43C6B" w:rsidRPr="0013339E" w:rsidRDefault="00A43C6B" w:rsidP="00E0032E">
            <w:pPr>
              <w:snapToGrid w:val="0"/>
              <w:contextualSpacing/>
              <w:jc w:val="both"/>
              <w:rPr>
                <w:lang w:eastAsia="zh-CN"/>
              </w:rPr>
            </w:pPr>
            <w:r w:rsidRPr="0013339E">
              <w:rPr>
                <w:lang w:eastAsia="zh-CN"/>
              </w:rPr>
              <w:t>GGTATGGGCCATCTGCTGTT</w:t>
            </w:r>
          </w:p>
        </w:tc>
      </w:tr>
      <w:tr w:rsidR="00A43C6B" w:rsidRPr="002B70F4" w:rsidTr="00E0032E">
        <w:trPr>
          <w:trHeight w:val="20"/>
          <w:jc w:val="center"/>
        </w:trPr>
        <w:tc>
          <w:tcPr>
            <w:tcW w:w="1295" w:type="dxa"/>
            <w:shd w:val="clear" w:color="auto" w:fill="FFFFFF"/>
            <w:vAlign w:val="center"/>
          </w:tcPr>
          <w:p w:rsidR="00A43C6B" w:rsidRPr="002B70F4" w:rsidRDefault="00A43C6B" w:rsidP="00E0032E">
            <w:pPr>
              <w:snapToGrid w:val="0"/>
              <w:contextualSpacing/>
              <w:jc w:val="both"/>
            </w:pPr>
            <w:r w:rsidRPr="002B70F4">
              <w:t>Adora2a</w:t>
            </w:r>
          </w:p>
        </w:tc>
        <w:tc>
          <w:tcPr>
            <w:tcW w:w="3543" w:type="dxa"/>
            <w:shd w:val="clear" w:color="auto" w:fill="FFFFFF"/>
            <w:vAlign w:val="center"/>
          </w:tcPr>
          <w:p w:rsidR="00A43C6B" w:rsidRPr="0013339E" w:rsidRDefault="00A43C6B" w:rsidP="00E0032E">
            <w:pPr>
              <w:snapToGrid w:val="0"/>
              <w:contextualSpacing/>
              <w:jc w:val="both"/>
              <w:rPr>
                <w:lang w:eastAsia="zh-CN"/>
              </w:rPr>
            </w:pPr>
            <w:r w:rsidRPr="0013339E">
              <w:rPr>
                <w:lang w:eastAsia="zh-CN"/>
              </w:rPr>
              <w:t>CCATCCCCTTCGCTATCACC</w:t>
            </w:r>
          </w:p>
        </w:tc>
        <w:tc>
          <w:tcPr>
            <w:tcW w:w="2938" w:type="dxa"/>
            <w:shd w:val="clear" w:color="auto" w:fill="FFFFFF"/>
          </w:tcPr>
          <w:p w:rsidR="00A43C6B" w:rsidRPr="0013339E" w:rsidRDefault="00A43C6B" w:rsidP="00E0032E">
            <w:pPr>
              <w:snapToGrid w:val="0"/>
              <w:contextualSpacing/>
              <w:jc w:val="both"/>
              <w:rPr>
                <w:lang w:eastAsia="zh-CN"/>
              </w:rPr>
            </w:pPr>
            <w:r w:rsidRPr="0013339E">
              <w:rPr>
                <w:lang w:eastAsia="zh-CN"/>
              </w:rPr>
              <w:t>AAGCCATTGTACCGGAGTGG</w:t>
            </w:r>
          </w:p>
        </w:tc>
      </w:tr>
      <w:tr w:rsidR="00A43C6B" w:rsidRPr="002B70F4" w:rsidTr="00E0032E">
        <w:trPr>
          <w:trHeight w:val="20"/>
          <w:jc w:val="center"/>
        </w:trPr>
        <w:tc>
          <w:tcPr>
            <w:tcW w:w="1295" w:type="dxa"/>
            <w:shd w:val="clear" w:color="auto" w:fill="FFFFFF"/>
            <w:vAlign w:val="center"/>
          </w:tcPr>
          <w:p w:rsidR="00A43C6B" w:rsidRPr="002B70F4" w:rsidRDefault="00A43C6B" w:rsidP="00E0032E">
            <w:pPr>
              <w:snapToGrid w:val="0"/>
              <w:contextualSpacing/>
              <w:jc w:val="both"/>
            </w:pPr>
            <w:r w:rsidRPr="002B70F4">
              <w:t>Adora2b</w:t>
            </w:r>
          </w:p>
        </w:tc>
        <w:tc>
          <w:tcPr>
            <w:tcW w:w="3543" w:type="dxa"/>
            <w:shd w:val="clear" w:color="auto" w:fill="FFFFFF"/>
            <w:vAlign w:val="center"/>
          </w:tcPr>
          <w:p w:rsidR="00A43C6B" w:rsidRPr="0013339E" w:rsidRDefault="00A43C6B" w:rsidP="00E0032E">
            <w:pPr>
              <w:snapToGrid w:val="0"/>
              <w:contextualSpacing/>
              <w:jc w:val="both"/>
              <w:rPr>
                <w:lang w:eastAsia="zh-CN"/>
              </w:rPr>
            </w:pPr>
            <w:r w:rsidRPr="0013339E">
              <w:rPr>
                <w:lang w:eastAsia="zh-CN"/>
              </w:rPr>
              <w:t>TACAGACCCCCACCAACTACT</w:t>
            </w:r>
          </w:p>
        </w:tc>
        <w:tc>
          <w:tcPr>
            <w:tcW w:w="2938" w:type="dxa"/>
            <w:shd w:val="clear" w:color="auto" w:fill="FFFFFF"/>
          </w:tcPr>
          <w:p w:rsidR="00A43C6B" w:rsidRPr="0013339E" w:rsidRDefault="00A43C6B" w:rsidP="00E0032E">
            <w:pPr>
              <w:snapToGrid w:val="0"/>
              <w:contextualSpacing/>
              <w:jc w:val="both"/>
              <w:rPr>
                <w:lang w:eastAsia="zh-CN"/>
              </w:rPr>
            </w:pPr>
            <w:r w:rsidRPr="0013339E">
              <w:rPr>
                <w:lang w:eastAsia="zh-CN"/>
              </w:rPr>
              <w:t>CCAAACCTTTATACCTGAGCGG</w:t>
            </w:r>
          </w:p>
        </w:tc>
      </w:tr>
      <w:tr w:rsidR="00A43C6B" w:rsidRPr="002B70F4" w:rsidTr="00E0032E">
        <w:trPr>
          <w:trHeight w:val="20"/>
          <w:jc w:val="center"/>
        </w:trPr>
        <w:tc>
          <w:tcPr>
            <w:tcW w:w="1295" w:type="dxa"/>
            <w:tcBorders>
              <w:bottom w:val="single" w:sz="4" w:space="0" w:color="auto"/>
            </w:tcBorders>
            <w:shd w:val="clear" w:color="auto" w:fill="FFFFFF"/>
            <w:vAlign w:val="center"/>
          </w:tcPr>
          <w:p w:rsidR="00A43C6B" w:rsidRPr="002B70F4" w:rsidRDefault="00A43C6B" w:rsidP="00E0032E">
            <w:pPr>
              <w:snapToGrid w:val="0"/>
              <w:contextualSpacing/>
              <w:jc w:val="both"/>
            </w:pPr>
            <w:r w:rsidRPr="002B70F4">
              <w:t>P2rx7</w:t>
            </w:r>
          </w:p>
        </w:tc>
        <w:tc>
          <w:tcPr>
            <w:tcW w:w="3543" w:type="dxa"/>
            <w:tcBorders>
              <w:bottom w:val="single" w:sz="4" w:space="0" w:color="auto"/>
            </w:tcBorders>
            <w:shd w:val="clear" w:color="auto" w:fill="FFFFFF"/>
            <w:vAlign w:val="center"/>
          </w:tcPr>
          <w:p w:rsidR="00A43C6B" w:rsidRPr="0013339E" w:rsidRDefault="00A43C6B" w:rsidP="00E0032E">
            <w:pPr>
              <w:snapToGrid w:val="0"/>
              <w:contextualSpacing/>
              <w:jc w:val="both"/>
              <w:rPr>
                <w:lang w:eastAsia="zh-CN"/>
              </w:rPr>
            </w:pPr>
            <w:r w:rsidRPr="0013339E">
              <w:rPr>
                <w:lang w:eastAsia="zh-CN"/>
              </w:rPr>
              <w:t>GCGTGAATTACGGCACCATC</w:t>
            </w:r>
          </w:p>
        </w:tc>
        <w:tc>
          <w:tcPr>
            <w:tcW w:w="2938" w:type="dxa"/>
            <w:tcBorders>
              <w:bottom w:val="single" w:sz="4" w:space="0" w:color="auto"/>
            </w:tcBorders>
            <w:shd w:val="clear" w:color="auto" w:fill="FFFFFF"/>
          </w:tcPr>
          <w:p w:rsidR="00A43C6B" w:rsidRPr="0013339E" w:rsidRDefault="00A43C6B" w:rsidP="00E0032E">
            <w:pPr>
              <w:snapToGrid w:val="0"/>
              <w:contextualSpacing/>
              <w:jc w:val="both"/>
              <w:rPr>
                <w:lang w:eastAsia="zh-CN"/>
              </w:rPr>
            </w:pPr>
            <w:r w:rsidRPr="0013339E">
              <w:rPr>
                <w:lang w:eastAsia="zh-CN"/>
              </w:rPr>
              <w:t>AGAACGAGTTCCCCTGCAAA</w:t>
            </w:r>
          </w:p>
        </w:tc>
      </w:tr>
    </w:tbl>
    <w:p w:rsidR="00A43C6B" w:rsidRPr="00CE1CA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p>
    <w:p w:rsidR="00A43C6B" w:rsidRPr="002027E2" w:rsidRDefault="00A43C6B" w:rsidP="00A43C6B">
      <w:pPr>
        <w:adjustRightInd w:val="0"/>
        <w:snapToGrid w:val="0"/>
        <w:spacing w:line="480" w:lineRule="auto"/>
        <w:jc w:val="both"/>
        <w:rPr>
          <w:rFonts w:eastAsia="宋体"/>
          <w:b/>
          <w:bCs/>
          <w:lang w:eastAsia="zh-CN"/>
        </w:rPr>
      </w:pPr>
      <w:r w:rsidRPr="002027E2">
        <w:rPr>
          <w:rFonts w:eastAsia="宋体"/>
          <w:b/>
          <w:bCs/>
          <w:lang w:eastAsia="zh-CN"/>
        </w:rPr>
        <w:t>Indoxyl sulfate and p-cresyl sulfate measurement</w:t>
      </w:r>
    </w:p>
    <w:p w:rsidR="00A43C6B" w:rsidRPr="002B70F4" w:rsidRDefault="00A43C6B" w:rsidP="00A43C6B">
      <w:pPr>
        <w:pStyle w:val="p"/>
        <w:snapToGrid w:val="0"/>
        <w:spacing w:before="0" w:beforeAutospacing="0" w:after="0" w:afterAutospacing="0" w:line="480" w:lineRule="auto"/>
        <w:contextualSpacing/>
        <w:jc w:val="both"/>
        <w:rPr>
          <w:rFonts w:ascii="Times New Roman" w:hAnsi="Times New Roman"/>
        </w:rPr>
      </w:pPr>
      <w:r w:rsidRPr="002B70F4">
        <w:rPr>
          <w:rFonts w:ascii="Times New Roman" w:hAnsi="Times New Roman"/>
        </w:rPr>
        <w:t xml:space="preserve">Briefly, 100μL </w:t>
      </w:r>
      <w:r w:rsidRPr="006F17B2">
        <w:rPr>
          <w:rFonts w:ascii="Times New Roman" w:eastAsia="Times New Roman" w:hAnsi="Times New Roman" w:cs="Times New Roman"/>
          <w:szCs w:val="24"/>
        </w:rPr>
        <w:t xml:space="preserve">of </w:t>
      </w:r>
      <w:r w:rsidRPr="002B70F4">
        <w:rPr>
          <w:rFonts w:ascii="Times New Roman" w:hAnsi="Times New Roman"/>
        </w:rPr>
        <w:t xml:space="preserve">plasma was added </w:t>
      </w:r>
      <w:r w:rsidRPr="006F17B2">
        <w:rPr>
          <w:rFonts w:ascii="Times New Roman" w:eastAsia="Times New Roman" w:hAnsi="Times New Roman" w:cs="Times New Roman"/>
          <w:szCs w:val="24"/>
        </w:rPr>
        <w:t>to</w:t>
      </w:r>
      <w:r w:rsidRPr="002B70F4">
        <w:rPr>
          <w:rFonts w:ascii="Times New Roman" w:hAnsi="Times New Roman"/>
        </w:rPr>
        <w:t xml:space="preserve"> 500μL of </w:t>
      </w:r>
      <w:r w:rsidRPr="006F17B2">
        <w:rPr>
          <w:rFonts w:ascii="Times New Roman" w:eastAsia="Times New Roman" w:hAnsi="Times New Roman" w:cs="Times New Roman"/>
          <w:szCs w:val="24"/>
        </w:rPr>
        <w:t xml:space="preserve">an </w:t>
      </w:r>
      <w:r w:rsidRPr="002B70F4">
        <w:rPr>
          <w:rFonts w:ascii="Times New Roman" w:hAnsi="Times New Roman"/>
        </w:rPr>
        <w:t>internal standard</w:t>
      </w:r>
      <w:r>
        <w:rPr>
          <w:rFonts w:ascii="Times New Roman" w:eastAsiaTheme="minorEastAsia" w:hAnsi="Times New Roman" w:hint="eastAsia"/>
        </w:rPr>
        <w:t xml:space="preserve"> </w:t>
      </w:r>
      <w:r w:rsidRPr="002B70F4">
        <w:rPr>
          <w:rFonts w:ascii="Times New Roman" w:hAnsi="Times New Roman"/>
        </w:rPr>
        <w:t>protein precipitation solution (50 ng/</w:t>
      </w:r>
      <w:r>
        <w:rPr>
          <w:rFonts w:ascii="Times New Roman" w:eastAsia="Times New Roman" w:hAnsi="Times New Roman" w:cs="Times New Roman"/>
          <w:szCs w:val="24"/>
        </w:rPr>
        <w:t>mL</w:t>
      </w:r>
      <w:r w:rsidRPr="002B70F4">
        <w:rPr>
          <w:rFonts w:ascii="Times New Roman" w:hAnsi="Times New Roman"/>
        </w:rPr>
        <w:t xml:space="preserve"> hydrochlorothiazide in methanol for IS or 50ng/mL warfarin in methanol for PCS) to precipitate the proteins. </w:t>
      </w:r>
      <w:r w:rsidRPr="006F17B2">
        <w:rPr>
          <w:rFonts w:ascii="Times New Roman" w:eastAsia="Times New Roman" w:hAnsi="Times New Roman" w:cs="Times New Roman"/>
          <w:szCs w:val="24"/>
        </w:rPr>
        <w:t>Chromatographic</w:t>
      </w:r>
      <w:r w:rsidRPr="002B70F4">
        <w:rPr>
          <w:rFonts w:ascii="Times New Roman" w:hAnsi="Times New Roman"/>
        </w:rPr>
        <w:t xml:space="preserve"> separation was </w:t>
      </w:r>
      <w:r w:rsidRPr="006F17B2">
        <w:rPr>
          <w:rFonts w:ascii="Times New Roman" w:eastAsia="Times New Roman" w:hAnsi="Times New Roman" w:cs="Times New Roman"/>
          <w:szCs w:val="24"/>
        </w:rPr>
        <w:t>conducted</w:t>
      </w:r>
      <w:r w:rsidRPr="002B70F4">
        <w:rPr>
          <w:rFonts w:ascii="Times New Roman" w:hAnsi="Times New Roman"/>
        </w:rPr>
        <w:t xml:space="preserve"> on a Venusil XBP Phenyl column (100</w:t>
      </w:r>
      <w:r w:rsidRPr="006F17B2">
        <w:rPr>
          <w:rFonts w:ascii="Times New Roman" w:eastAsia="Times New Roman" w:hAnsi="Times New Roman" w:cs="Times New Roman"/>
          <w:szCs w:val="24"/>
        </w:rPr>
        <w:t xml:space="preserve"> × </w:t>
      </w:r>
      <w:r w:rsidRPr="002B70F4">
        <w:rPr>
          <w:rFonts w:ascii="Times New Roman" w:hAnsi="Times New Roman"/>
        </w:rPr>
        <w:t>2.1 mm, 5μm; Bonna-Agela Technologies Inc., Wilmington, DE</w:t>
      </w:r>
      <w:r w:rsidRPr="006F17B2">
        <w:rPr>
          <w:rFonts w:ascii="Times New Roman" w:eastAsia="Times New Roman" w:hAnsi="Times New Roman" w:cs="Times New Roman"/>
          <w:szCs w:val="24"/>
        </w:rPr>
        <w:t xml:space="preserve">, </w:t>
      </w:r>
      <w:r w:rsidRPr="006F17B2">
        <w:rPr>
          <w:rFonts w:ascii="Times New Roman" w:eastAsia="Times New Roman" w:hAnsi="Times New Roman" w:cs="Times New Roman"/>
          <w:szCs w:val="24"/>
        </w:rPr>
        <w:lastRenderedPageBreak/>
        <w:t>USA</w:t>
      </w:r>
      <w:r w:rsidRPr="002B70F4">
        <w:rPr>
          <w:rFonts w:ascii="Times New Roman" w:hAnsi="Times New Roman"/>
        </w:rPr>
        <w:t>) with the column temperature maintained at 40</w:t>
      </w:r>
      <w:r w:rsidRPr="006F17B2">
        <w:rPr>
          <w:rFonts w:ascii="Times New Roman" w:eastAsia="Times New Roman" w:hAnsi="Times New Roman" w:cs="Times New Roman"/>
          <w:szCs w:val="24"/>
        </w:rPr>
        <w:t xml:space="preserve"> °</w:t>
      </w:r>
      <w:r w:rsidRPr="002B70F4">
        <w:rPr>
          <w:rFonts w:ascii="Times New Roman" w:hAnsi="Times New Roman"/>
        </w:rPr>
        <w:t xml:space="preserve">C. Mobile phase A </w:t>
      </w:r>
      <w:r w:rsidRPr="006F17B2">
        <w:rPr>
          <w:rFonts w:ascii="Times New Roman" w:eastAsia="Times New Roman" w:hAnsi="Times New Roman" w:cs="Times New Roman"/>
          <w:szCs w:val="24"/>
        </w:rPr>
        <w:t>co</w:t>
      </w:r>
      <w:r>
        <w:rPr>
          <w:rFonts w:ascii="Times New Roman" w:eastAsia="Times New Roman" w:hAnsi="Times New Roman" w:cs="Times New Roman"/>
          <w:szCs w:val="24"/>
        </w:rPr>
        <w:t>mprised</w:t>
      </w:r>
      <w:r w:rsidRPr="002B70F4">
        <w:rPr>
          <w:rFonts w:ascii="Times New Roman" w:hAnsi="Times New Roman"/>
        </w:rPr>
        <w:t xml:space="preserve"> 2mmol/L ammonium acetate in 0.1% formic acid (v/v). Mobile </w:t>
      </w:r>
      <w:r w:rsidRPr="008974FF">
        <w:rPr>
          <w:rFonts w:ascii="Times New Roman" w:hAnsi="Times New Roman"/>
        </w:rPr>
        <w:t xml:space="preserve">phase </w:t>
      </w:r>
      <w:r w:rsidRPr="002B70F4">
        <w:rPr>
          <w:rFonts w:ascii="Times New Roman" w:hAnsi="Times New Roman"/>
        </w:rPr>
        <w:t xml:space="preserve">B </w:t>
      </w:r>
      <w:r w:rsidRPr="008974FF">
        <w:rPr>
          <w:rFonts w:ascii="Times New Roman" w:hAnsi="Times New Roman"/>
        </w:rPr>
        <w:t>comprised</w:t>
      </w:r>
      <w:r w:rsidRPr="002B70F4">
        <w:rPr>
          <w:rFonts w:ascii="Times New Roman" w:hAnsi="Times New Roman"/>
        </w:rPr>
        <w:t xml:space="preserve"> methanol</w:t>
      </w:r>
      <w:r w:rsidRPr="008974FF">
        <w:rPr>
          <w:rFonts w:ascii="Times New Roman" w:hAnsi="Times New Roman"/>
        </w:rPr>
        <w:t xml:space="preserve"> (MeOH).</w:t>
      </w:r>
      <w:r w:rsidRPr="002B70F4">
        <w:rPr>
          <w:rFonts w:ascii="Times New Roman" w:hAnsi="Times New Roman"/>
        </w:rPr>
        <w:t xml:space="preserve"> </w:t>
      </w:r>
      <w:r w:rsidRPr="008974FF">
        <w:rPr>
          <w:rFonts w:ascii="Times New Roman" w:hAnsi="Times New Roman"/>
        </w:rPr>
        <w:t>The mobile phase (A : B = 30 : 70) was delivered at a flow rate of 0.35 mL/min</w:t>
      </w:r>
      <w:r w:rsidRPr="002B70F4">
        <w:rPr>
          <w:rFonts w:ascii="Times New Roman" w:hAnsi="Times New Roman"/>
        </w:rPr>
        <w:t xml:space="preserve">. Mass spectrometric detection was </w:t>
      </w:r>
      <w:r w:rsidRPr="006F17B2">
        <w:rPr>
          <w:rFonts w:ascii="Times New Roman" w:eastAsia="Times New Roman" w:hAnsi="Times New Roman" w:cs="Times New Roman"/>
          <w:szCs w:val="24"/>
        </w:rPr>
        <w:t>conducted</w:t>
      </w:r>
      <w:r w:rsidRPr="002B70F4">
        <w:rPr>
          <w:rFonts w:ascii="Times New Roman" w:hAnsi="Times New Roman"/>
        </w:rPr>
        <w:t xml:space="preserve"> on an API 3000 triple quadrupole instrument (Applied Biosystems, Toronto, ON, Canada) in multiple reaction monitoring (MRM) mode with </w:t>
      </w:r>
      <w:r w:rsidRPr="006F17B2">
        <w:rPr>
          <w:rFonts w:ascii="Times New Roman" w:eastAsia="Times New Roman" w:hAnsi="Times New Roman" w:cs="Times New Roman"/>
          <w:szCs w:val="24"/>
        </w:rPr>
        <w:t>a</w:t>
      </w:r>
      <w:r w:rsidRPr="002B70F4">
        <w:rPr>
          <w:rFonts w:ascii="Times New Roman" w:hAnsi="Times New Roman"/>
        </w:rPr>
        <w:t xml:space="preserve"> spray voltage </w:t>
      </w:r>
      <w:r w:rsidRPr="006F17B2">
        <w:rPr>
          <w:rFonts w:ascii="Times New Roman" w:eastAsia="Times New Roman" w:hAnsi="Times New Roman" w:cs="Times New Roman"/>
          <w:szCs w:val="24"/>
        </w:rPr>
        <w:t xml:space="preserve">of </w:t>
      </w:r>
      <w:r w:rsidRPr="002B70F4">
        <w:rPr>
          <w:rFonts w:ascii="Times New Roman" w:hAnsi="Times New Roman"/>
        </w:rPr>
        <w:t xml:space="preserve">-4200V. Data </w:t>
      </w:r>
      <w:r w:rsidRPr="006F17B2">
        <w:rPr>
          <w:rFonts w:ascii="Times New Roman" w:eastAsia="Times New Roman" w:hAnsi="Times New Roman" w:cs="Times New Roman"/>
          <w:szCs w:val="24"/>
        </w:rPr>
        <w:t>were processed using</w:t>
      </w:r>
      <w:r w:rsidRPr="002B70F4">
        <w:rPr>
          <w:rFonts w:ascii="Times New Roman" w:hAnsi="Times New Roman"/>
        </w:rPr>
        <w:t xml:space="preserve"> the Analyst 1.4.1 software package (Applied Biosystems, Toronto, ON, Canada).</w:t>
      </w:r>
    </w:p>
    <w:p w:rsidR="00A43C6B" w:rsidRDefault="00A43C6B" w:rsidP="00A43C6B">
      <w:pPr>
        <w:adjustRightInd w:val="0"/>
        <w:snapToGrid w:val="0"/>
        <w:spacing w:line="480" w:lineRule="auto"/>
        <w:jc w:val="both"/>
        <w:rPr>
          <w:rFonts w:eastAsia="宋体"/>
          <w:b/>
          <w:bCs/>
          <w:lang w:eastAsia="zh-CN"/>
        </w:rPr>
      </w:pPr>
    </w:p>
    <w:p w:rsidR="00A43C6B" w:rsidRPr="002027E2" w:rsidRDefault="00A43C6B" w:rsidP="00A43C6B">
      <w:pPr>
        <w:adjustRightInd w:val="0"/>
        <w:snapToGrid w:val="0"/>
        <w:spacing w:line="480" w:lineRule="auto"/>
        <w:jc w:val="both"/>
        <w:rPr>
          <w:rFonts w:eastAsia="宋体"/>
          <w:b/>
          <w:bCs/>
          <w:lang w:eastAsia="zh-CN"/>
        </w:rPr>
      </w:pPr>
      <w:r w:rsidRPr="002027E2">
        <w:rPr>
          <w:rFonts w:eastAsia="宋体"/>
          <w:b/>
          <w:bCs/>
          <w:lang w:eastAsia="zh-CN"/>
        </w:rPr>
        <w:t>Plasmatic quantification of nucleotides</w:t>
      </w:r>
    </w:p>
    <w:p w:rsidR="00A43C6B"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r w:rsidRPr="002B70F4">
        <w:rPr>
          <w:rFonts w:ascii="Times New Roman" w:hAnsi="Times New Roman"/>
        </w:rPr>
        <w:t xml:space="preserve">Briefly, the serum sample was thawed on ice, and 50 μL </w:t>
      </w:r>
      <w:r w:rsidRPr="006F17B2">
        <w:rPr>
          <w:rFonts w:ascii="Times New Roman" w:eastAsia="Times New Roman" w:hAnsi="Times New Roman" w:cs="Times New Roman"/>
          <w:szCs w:val="24"/>
        </w:rPr>
        <w:t xml:space="preserve">of the </w:t>
      </w:r>
      <w:r w:rsidRPr="002B70F4">
        <w:rPr>
          <w:rFonts w:ascii="Times New Roman" w:hAnsi="Times New Roman"/>
        </w:rPr>
        <w:t xml:space="preserve">sample was mixed with </w:t>
      </w:r>
      <w:r w:rsidRPr="006F17B2">
        <w:rPr>
          <w:rFonts w:ascii="Times New Roman" w:eastAsia="Times New Roman" w:hAnsi="Times New Roman" w:cs="Times New Roman"/>
          <w:szCs w:val="24"/>
        </w:rPr>
        <w:t>110 μL</w:t>
      </w:r>
      <w:r w:rsidRPr="002B70F4">
        <w:rPr>
          <w:rFonts w:ascii="Times New Roman" w:hAnsi="Times New Roman"/>
        </w:rPr>
        <w:t xml:space="preserve"> methanol (containing </w:t>
      </w:r>
      <w:r w:rsidRPr="006F17B2">
        <w:rPr>
          <w:rFonts w:ascii="Times New Roman" w:eastAsia="Times New Roman" w:hAnsi="Times New Roman" w:cs="Times New Roman"/>
          <w:szCs w:val="24"/>
        </w:rPr>
        <w:t>100 ng/</w:t>
      </w:r>
      <w:r>
        <w:rPr>
          <w:rFonts w:ascii="Times New Roman" w:eastAsia="Times New Roman" w:hAnsi="Times New Roman" w:cs="Times New Roman"/>
          <w:szCs w:val="24"/>
        </w:rPr>
        <w:t>mL</w:t>
      </w:r>
      <w:r w:rsidRPr="006F17B2">
        <w:rPr>
          <w:rFonts w:ascii="Times New Roman" w:eastAsia="Times New Roman" w:hAnsi="Times New Roman" w:cs="Times New Roman"/>
          <w:szCs w:val="24"/>
        </w:rPr>
        <w:t xml:space="preserve"> adenosine</w:t>
      </w:r>
      <w:r w:rsidRPr="002B70F4">
        <w:rPr>
          <w:rFonts w:ascii="Times New Roman" w:hAnsi="Times New Roman"/>
        </w:rPr>
        <w:t xml:space="preserve">-13C5). The mixture was vortexed for 30 s and </w:t>
      </w:r>
      <w:r w:rsidRPr="006F17B2">
        <w:rPr>
          <w:rFonts w:ascii="Times New Roman" w:eastAsia="Times New Roman" w:hAnsi="Times New Roman" w:cs="Times New Roman"/>
          <w:szCs w:val="24"/>
        </w:rPr>
        <w:t xml:space="preserve">subsequently </w:t>
      </w:r>
      <w:r w:rsidRPr="002B70F4">
        <w:rPr>
          <w:rFonts w:ascii="Times New Roman" w:hAnsi="Times New Roman"/>
        </w:rPr>
        <w:t xml:space="preserve">centrifuged </w:t>
      </w:r>
      <w:r w:rsidRPr="006F17B2">
        <w:rPr>
          <w:rFonts w:ascii="Times New Roman" w:eastAsia="Times New Roman" w:hAnsi="Times New Roman" w:cs="Times New Roman"/>
          <w:szCs w:val="24"/>
        </w:rPr>
        <w:t>at 15,000 rpm and</w:t>
      </w:r>
      <w:r w:rsidRPr="002B70F4">
        <w:rPr>
          <w:rFonts w:ascii="Times New Roman" w:hAnsi="Times New Roman"/>
        </w:rPr>
        <w:t xml:space="preserve"> 4</w:t>
      </w:r>
      <w:r w:rsidRPr="006F17B2">
        <w:rPr>
          <w:rFonts w:ascii="Times New Roman" w:eastAsia="Times New Roman" w:hAnsi="Times New Roman" w:cs="Times New Roman"/>
          <w:szCs w:val="24"/>
        </w:rPr>
        <w:t xml:space="preserve"> °C</w:t>
      </w:r>
      <w:r w:rsidRPr="002B70F4">
        <w:rPr>
          <w:rFonts w:ascii="Times New Roman" w:hAnsi="Times New Roman"/>
        </w:rPr>
        <w:t xml:space="preserve"> for 15 min. </w:t>
      </w:r>
      <w:r w:rsidRPr="006F17B2">
        <w:rPr>
          <w:rFonts w:ascii="Times New Roman" w:eastAsia="Times New Roman" w:hAnsi="Times New Roman" w:cs="Times New Roman"/>
          <w:szCs w:val="24"/>
        </w:rPr>
        <w:t>Quality</w:t>
      </w:r>
      <w:r w:rsidRPr="002B70F4">
        <w:rPr>
          <w:rFonts w:ascii="Times New Roman" w:hAnsi="Times New Roman"/>
        </w:rPr>
        <w:t xml:space="preserve"> control </w:t>
      </w:r>
      <w:r w:rsidRPr="006F17B2">
        <w:rPr>
          <w:rFonts w:ascii="Times New Roman" w:eastAsia="Times New Roman" w:hAnsi="Times New Roman" w:cs="Times New Roman"/>
          <w:szCs w:val="24"/>
        </w:rPr>
        <w:t>samples were</w:t>
      </w:r>
      <w:r w:rsidRPr="002B70F4">
        <w:rPr>
          <w:rFonts w:ascii="Times New Roman" w:hAnsi="Times New Roman"/>
        </w:rPr>
        <w:t xml:space="preserve"> obtained by isometrically pooling all prepared samples. UHPLC-MS/MS analysis was </w:t>
      </w:r>
      <w:r w:rsidRPr="006F17B2">
        <w:rPr>
          <w:rFonts w:ascii="Times New Roman" w:eastAsia="Times New Roman" w:hAnsi="Times New Roman" w:cs="Times New Roman"/>
          <w:szCs w:val="24"/>
        </w:rPr>
        <w:t>conducted using</w:t>
      </w:r>
      <w:r w:rsidRPr="002B70F4">
        <w:rPr>
          <w:rFonts w:ascii="Times New Roman" w:hAnsi="Times New Roman"/>
        </w:rPr>
        <w:t xml:space="preserve"> an Agilent 1290 Infinity II UHPLC system </w:t>
      </w:r>
      <w:r w:rsidRPr="006F17B2">
        <w:rPr>
          <w:rFonts w:ascii="Times New Roman" w:eastAsia="Times New Roman" w:hAnsi="Times New Roman" w:cs="Times New Roman"/>
          <w:szCs w:val="24"/>
        </w:rPr>
        <w:t>with</w:t>
      </w:r>
      <w:r w:rsidRPr="002B70F4">
        <w:rPr>
          <w:rFonts w:ascii="Times New Roman" w:hAnsi="Times New Roman"/>
        </w:rPr>
        <w:t xml:space="preserve"> a 6470A Triple Quadrupole mass </w:t>
      </w:r>
      <w:r w:rsidRPr="006F17B2">
        <w:rPr>
          <w:rFonts w:ascii="Times New Roman" w:eastAsia="Times New Roman" w:hAnsi="Times New Roman" w:cs="Times New Roman"/>
          <w:szCs w:val="24"/>
        </w:rPr>
        <w:t>spectrometer</w:t>
      </w:r>
      <w:r w:rsidRPr="002B70F4">
        <w:rPr>
          <w:rFonts w:ascii="Times New Roman" w:hAnsi="Times New Roman"/>
        </w:rPr>
        <w:t xml:space="preserve"> (Santa Clara, CA, United States). </w:t>
      </w:r>
      <w:r w:rsidRPr="006F17B2">
        <w:rPr>
          <w:rFonts w:ascii="Times New Roman" w:eastAsia="Times New Roman" w:hAnsi="Times New Roman" w:cs="Times New Roman"/>
          <w:szCs w:val="24"/>
        </w:rPr>
        <w:t>The samples</w:t>
      </w:r>
      <w:r w:rsidRPr="002B70F4">
        <w:rPr>
          <w:rFonts w:ascii="Times New Roman" w:hAnsi="Times New Roman"/>
        </w:rPr>
        <w:t xml:space="preserve"> were injected onto a Waters UPLC BEH Amide column (</w:t>
      </w:r>
      <w:r w:rsidRPr="006F17B2">
        <w:rPr>
          <w:rFonts w:ascii="Times New Roman" w:eastAsia="Times New Roman" w:hAnsi="Times New Roman" w:cs="Times New Roman"/>
          <w:szCs w:val="24"/>
        </w:rPr>
        <w:t>100 mm</w:t>
      </w:r>
      <w:r w:rsidRPr="002B70F4">
        <w:rPr>
          <w:rFonts w:ascii="Times New Roman" w:hAnsi="Times New Roman"/>
        </w:rPr>
        <w:t xml:space="preserve"> × 2.1</w:t>
      </w:r>
      <w:r w:rsidRPr="006F17B2">
        <w:rPr>
          <w:rFonts w:ascii="Times New Roman" w:eastAsia="Times New Roman" w:hAnsi="Times New Roman" w:cs="Times New Roman"/>
          <w:szCs w:val="24"/>
        </w:rPr>
        <w:t xml:space="preserve"> mm, 1.7 μm</w:t>
      </w:r>
      <w:r w:rsidRPr="002B70F4">
        <w:rPr>
          <w:rFonts w:ascii="Times New Roman" w:hAnsi="Times New Roman"/>
        </w:rPr>
        <w:t xml:space="preserve">) at a flow rate of 0.2 mL/min. The mobile phase </w:t>
      </w:r>
      <w:r w:rsidRPr="006F17B2">
        <w:rPr>
          <w:rFonts w:ascii="Times New Roman" w:eastAsia="Times New Roman" w:hAnsi="Times New Roman" w:cs="Times New Roman"/>
          <w:szCs w:val="24"/>
        </w:rPr>
        <w:t>co</w:t>
      </w:r>
      <w:r>
        <w:rPr>
          <w:rFonts w:ascii="Times New Roman" w:eastAsia="Times New Roman" w:hAnsi="Times New Roman" w:cs="Times New Roman"/>
          <w:szCs w:val="24"/>
        </w:rPr>
        <w:t>mprised</w:t>
      </w:r>
      <w:r w:rsidRPr="006F17B2">
        <w:rPr>
          <w:rFonts w:ascii="Times New Roman" w:eastAsia="Times New Roman" w:hAnsi="Times New Roman" w:cs="Times New Roman"/>
          <w:szCs w:val="24"/>
        </w:rPr>
        <w:t xml:space="preserve"> two solvents, </w:t>
      </w:r>
      <w:r w:rsidRPr="002B70F4">
        <w:rPr>
          <w:rFonts w:ascii="Times New Roman" w:hAnsi="Times New Roman"/>
        </w:rPr>
        <w:t>A and B</w:t>
      </w:r>
      <w:r w:rsidRPr="006F17B2">
        <w:rPr>
          <w:rFonts w:ascii="Times New Roman" w:eastAsia="Times New Roman" w:hAnsi="Times New Roman" w:cs="Times New Roman"/>
          <w:szCs w:val="24"/>
        </w:rPr>
        <w:t>, which were mixed at a</w:t>
      </w:r>
      <w:r w:rsidRPr="002B70F4">
        <w:rPr>
          <w:rFonts w:ascii="Times New Roman" w:hAnsi="Times New Roman"/>
        </w:rPr>
        <w:t xml:space="preserve"> 90</w:t>
      </w:r>
      <w:r w:rsidRPr="006F17B2">
        <w:rPr>
          <w:rFonts w:ascii="Times New Roman" w:eastAsia="Times New Roman" w:hAnsi="Times New Roman" w:cs="Times New Roman"/>
          <w:szCs w:val="24"/>
        </w:rPr>
        <w:t xml:space="preserve">:10 ratio. Both solvents contained </w:t>
      </w:r>
      <w:r w:rsidRPr="002B70F4">
        <w:rPr>
          <w:rFonts w:ascii="Times New Roman" w:hAnsi="Times New Roman"/>
        </w:rPr>
        <w:t>10 mM ammonium acetate (pH9</w:t>
      </w:r>
      <w:r w:rsidRPr="006F17B2">
        <w:rPr>
          <w:rFonts w:ascii="Times New Roman" w:eastAsia="Times New Roman" w:hAnsi="Times New Roman" w:cs="Times New Roman"/>
          <w:szCs w:val="24"/>
        </w:rPr>
        <w:t>;</w:t>
      </w:r>
      <w:r w:rsidRPr="002B70F4">
        <w:rPr>
          <w:rFonts w:ascii="Times New Roman" w:hAnsi="Times New Roman"/>
        </w:rPr>
        <w:t xml:space="preserve"> regulated by ammonium hydroxide).</w:t>
      </w:r>
      <w:r w:rsidRPr="006F17B2">
        <w:rPr>
          <w:rFonts w:ascii="Times New Roman" w:eastAsia="Times New Roman" w:hAnsi="Times New Roman" w:cs="Times New Roman"/>
          <w:szCs w:val="24"/>
        </w:rPr>
        <w:t xml:space="preserve"> Chromatographic</w:t>
      </w:r>
      <w:r w:rsidRPr="002B70F4">
        <w:rPr>
          <w:rFonts w:ascii="Times New Roman" w:hAnsi="Times New Roman"/>
        </w:rPr>
        <w:t xml:space="preserve"> separation was conducted </w:t>
      </w:r>
      <w:r w:rsidRPr="006F17B2">
        <w:rPr>
          <w:rFonts w:ascii="Times New Roman" w:eastAsia="Times New Roman" w:hAnsi="Times New Roman" w:cs="Times New Roman"/>
          <w:szCs w:val="24"/>
        </w:rPr>
        <w:t>using</w:t>
      </w:r>
      <w:r w:rsidRPr="002B70F4">
        <w:rPr>
          <w:rFonts w:ascii="Times New Roman" w:hAnsi="Times New Roman"/>
        </w:rPr>
        <w:t xml:space="preserve"> a gradient elution program</w:t>
      </w:r>
      <w:r w:rsidRPr="006F17B2">
        <w:rPr>
          <w:rFonts w:ascii="Times New Roman" w:eastAsia="Times New Roman" w:hAnsi="Times New Roman" w:cs="Times New Roman"/>
          <w:szCs w:val="24"/>
        </w:rPr>
        <w:t>: the initial mobile phase composition was 90% B for the first minute, followed by a gradient elution program comprising 90% B-85% B for 4</w:t>
      </w:r>
      <w:r w:rsidRPr="002B70F4">
        <w:rPr>
          <w:rFonts w:ascii="Times New Roman" w:hAnsi="Times New Roman"/>
        </w:rPr>
        <w:t xml:space="preserve"> min, </w:t>
      </w:r>
      <w:r w:rsidRPr="006F17B2">
        <w:rPr>
          <w:rFonts w:ascii="Times New Roman" w:eastAsia="Times New Roman" w:hAnsi="Times New Roman" w:cs="Times New Roman"/>
          <w:szCs w:val="24"/>
        </w:rPr>
        <w:t>85% B-80% B for</w:t>
      </w:r>
      <w:r w:rsidRPr="002B70F4">
        <w:rPr>
          <w:rFonts w:ascii="Times New Roman" w:hAnsi="Times New Roman"/>
        </w:rPr>
        <w:t xml:space="preserve"> 8 min, 80%B</w:t>
      </w:r>
      <w:r w:rsidRPr="006F17B2">
        <w:rPr>
          <w:rFonts w:ascii="Times New Roman" w:eastAsia="Times New Roman" w:hAnsi="Times New Roman" w:cs="Times New Roman"/>
          <w:szCs w:val="24"/>
        </w:rPr>
        <w:t>-</w:t>
      </w:r>
      <w:r w:rsidRPr="002B70F4">
        <w:rPr>
          <w:rFonts w:ascii="Times New Roman" w:hAnsi="Times New Roman"/>
        </w:rPr>
        <w:t>65%B</w:t>
      </w:r>
      <w:r w:rsidRPr="006F17B2">
        <w:rPr>
          <w:rFonts w:ascii="Times New Roman" w:eastAsia="Times New Roman" w:hAnsi="Times New Roman" w:cs="Times New Roman"/>
          <w:szCs w:val="24"/>
        </w:rPr>
        <w:t xml:space="preserve"> for 7</w:t>
      </w:r>
      <w:r w:rsidRPr="002B70F4">
        <w:rPr>
          <w:rFonts w:ascii="Times New Roman" w:hAnsi="Times New Roman"/>
        </w:rPr>
        <w:t xml:space="preserve"> min, 65%B</w:t>
      </w:r>
      <w:r w:rsidRPr="006F17B2">
        <w:rPr>
          <w:rFonts w:ascii="Times New Roman" w:eastAsia="Times New Roman" w:hAnsi="Times New Roman" w:cs="Times New Roman"/>
          <w:szCs w:val="24"/>
        </w:rPr>
        <w:t>-</w:t>
      </w:r>
      <w:r w:rsidRPr="002B70F4">
        <w:rPr>
          <w:rFonts w:ascii="Times New Roman" w:hAnsi="Times New Roman"/>
        </w:rPr>
        <w:t>40%B</w:t>
      </w:r>
      <w:r w:rsidRPr="006F17B2">
        <w:rPr>
          <w:rFonts w:ascii="Times New Roman" w:eastAsia="Times New Roman" w:hAnsi="Times New Roman" w:cs="Times New Roman"/>
          <w:szCs w:val="24"/>
        </w:rPr>
        <w:t xml:space="preserve"> for </w:t>
      </w:r>
      <w:r w:rsidRPr="002B70F4">
        <w:rPr>
          <w:rFonts w:ascii="Times New Roman" w:hAnsi="Times New Roman"/>
        </w:rPr>
        <w:t>2 min,</w:t>
      </w:r>
      <w:r w:rsidRPr="006F17B2">
        <w:rPr>
          <w:rFonts w:ascii="Times New Roman" w:eastAsia="Times New Roman" w:hAnsi="Times New Roman" w:cs="Times New Roman"/>
          <w:szCs w:val="24"/>
        </w:rPr>
        <w:t xml:space="preserve"> and</w:t>
      </w:r>
      <w:r w:rsidRPr="002B70F4">
        <w:rPr>
          <w:rFonts w:ascii="Times New Roman" w:hAnsi="Times New Roman"/>
        </w:rPr>
        <w:t xml:space="preserve"> 40%B</w:t>
      </w:r>
      <w:r w:rsidRPr="006F17B2">
        <w:rPr>
          <w:rFonts w:ascii="Times New Roman" w:eastAsia="Times New Roman" w:hAnsi="Times New Roman" w:cs="Times New Roman"/>
          <w:szCs w:val="24"/>
        </w:rPr>
        <w:t xml:space="preserve"> for 2 min. The gradient was then</w:t>
      </w:r>
      <w:r w:rsidRPr="002B70F4">
        <w:rPr>
          <w:rFonts w:ascii="Times New Roman" w:hAnsi="Times New Roman"/>
        </w:rPr>
        <w:t xml:space="preserve"> returned to </w:t>
      </w:r>
      <w:r w:rsidRPr="006F17B2">
        <w:rPr>
          <w:rFonts w:ascii="Times New Roman" w:eastAsia="Times New Roman" w:hAnsi="Times New Roman" w:cs="Times New Roman"/>
          <w:szCs w:val="24"/>
        </w:rPr>
        <w:t xml:space="preserve">the </w:t>
      </w:r>
      <w:r w:rsidRPr="002B70F4">
        <w:rPr>
          <w:rFonts w:ascii="Times New Roman" w:hAnsi="Times New Roman"/>
        </w:rPr>
        <w:t xml:space="preserve">initial </w:t>
      </w:r>
      <w:r w:rsidRPr="006F17B2">
        <w:rPr>
          <w:rFonts w:ascii="Times New Roman" w:eastAsia="Times New Roman" w:hAnsi="Times New Roman" w:cs="Times New Roman"/>
          <w:szCs w:val="24"/>
        </w:rPr>
        <w:t>composition after</w:t>
      </w:r>
      <w:r w:rsidRPr="002B70F4">
        <w:rPr>
          <w:rFonts w:ascii="Times New Roman" w:hAnsi="Times New Roman"/>
        </w:rPr>
        <w:t xml:space="preserve"> 17.1 </w:t>
      </w:r>
      <w:r w:rsidRPr="006F17B2">
        <w:rPr>
          <w:rFonts w:ascii="Times New Roman" w:eastAsia="Times New Roman" w:hAnsi="Times New Roman" w:cs="Times New Roman"/>
          <w:szCs w:val="24"/>
        </w:rPr>
        <w:t xml:space="preserve">minutes, and the analysis continued for a total of </w:t>
      </w:r>
      <w:r w:rsidRPr="002B70F4">
        <w:rPr>
          <w:rFonts w:ascii="Times New Roman" w:hAnsi="Times New Roman"/>
        </w:rPr>
        <w:t xml:space="preserve">20 min. The eluted </w:t>
      </w:r>
      <w:r w:rsidRPr="006F17B2">
        <w:rPr>
          <w:rFonts w:ascii="Times New Roman" w:eastAsia="Times New Roman" w:hAnsi="Times New Roman" w:cs="Times New Roman"/>
          <w:szCs w:val="24"/>
        </w:rPr>
        <w:t>analytes</w:t>
      </w:r>
      <w:r w:rsidRPr="002B70F4">
        <w:rPr>
          <w:rFonts w:ascii="Times New Roman" w:hAnsi="Times New Roman"/>
        </w:rPr>
        <w:t xml:space="preserve"> were ionized </w:t>
      </w:r>
      <w:r w:rsidRPr="006F17B2">
        <w:rPr>
          <w:rFonts w:ascii="Times New Roman" w:eastAsia="Times New Roman" w:hAnsi="Times New Roman" w:cs="Times New Roman"/>
          <w:szCs w:val="24"/>
        </w:rPr>
        <w:t>using</w:t>
      </w:r>
      <w:r w:rsidRPr="002B70F4">
        <w:rPr>
          <w:rFonts w:ascii="Times New Roman" w:hAnsi="Times New Roman"/>
        </w:rPr>
        <w:t xml:space="preserve"> an </w:t>
      </w:r>
      <w:r w:rsidRPr="006F17B2">
        <w:rPr>
          <w:rFonts w:ascii="Times New Roman" w:eastAsia="Times New Roman" w:hAnsi="Times New Roman" w:cs="Times New Roman"/>
          <w:szCs w:val="24"/>
        </w:rPr>
        <w:t>electrospray</w:t>
      </w:r>
      <w:r w:rsidRPr="002B70F4">
        <w:rPr>
          <w:rFonts w:ascii="Times New Roman" w:hAnsi="Times New Roman"/>
        </w:rPr>
        <w:t xml:space="preserve"> ionization source in </w:t>
      </w:r>
      <w:r w:rsidRPr="006F17B2">
        <w:rPr>
          <w:rFonts w:ascii="Times New Roman" w:eastAsia="Times New Roman" w:hAnsi="Times New Roman" w:cs="Times New Roman"/>
          <w:szCs w:val="24"/>
        </w:rPr>
        <w:t>positive mode</w:t>
      </w:r>
      <w:r w:rsidRPr="002B70F4">
        <w:rPr>
          <w:rFonts w:ascii="Times New Roman" w:hAnsi="Times New Roman"/>
        </w:rPr>
        <w:t xml:space="preserve"> (ESI+). </w:t>
      </w:r>
      <w:r w:rsidRPr="006F17B2">
        <w:rPr>
          <w:rFonts w:ascii="Times New Roman" w:eastAsia="Times New Roman" w:hAnsi="Times New Roman" w:cs="Times New Roman"/>
          <w:szCs w:val="24"/>
        </w:rPr>
        <w:t>The temperature</w:t>
      </w:r>
      <w:r w:rsidRPr="002B70F4">
        <w:rPr>
          <w:rFonts w:ascii="Times New Roman" w:hAnsi="Times New Roman"/>
        </w:rPr>
        <w:t xml:space="preserve"> of </w:t>
      </w:r>
      <w:r w:rsidRPr="006F17B2">
        <w:rPr>
          <w:rFonts w:ascii="Times New Roman" w:eastAsia="Times New Roman" w:hAnsi="Times New Roman" w:cs="Times New Roman"/>
          <w:szCs w:val="24"/>
        </w:rPr>
        <w:t xml:space="preserve">the </w:t>
      </w:r>
      <w:r w:rsidRPr="002B70F4">
        <w:rPr>
          <w:rFonts w:ascii="Times New Roman" w:hAnsi="Times New Roman"/>
        </w:rPr>
        <w:t xml:space="preserve">source drying gas and sheath gas </w:t>
      </w:r>
      <w:r w:rsidRPr="006F17B2">
        <w:rPr>
          <w:rFonts w:ascii="Times New Roman" w:eastAsia="Times New Roman" w:hAnsi="Times New Roman" w:cs="Times New Roman"/>
          <w:szCs w:val="24"/>
        </w:rPr>
        <w:t>was set to</w:t>
      </w:r>
      <w:r w:rsidRPr="002B70F4">
        <w:rPr>
          <w:rFonts w:ascii="Times New Roman" w:hAnsi="Times New Roman"/>
        </w:rPr>
        <w:t xml:space="preserve"> 300°C. The flow </w:t>
      </w:r>
      <w:r w:rsidRPr="006F17B2">
        <w:rPr>
          <w:rFonts w:ascii="Times New Roman" w:eastAsia="Times New Roman" w:hAnsi="Times New Roman" w:cs="Times New Roman"/>
          <w:szCs w:val="24"/>
        </w:rPr>
        <w:t>rates</w:t>
      </w:r>
      <w:r w:rsidRPr="002B70F4">
        <w:rPr>
          <w:rFonts w:ascii="Times New Roman" w:hAnsi="Times New Roman"/>
        </w:rPr>
        <w:t xml:space="preserve"> of </w:t>
      </w:r>
      <w:r w:rsidRPr="006F17B2">
        <w:rPr>
          <w:rFonts w:ascii="Times New Roman" w:eastAsia="Times New Roman" w:hAnsi="Times New Roman" w:cs="Times New Roman"/>
          <w:szCs w:val="24"/>
        </w:rPr>
        <w:lastRenderedPageBreak/>
        <w:t xml:space="preserve">the </w:t>
      </w:r>
      <w:r w:rsidRPr="002B70F4">
        <w:rPr>
          <w:rFonts w:ascii="Times New Roman" w:hAnsi="Times New Roman"/>
        </w:rPr>
        <w:t xml:space="preserve">source drying and sheath </w:t>
      </w:r>
      <w:r w:rsidRPr="006F17B2">
        <w:rPr>
          <w:rFonts w:ascii="Times New Roman" w:eastAsia="Times New Roman" w:hAnsi="Times New Roman" w:cs="Times New Roman"/>
          <w:szCs w:val="24"/>
        </w:rPr>
        <w:t>gases</w:t>
      </w:r>
      <w:r w:rsidRPr="002B70F4">
        <w:rPr>
          <w:rFonts w:ascii="Times New Roman" w:hAnsi="Times New Roman"/>
        </w:rPr>
        <w:t xml:space="preserve"> were </w:t>
      </w:r>
      <w:r w:rsidRPr="006F17B2">
        <w:rPr>
          <w:rFonts w:ascii="Times New Roman" w:eastAsia="Times New Roman" w:hAnsi="Times New Roman" w:cs="Times New Roman"/>
          <w:szCs w:val="24"/>
        </w:rPr>
        <w:t xml:space="preserve">set to </w:t>
      </w:r>
      <w:r w:rsidRPr="002B70F4">
        <w:rPr>
          <w:rFonts w:ascii="Times New Roman" w:hAnsi="Times New Roman"/>
        </w:rPr>
        <w:t xml:space="preserve">5 and 11 L/min, respectively. The nebulizer </w:t>
      </w:r>
      <w:r w:rsidRPr="006F17B2">
        <w:rPr>
          <w:rFonts w:ascii="Times New Roman" w:eastAsia="Times New Roman" w:hAnsi="Times New Roman" w:cs="Times New Roman"/>
          <w:szCs w:val="24"/>
        </w:rPr>
        <w:t xml:space="preserve">pressure </w:t>
      </w:r>
      <w:r w:rsidRPr="002B70F4">
        <w:rPr>
          <w:rFonts w:ascii="Times New Roman" w:hAnsi="Times New Roman"/>
        </w:rPr>
        <w:t xml:space="preserve">was </w:t>
      </w:r>
      <w:r w:rsidRPr="006F17B2">
        <w:rPr>
          <w:rFonts w:ascii="Times New Roman" w:eastAsia="Times New Roman" w:hAnsi="Times New Roman" w:cs="Times New Roman"/>
          <w:szCs w:val="24"/>
        </w:rPr>
        <w:t xml:space="preserve">set at </w:t>
      </w:r>
      <w:r w:rsidRPr="002B70F4">
        <w:rPr>
          <w:rFonts w:ascii="Times New Roman" w:hAnsi="Times New Roman"/>
        </w:rPr>
        <w:t>45 psi and</w:t>
      </w:r>
      <w:r w:rsidRPr="006F17B2">
        <w:rPr>
          <w:rFonts w:ascii="Times New Roman" w:eastAsia="Times New Roman" w:hAnsi="Times New Roman" w:cs="Times New Roman"/>
          <w:szCs w:val="24"/>
        </w:rPr>
        <w:t xml:space="preserve"> the</w:t>
      </w:r>
      <w:r w:rsidRPr="002B70F4">
        <w:rPr>
          <w:rFonts w:ascii="Times New Roman" w:hAnsi="Times New Roman"/>
        </w:rPr>
        <w:t xml:space="preserve"> capillary voltage was 4000 V. </w:t>
      </w:r>
      <w:r w:rsidRPr="006F17B2">
        <w:rPr>
          <w:rFonts w:ascii="Times New Roman" w:eastAsia="Times New Roman" w:hAnsi="Times New Roman" w:cs="Times New Roman"/>
          <w:szCs w:val="24"/>
        </w:rPr>
        <w:t xml:space="preserve">The </w:t>
      </w:r>
      <w:r w:rsidRPr="002B70F4">
        <w:rPr>
          <w:rFonts w:ascii="Times New Roman" w:hAnsi="Times New Roman"/>
        </w:rPr>
        <w:t xml:space="preserve">optimized MRM transition (precursor </w:t>
      </w:r>
      <w:r w:rsidRPr="006F17B2">
        <w:rPr>
          <w:rFonts w:ascii="Times New Roman" w:eastAsia="Times New Roman" w:hAnsi="Times New Roman" w:cs="Times New Roman"/>
          <w:szCs w:val="24"/>
        </w:rPr>
        <w:t>&gt;</w:t>
      </w:r>
      <w:r w:rsidRPr="002B70F4">
        <w:rPr>
          <w:rFonts w:ascii="Times New Roman" w:hAnsi="Times New Roman"/>
        </w:rPr>
        <w:t xml:space="preserve"> product), fragmentor, and collision </w:t>
      </w:r>
      <w:r w:rsidRPr="006F17B2">
        <w:rPr>
          <w:rFonts w:ascii="Times New Roman" w:eastAsia="Times New Roman" w:hAnsi="Times New Roman" w:cs="Times New Roman"/>
          <w:szCs w:val="24"/>
        </w:rPr>
        <w:t xml:space="preserve">energies were determined using the MRM. </w:t>
      </w:r>
      <w:r w:rsidRPr="002B70F4">
        <w:rPr>
          <w:rFonts w:ascii="Times New Roman" w:hAnsi="Times New Roman"/>
        </w:rPr>
        <w:t>Agilent MassHunter software</w:t>
      </w:r>
      <w:r w:rsidRPr="006F17B2">
        <w:rPr>
          <w:rFonts w:ascii="Times New Roman" w:eastAsia="Times New Roman" w:hAnsi="Times New Roman" w:cs="Times New Roman"/>
          <w:szCs w:val="24"/>
        </w:rPr>
        <w:t xml:space="preserve">, </w:t>
      </w:r>
      <w:r w:rsidRPr="002B70F4">
        <w:rPr>
          <w:rFonts w:ascii="Times New Roman" w:hAnsi="Times New Roman"/>
        </w:rPr>
        <w:t>version B.08.00</w:t>
      </w:r>
      <w:r w:rsidRPr="006F17B2">
        <w:rPr>
          <w:rFonts w:ascii="Times New Roman" w:eastAsia="Times New Roman" w:hAnsi="Times New Roman" w:cs="Times New Roman"/>
          <w:szCs w:val="24"/>
        </w:rPr>
        <w:t>,</w:t>
      </w:r>
      <w:r w:rsidRPr="002B70F4">
        <w:rPr>
          <w:rFonts w:ascii="Times New Roman" w:hAnsi="Times New Roman"/>
        </w:rPr>
        <w:t xml:space="preserve"> was used </w:t>
      </w:r>
      <w:r w:rsidRPr="006F17B2">
        <w:rPr>
          <w:rFonts w:ascii="Times New Roman" w:eastAsia="Times New Roman" w:hAnsi="Times New Roman" w:cs="Times New Roman"/>
          <w:szCs w:val="24"/>
        </w:rPr>
        <w:t>for instrument</w:t>
      </w:r>
      <w:r w:rsidRPr="002B70F4">
        <w:rPr>
          <w:rFonts w:ascii="Times New Roman" w:hAnsi="Times New Roman"/>
        </w:rPr>
        <w:t xml:space="preserve"> control and data</w:t>
      </w:r>
      <w:r w:rsidRPr="006F17B2">
        <w:rPr>
          <w:rFonts w:ascii="Times New Roman" w:eastAsia="Times New Roman" w:hAnsi="Times New Roman" w:cs="Times New Roman"/>
          <w:szCs w:val="24"/>
        </w:rPr>
        <w:t xml:space="preserve"> acquisition</w:t>
      </w:r>
      <w:r w:rsidRPr="002B70F4">
        <w:rPr>
          <w:rFonts w:ascii="Times New Roman" w:hAnsi="Times New Roman"/>
        </w:rPr>
        <w:t>.</w:t>
      </w:r>
    </w:p>
    <w:p w:rsidR="00A43C6B" w:rsidRPr="0013339E" w:rsidRDefault="00A43C6B" w:rsidP="00A43C6B">
      <w:pPr>
        <w:pStyle w:val="p"/>
        <w:snapToGrid w:val="0"/>
        <w:spacing w:before="0" w:beforeAutospacing="0" w:after="0" w:afterAutospacing="0" w:line="480" w:lineRule="auto"/>
        <w:contextualSpacing/>
        <w:jc w:val="both"/>
        <w:rPr>
          <w:rFonts w:ascii="Times New Roman" w:eastAsiaTheme="minorEastAsia" w:hAnsi="Times New Roman"/>
        </w:rPr>
      </w:pPr>
    </w:p>
    <w:p w:rsidR="00A43C6B" w:rsidRDefault="00A43C6B" w:rsidP="00A43C6B">
      <w:pPr>
        <w:jc w:val="both"/>
        <w:rPr>
          <w:b/>
        </w:rPr>
      </w:pPr>
      <w:r>
        <w:rPr>
          <w:b/>
        </w:rPr>
        <w:br w:type="page"/>
      </w:r>
    </w:p>
    <w:p w:rsidR="00A43C6B" w:rsidRPr="002B70F4" w:rsidRDefault="00A43C6B" w:rsidP="00A43C6B">
      <w:pPr>
        <w:snapToGrid w:val="0"/>
        <w:spacing w:line="480" w:lineRule="auto"/>
        <w:contextualSpacing/>
        <w:jc w:val="both"/>
      </w:pPr>
      <w:r w:rsidRPr="002B70F4">
        <w:rPr>
          <w:b/>
        </w:rPr>
        <w:lastRenderedPageBreak/>
        <w:t xml:space="preserve">Table </w:t>
      </w:r>
      <w:r>
        <w:rPr>
          <w:rFonts w:hint="eastAsia"/>
          <w:b/>
          <w:lang w:eastAsia="zh-CN"/>
        </w:rPr>
        <w:t>S2</w:t>
      </w:r>
      <w:r w:rsidRPr="002B70F4">
        <w:t>.Demographic data of the study population</w:t>
      </w:r>
      <w:r w:rsidRPr="006F17B2">
        <w:t>.</w:t>
      </w:r>
    </w:p>
    <w:tbl>
      <w:tblPr>
        <w:tblW w:w="0" w:type="auto"/>
        <w:jc w:val="center"/>
        <w:tblLook w:val="0000"/>
      </w:tblPr>
      <w:tblGrid>
        <w:gridCol w:w="2485"/>
        <w:gridCol w:w="3791"/>
      </w:tblGrid>
      <w:tr w:rsidR="00A43C6B" w:rsidTr="00E0032E">
        <w:trPr>
          <w:trHeight w:val="285"/>
          <w:jc w:val="center"/>
        </w:trPr>
        <w:tc>
          <w:tcPr>
            <w:tcW w:w="0" w:type="auto"/>
            <w:tcBorders>
              <w:top w:val="single" w:sz="4" w:space="0" w:color="auto"/>
            </w:tcBorders>
            <w:shd w:val="clear" w:color="auto" w:fill="FFFFFF"/>
            <w:vAlign w:val="center"/>
          </w:tcPr>
          <w:p w:rsidR="00A43C6B" w:rsidRPr="002B70F4" w:rsidRDefault="00A43C6B" w:rsidP="00E0032E">
            <w:pPr>
              <w:snapToGrid w:val="0"/>
              <w:contextualSpacing/>
              <w:jc w:val="both"/>
            </w:pPr>
            <w:r w:rsidRPr="002B70F4">
              <w:t>Variable</w:t>
            </w:r>
          </w:p>
        </w:tc>
        <w:tc>
          <w:tcPr>
            <w:tcW w:w="0" w:type="auto"/>
            <w:tcBorders>
              <w:top w:val="single" w:sz="4" w:space="0" w:color="auto"/>
            </w:tcBorders>
            <w:shd w:val="clear" w:color="auto" w:fill="FFFFFF"/>
            <w:vAlign w:val="center"/>
          </w:tcPr>
          <w:p w:rsidR="00A43C6B" w:rsidRPr="002B70F4" w:rsidRDefault="00A43C6B" w:rsidP="00E0032E">
            <w:pPr>
              <w:snapToGrid w:val="0"/>
              <w:contextualSpacing/>
              <w:jc w:val="both"/>
            </w:pPr>
            <w:r w:rsidRPr="002B70F4">
              <w:t>Mean ± SD/median (interquartile range)</w:t>
            </w:r>
          </w:p>
        </w:tc>
      </w:tr>
      <w:tr w:rsidR="00A43C6B" w:rsidTr="00E0032E">
        <w:trPr>
          <w:trHeight w:val="20"/>
          <w:jc w:val="center"/>
        </w:trPr>
        <w:tc>
          <w:tcPr>
            <w:tcW w:w="0" w:type="auto"/>
            <w:tcBorders>
              <w:top w:val="single" w:sz="4" w:space="0" w:color="auto"/>
            </w:tcBorders>
            <w:shd w:val="clear" w:color="auto" w:fill="FFFFFF"/>
            <w:vAlign w:val="center"/>
          </w:tcPr>
          <w:p w:rsidR="00A43C6B" w:rsidRPr="002B70F4" w:rsidRDefault="00A43C6B" w:rsidP="00E0032E">
            <w:pPr>
              <w:snapToGrid w:val="0"/>
              <w:contextualSpacing/>
              <w:jc w:val="both"/>
            </w:pPr>
            <w:r w:rsidRPr="002B70F4">
              <w:t>Age, years</w:t>
            </w:r>
          </w:p>
        </w:tc>
        <w:tc>
          <w:tcPr>
            <w:tcW w:w="0" w:type="auto"/>
            <w:tcBorders>
              <w:top w:val="single" w:sz="4" w:space="0" w:color="auto"/>
            </w:tcBorders>
            <w:shd w:val="clear" w:color="auto" w:fill="FFFFFF"/>
            <w:vAlign w:val="center"/>
          </w:tcPr>
          <w:p w:rsidR="00A43C6B" w:rsidRPr="002B70F4" w:rsidRDefault="00A43C6B" w:rsidP="00E0032E">
            <w:pPr>
              <w:snapToGrid w:val="0"/>
              <w:contextualSpacing/>
              <w:jc w:val="both"/>
            </w:pPr>
            <w:r w:rsidRPr="002B70F4">
              <w:t>59.8 ±13.7</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Time on HD, months</w:t>
            </w:r>
          </w:p>
        </w:tc>
        <w:tc>
          <w:tcPr>
            <w:tcW w:w="0" w:type="auto"/>
            <w:shd w:val="clear" w:color="auto" w:fill="FFFFFF"/>
            <w:vAlign w:val="center"/>
          </w:tcPr>
          <w:p w:rsidR="00A43C6B" w:rsidRPr="002B70F4" w:rsidRDefault="00A43C6B" w:rsidP="00E0032E">
            <w:pPr>
              <w:snapToGrid w:val="0"/>
              <w:contextualSpacing/>
              <w:jc w:val="both"/>
            </w:pPr>
            <w:r w:rsidRPr="002B70F4">
              <w:t>56(22,105)</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Male, %</w:t>
            </w:r>
          </w:p>
        </w:tc>
        <w:tc>
          <w:tcPr>
            <w:tcW w:w="0" w:type="auto"/>
            <w:shd w:val="clear" w:color="auto" w:fill="FFFFFF"/>
            <w:vAlign w:val="center"/>
          </w:tcPr>
          <w:p w:rsidR="00A43C6B" w:rsidRPr="002B70F4" w:rsidRDefault="00A43C6B" w:rsidP="00E0032E">
            <w:pPr>
              <w:snapToGrid w:val="0"/>
              <w:contextualSpacing/>
              <w:jc w:val="both"/>
            </w:pPr>
            <w:r w:rsidRPr="002B70F4">
              <w:t>238(60.3%)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Diabetes mellitus, %</w:t>
            </w:r>
          </w:p>
        </w:tc>
        <w:tc>
          <w:tcPr>
            <w:tcW w:w="0" w:type="auto"/>
            <w:shd w:val="clear" w:color="auto" w:fill="FFFFFF"/>
            <w:vAlign w:val="center"/>
          </w:tcPr>
          <w:p w:rsidR="00A43C6B" w:rsidRPr="002B70F4" w:rsidRDefault="00A43C6B" w:rsidP="00E0032E">
            <w:pPr>
              <w:snapToGrid w:val="0"/>
              <w:contextualSpacing/>
              <w:jc w:val="both"/>
            </w:pPr>
            <w:r w:rsidRPr="002B70F4">
              <w:t>103(26.1%)</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CVD history, %</w:t>
            </w:r>
          </w:p>
        </w:tc>
        <w:tc>
          <w:tcPr>
            <w:tcW w:w="0" w:type="auto"/>
            <w:shd w:val="clear" w:color="auto" w:fill="FFFFFF"/>
            <w:vAlign w:val="center"/>
          </w:tcPr>
          <w:p w:rsidR="00A43C6B" w:rsidRPr="002B70F4" w:rsidRDefault="00A43C6B" w:rsidP="00E0032E">
            <w:pPr>
              <w:snapToGrid w:val="0"/>
              <w:contextualSpacing/>
              <w:jc w:val="both"/>
            </w:pPr>
            <w:r w:rsidRPr="002B70F4">
              <w:t>154(39.0%)</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Hypertension, %</w:t>
            </w:r>
          </w:p>
        </w:tc>
        <w:tc>
          <w:tcPr>
            <w:tcW w:w="0" w:type="auto"/>
            <w:shd w:val="clear" w:color="auto" w:fill="FFFFFF"/>
            <w:vAlign w:val="center"/>
          </w:tcPr>
          <w:p w:rsidR="00A43C6B" w:rsidRPr="002B70F4" w:rsidRDefault="00A43C6B" w:rsidP="00E0032E">
            <w:pPr>
              <w:snapToGrid w:val="0"/>
              <w:contextualSpacing/>
              <w:jc w:val="both"/>
            </w:pPr>
            <w:r w:rsidRPr="002B70F4">
              <w:t>292(73.9%)</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BMI, kg/m</w:t>
            </w:r>
            <w:r w:rsidRPr="002B70F4">
              <w:rPr>
                <w:vertAlign w:val="superscript"/>
              </w:rPr>
              <w:t>2</w:t>
            </w:r>
          </w:p>
        </w:tc>
        <w:tc>
          <w:tcPr>
            <w:tcW w:w="0" w:type="auto"/>
            <w:shd w:val="clear" w:color="auto" w:fill="FFFFFF"/>
            <w:vAlign w:val="center"/>
          </w:tcPr>
          <w:p w:rsidR="00A43C6B" w:rsidRPr="002B70F4" w:rsidRDefault="00A43C6B" w:rsidP="00E0032E">
            <w:pPr>
              <w:snapToGrid w:val="0"/>
              <w:contextualSpacing/>
              <w:jc w:val="both"/>
            </w:pPr>
            <w:r w:rsidRPr="002B70F4">
              <w:t>21.9</w:t>
            </w:r>
            <w:r w:rsidRPr="006F17B2">
              <w:t xml:space="preserve"> ± </w:t>
            </w:r>
            <w:r w:rsidRPr="002B70F4">
              <w:t>3.5</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Kt/Vurea</w:t>
            </w:r>
          </w:p>
        </w:tc>
        <w:tc>
          <w:tcPr>
            <w:tcW w:w="0" w:type="auto"/>
            <w:shd w:val="clear" w:color="auto" w:fill="FFFFFF"/>
            <w:vAlign w:val="center"/>
          </w:tcPr>
          <w:p w:rsidR="00A43C6B" w:rsidRPr="002B70F4" w:rsidRDefault="00A43C6B" w:rsidP="00E0032E">
            <w:pPr>
              <w:snapToGrid w:val="0"/>
              <w:contextualSpacing/>
              <w:jc w:val="both"/>
            </w:pPr>
            <w:r w:rsidRPr="002B70F4">
              <w:t>1.22</w:t>
            </w:r>
            <w:r w:rsidRPr="006F17B2">
              <w:t xml:space="preserve"> ± </w:t>
            </w:r>
            <w:r w:rsidRPr="002B70F4">
              <w:t>0.23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Hemoglobin, g/L</w:t>
            </w:r>
          </w:p>
        </w:tc>
        <w:tc>
          <w:tcPr>
            <w:tcW w:w="0" w:type="auto"/>
            <w:shd w:val="clear" w:color="auto" w:fill="FFFFFF"/>
            <w:vAlign w:val="center"/>
          </w:tcPr>
          <w:p w:rsidR="00A43C6B" w:rsidRPr="002B70F4" w:rsidRDefault="00A43C6B" w:rsidP="00E0032E">
            <w:pPr>
              <w:snapToGrid w:val="0"/>
              <w:contextualSpacing/>
              <w:jc w:val="both"/>
            </w:pPr>
            <w:r w:rsidRPr="002B70F4">
              <w:t>115.3</w:t>
            </w:r>
            <w:r w:rsidRPr="006F17B2">
              <w:t xml:space="preserve"> ± </w:t>
            </w:r>
            <w:r w:rsidRPr="002B70F4">
              <w:t>15.3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White blood cell, ×10</w:t>
            </w:r>
            <w:r w:rsidRPr="002B70F4">
              <w:rPr>
                <w:vertAlign w:val="superscript"/>
              </w:rPr>
              <w:t>9</w:t>
            </w:r>
            <w:r w:rsidRPr="002B70F4">
              <w:t>/L</w:t>
            </w:r>
          </w:p>
        </w:tc>
        <w:tc>
          <w:tcPr>
            <w:tcW w:w="0" w:type="auto"/>
            <w:shd w:val="clear" w:color="auto" w:fill="FFFFFF"/>
            <w:vAlign w:val="center"/>
          </w:tcPr>
          <w:p w:rsidR="00A43C6B" w:rsidRPr="002B70F4" w:rsidRDefault="00A43C6B" w:rsidP="00E0032E">
            <w:pPr>
              <w:snapToGrid w:val="0"/>
              <w:contextualSpacing/>
              <w:jc w:val="both"/>
            </w:pPr>
            <w:r w:rsidRPr="002B70F4">
              <w:t>6.40</w:t>
            </w:r>
            <w:r w:rsidRPr="006F17B2">
              <w:t xml:space="preserve"> ± </w:t>
            </w:r>
            <w:r w:rsidRPr="002B70F4">
              <w:t>1.98</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Lymphocytes, ×10</w:t>
            </w:r>
            <w:r w:rsidRPr="002B70F4">
              <w:rPr>
                <w:vertAlign w:val="superscript"/>
              </w:rPr>
              <w:t>9</w:t>
            </w:r>
            <w:r w:rsidRPr="002B70F4">
              <w:t>/L</w:t>
            </w:r>
          </w:p>
        </w:tc>
        <w:tc>
          <w:tcPr>
            <w:tcW w:w="0" w:type="auto"/>
            <w:shd w:val="clear" w:color="auto" w:fill="FFFFFF"/>
            <w:vAlign w:val="center"/>
          </w:tcPr>
          <w:p w:rsidR="00A43C6B" w:rsidRPr="002B70F4" w:rsidRDefault="00A43C6B" w:rsidP="00E0032E">
            <w:pPr>
              <w:snapToGrid w:val="0"/>
              <w:contextualSpacing/>
              <w:jc w:val="both"/>
            </w:pPr>
            <w:r w:rsidRPr="002B70F4">
              <w:t>1.1</w:t>
            </w:r>
            <w:r w:rsidRPr="006F17B2">
              <w:t xml:space="preserve"> ± </w:t>
            </w:r>
            <w:r w:rsidRPr="002B70F4">
              <w:t>0.4</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Albumin, g/L</w:t>
            </w:r>
          </w:p>
        </w:tc>
        <w:tc>
          <w:tcPr>
            <w:tcW w:w="0" w:type="auto"/>
            <w:shd w:val="clear" w:color="auto" w:fill="FFFFFF"/>
            <w:vAlign w:val="center"/>
          </w:tcPr>
          <w:p w:rsidR="00A43C6B" w:rsidRPr="002B70F4" w:rsidRDefault="00A43C6B" w:rsidP="00E0032E">
            <w:pPr>
              <w:snapToGrid w:val="0"/>
              <w:contextualSpacing/>
              <w:jc w:val="both"/>
            </w:pPr>
            <w:r w:rsidRPr="002B70F4">
              <w:t>39.8</w:t>
            </w:r>
            <w:r w:rsidRPr="006F17B2">
              <w:t xml:space="preserve"> ± </w:t>
            </w:r>
            <w:r w:rsidRPr="002B70F4">
              <w:t>3.3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Prealbumin, mg/L</w:t>
            </w:r>
          </w:p>
        </w:tc>
        <w:tc>
          <w:tcPr>
            <w:tcW w:w="0" w:type="auto"/>
            <w:shd w:val="clear" w:color="auto" w:fill="FFFFFF"/>
            <w:vAlign w:val="center"/>
          </w:tcPr>
          <w:p w:rsidR="00A43C6B" w:rsidRPr="002B70F4" w:rsidRDefault="00A43C6B" w:rsidP="00E0032E">
            <w:pPr>
              <w:snapToGrid w:val="0"/>
              <w:contextualSpacing/>
              <w:jc w:val="both"/>
            </w:pPr>
            <w:r w:rsidRPr="002B70F4">
              <w:t>306.0</w:t>
            </w:r>
            <w:r w:rsidRPr="006F17B2">
              <w:t xml:space="preserve"> ± </w:t>
            </w:r>
            <w:r w:rsidRPr="002B70F4">
              <w:t>73.2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Creatinine, μmol/L</w:t>
            </w:r>
          </w:p>
        </w:tc>
        <w:tc>
          <w:tcPr>
            <w:tcW w:w="0" w:type="auto"/>
            <w:shd w:val="clear" w:color="auto" w:fill="FFFFFF"/>
            <w:vAlign w:val="center"/>
          </w:tcPr>
          <w:p w:rsidR="00A43C6B" w:rsidRPr="002B70F4" w:rsidRDefault="00A43C6B" w:rsidP="00E0032E">
            <w:pPr>
              <w:snapToGrid w:val="0"/>
              <w:contextualSpacing/>
              <w:jc w:val="both"/>
            </w:pPr>
            <w:r w:rsidRPr="002B70F4">
              <w:t>980.1</w:t>
            </w:r>
            <w:r w:rsidRPr="006F17B2">
              <w:t xml:space="preserve"> ± </w:t>
            </w:r>
            <w:r w:rsidRPr="002B70F4">
              <w:t>276.0</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Uric acid, mmol/L</w:t>
            </w:r>
          </w:p>
        </w:tc>
        <w:tc>
          <w:tcPr>
            <w:tcW w:w="0" w:type="auto"/>
            <w:shd w:val="clear" w:color="auto" w:fill="FFFFFF"/>
            <w:vAlign w:val="center"/>
          </w:tcPr>
          <w:p w:rsidR="00A43C6B" w:rsidRPr="002B70F4" w:rsidRDefault="00A43C6B" w:rsidP="00E0032E">
            <w:pPr>
              <w:snapToGrid w:val="0"/>
              <w:contextualSpacing/>
              <w:jc w:val="both"/>
            </w:pPr>
            <w:r w:rsidRPr="002B70F4">
              <w:t>438.0</w:t>
            </w:r>
            <w:r w:rsidRPr="006F17B2">
              <w:t xml:space="preserve"> ± </w:t>
            </w:r>
            <w:r w:rsidRPr="002B70F4">
              <w:t>90.7</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Calcium, mmol/L</w:t>
            </w:r>
          </w:p>
        </w:tc>
        <w:tc>
          <w:tcPr>
            <w:tcW w:w="0" w:type="auto"/>
            <w:shd w:val="clear" w:color="auto" w:fill="FFFFFF"/>
            <w:vAlign w:val="center"/>
          </w:tcPr>
          <w:p w:rsidR="00A43C6B" w:rsidRPr="002B70F4" w:rsidRDefault="00A43C6B" w:rsidP="00E0032E">
            <w:pPr>
              <w:snapToGrid w:val="0"/>
              <w:contextualSpacing/>
              <w:jc w:val="both"/>
            </w:pPr>
            <w:r w:rsidRPr="002B70F4">
              <w:t>2.28</w:t>
            </w:r>
            <w:r w:rsidRPr="006F17B2">
              <w:t xml:space="preserve"> ± </w:t>
            </w:r>
            <w:r w:rsidRPr="002B70F4">
              <w:t>0.23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 xml:space="preserve">Phosphorus, mmol/L </w:t>
            </w:r>
          </w:p>
        </w:tc>
        <w:tc>
          <w:tcPr>
            <w:tcW w:w="0" w:type="auto"/>
            <w:shd w:val="clear" w:color="auto" w:fill="FFFFFF"/>
            <w:vAlign w:val="center"/>
          </w:tcPr>
          <w:p w:rsidR="00A43C6B" w:rsidRPr="002B70F4" w:rsidRDefault="00A43C6B" w:rsidP="00E0032E">
            <w:pPr>
              <w:snapToGrid w:val="0"/>
              <w:contextualSpacing/>
              <w:jc w:val="both"/>
            </w:pPr>
            <w:r w:rsidRPr="002B70F4">
              <w:t>2.19</w:t>
            </w:r>
            <w:r w:rsidRPr="006F17B2">
              <w:t xml:space="preserve"> ± </w:t>
            </w:r>
            <w:r w:rsidRPr="002B70F4">
              <w:t>0.68</w:t>
            </w:r>
          </w:p>
        </w:tc>
      </w:tr>
      <w:tr w:rsidR="00A43C6B" w:rsidTr="00E0032E">
        <w:trPr>
          <w:trHeight w:val="237"/>
          <w:jc w:val="center"/>
        </w:trPr>
        <w:tc>
          <w:tcPr>
            <w:tcW w:w="0" w:type="auto"/>
            <w:shd w:val="clear" w:color="auto" w:fill="FFFFFF"/>
            <w:vAlign w:val="center"/>
          </w:tcPr>
          <w:p w:rsidR="00A43C6B" w:rsidRPr="002B70F4" w:rsidRDefault="00A43C6B" w:rsidP="00E0032E">
            <w:pPr>
              <w:snapToGrid w:val="0"/>
              <w:contextualSpacing/>
              <w:jc w:val="both"/>
            </w:pPr>
            <w:r w:rsidRPr="002B70F4">
              <w:t>Total cholesterol, mmol/L</w:t>
            </w:r>
          </w:p>
        </w:tc>
        <w:tc>
          <w:tcPr>
            <w:tcW w:w="0" w:type="auto"/>
            <w:shd w:val="clear" w:color="auto" w:fill="FFFFFF"/>
            <w:vAlign w:val="center"/>
          </w:tcPr>
          <w:p w:rsidR="00A43C6B" w:rsidRPr="002B70F4" w:rsidRDefault="00A43C6B" w:rsidP="00E0032E">
            <w:pPr>
              <w:snapToGrid w:val="0"/>
              <w:contextualSpacing/>
              <w:jc w:val="both"/>
            </w:pPr>
            <w:r w:rsidRPr="002B70F4">
              <w:t>3.88</w:t>
            </w:r>
            <w:r w:rsidRPr="006F17B2">
              <w:t xml:space="preserve"> ± </w:t>
            </w:r>
            <w:r w:rsidRPr="002B70F4">
              <w:t>1.02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Triglyceride, mmol/L</w:t>
            </w:r>
          </w:p>
        </w:tc>
        <w:tc>
          <w:tcPr>
            <w:tcW w:w="0" w:type="auto"/>
            <w:shd w:val="clear" w:color="auto" w:fill="FFFFFF"/>
            <w:vAlign w:val="center"/>
          </w:tcPr>
          <w:p w:rsidR="00A43C6B" w:rsidRPr="002B70F4" w:rsidRDefault="00A43C6B" w:rsidP="00E0032E">
            <w:pPr>
              <w:snapToGrid w:val="0"/>
              <w:contextualSpacing/>
              <w:jc w:val="both"/>
            </w:pPr>
            <w:r w:rsidRPr="002B70F4">
              <w:t>1.64(1.09,2.52)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LDL-C, mmol/L</w:t>
            </w:r>
          </w:p>
        </w:tc>
        <w:tc>
          <w:tcPr>
            <w:tcW w:w="0" w:type="auto"/>
            <w:shd w:val="clear" w:color="auto" w:fill="FFFFFF"/>
            <w:vAlign w:val="center"/>
          </w:tcPr>
          <w:p w:rsidR="00A43C6B" w:rsidRPr="002B70F4" w:rsidRDefault="00A43C6B" w:rsidP="00E0032E">
            <w:pPr>
              <w:snapToGrid w:val="0"/>
              <w:contextualSpacing/>
              <w:jc w:val="both"/>
            </w:pPr>
            <w:r w:rsidRPr="002B70F4">
              <w:t>2.04</w:t>
            </w:r>
            <w:r w:rsidRPr="006F17B2">
              <w:t xml:space="preserve"> ± </w:t>
            </w:r>
            <w:r w:rsidRPr="002B70F4">
              <w:t>0.83</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HDL-C, mmol/L</w:t>
            </w:r>
          </w:p>
        </w:tc>
        <w:tc>
          <w:tcPr>
            <w:tcW w:w="0" w:type="auto"/>
            <w:shd w:val="clear" w:color="auto" w:fill="FFFFFF"/>
            <w:vAlign w:val="center"/>
          </w:tcPr>
          <w:p w:rsidR="00A43C6B" w:rsidRPr="002B70F4" w:rsidRDefault="00A43C6B" w:rsidP="00E0032E">
            <w:pPr>
              <w:snapToGrid w:val="0"/>
              <w:contextualSpacing/>
              <w:jc w:val="both"/>
            </w:pPr>
            <w:r w:rsidRPr="002B70F4">
              <w:t>0.97</w:t>
            </w:r>
            <w:r w:rsidRPr="006F17B2">
              <w:t xml:space="preserve"> ± </w:t>
            </w:r>
            <w:r w:rsidRPr="002B70F4">
              <w:t>0.32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Homocysteine, μmol/L</w:t>
            </w:r>
          </w:p>
        </w:tc>
        <w:tc>
          <w:tcPr>
            <w:tcW w:w="0" w:type="auto"/>
            <w:shd w:val="clear" w:color="auto" w:fill="FFFFFF"/>
            <w:vAlign w:val="center"/>
          </w:tcPr>
          <w:p w:rsidR="00A43C6B" w:rsidRPr="002B70F4" w:rsidRDefault="00A43C6B" w:rsidP="00E0032E">
            <w:pPr>
              <w:snapToGrid w:val="0"/>
              <w:contextualSpacing/>
              <w:jc w:val="both"/>
            </w:pPr>
            <w:r w:rsidRPr="002B70F4">
              <w:t>30.3 (22.7, 43.2)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NT-proBNP, pg/mL</w:t>
            </w:r>
          </w:p>
        </w:tc>
        <w:tc>
          <w:tcPr>
            <w:tcW w:w="0" w:type="auto"/>
            <w:shd w:val="clear" w:color="auto" w:fill="FFFFFF"/>
            <w:vAlign w:val="center"/>
          </w:tcPr>
          <w:p w:rsidR="00A43C6B" w:rsidRPr="002B70F4" w:rsidRDefault="00A43C6B" w:rsidP="00E0032E">
            <w:pPr>
              <w:snapToGrid w:val="0"/>
              <w:contextualSpacing/>
              <w:jc w:val="both"/>
            </w:pPr>
            <w:r w:rsidRPr="002B70F4">
              <w:t>4229.0 (1912.3, 9868.0)</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iPTH, pg/mL</w:t>
            </w:r>
          </w:p>
        </w:tc>
        <w:tc>
          <w:tcPr>
            <w:tcW w:w="0" w:type="auto"/>
            <w:shd w:val="clear" w:color="auto" w:fill="FFFFFF"/>
            <w:vAlign w:val="center"/>
          </w:tcPr>
          <w:p w:rsidR="00A43C6B" w:rsidRPr="002B70F4" w:rsidRDefault="00A43C6B" w:rsidP="00E0032E">
            <w:pPr>
              <w:snapToGrid w:val="0"/>
              <w:contextualSpacing/>
              <w:jc w:val="both"/>
            </w:pPr>
            <w:r w:rsidRPr="002B70F4">
              <w:t>283.0 (185.5, 446.5)</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Ferritin, pg/mL</w:t>
            </w:r>
          </w:p>
        </w:tc>
        <w:tc>
          <w:tcPr>
            <w:tcW w:w="0" w:type="auto"/>
            <w:shd w:val="clear" w:color="auto" w:fill="FFFFFF"/>
            <w:vAlign w:val="center"/>
          </w:tcPr>
          <w:p w:rsidR="00A43C6B" w:rsidRPr="002B70F4" w:rsidRDefault="00A43C6B" w:rsidP="00E0032E">
            <w:pPr>
              <w:snapToGrid w:val="0"/>
              <w:contextualSpacing/>
              <w:jc w:val="both"/>
            </w:pPr>
            <w:r w:rsidRPr="002B70F4">
              <w:t>161.5 (73.1, 341.0)</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hsCRP, mg/L</w:t>
            </w:r>
          </w:p>
        </w:tc>
        <w:tc>
          <w:tcPr>
            <w:tcW w:w="0" w:type="auto"/>
            <w:shd w:val="clear" w:color="auto" w:fill="FFFFFF"/>
            <w:vAlign w:val="center"/>
          </w:tcPr>
          <w:p w:rsidR="00A43C6B" w:rsidRPr="002B70F4" w:rsidRDefault="00A43C6B" w:rsidP="00E0032E">
            <w:pPr>
              <w:snapToGrid w:val="0"/>
              <w:contextualSpacing/>
              <w:jc w:val="both"/>
            </w:pPr>
            <w:r w:rsidRPr="002B70F4">
              <w:t>4.0 (1.3,12.2)</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TNF-α, pg/mL</w:t>
            </w:r>
          </w:p>
        </w:tc>
        <w:tc>
          <w:tcPr>
            <w:tcW w:w="0" w:type="auto"/>
            <w:shd w:val="clear" w:color="auto" w:fill="FFFFFF"/>
            <w:vAlign w:val="center"/>
          </w:tcPr>
          <w:p w:rsidR="00A43C6B" w:rsidRPr="002B70F4" w:rsidRDefault="00A43C6B" w:rsidP="00E0032E">
            <w:pPr>
              <w:snapToGrid w:val="0"/>
              <w:contextualSpacing/>
              <w:jc w:val="both"/>
            </w:pPr>
            <w:r w:rsidRPr="002B70F4">
              <w:t>18.0 (15.2, 21.1)</w:t>
            </w:r>
          </w:p>
        </w:tc>
      </w:tr>
      <w:tr w:rsidR="00A43C6B" w:rsidTr="00E0032E">
        <w:trPr>
          <w:trHeight w:val="20"/>
          <w:jc w:val="center"/>
        </w:trPr>
        <w:tc>
          <w:tcPr>
            <w:tcW w:w="0" w:type="auto"/>
            <w:shd w:val="clear" w:color="auto" w:fill="FFFFFF"/>
            <w:vAlign w:val="center"/>
          </w:tcPr>
          <w:p w:rsidR="00A43C6B" w:rsidRPr="002B70F4" w:rsidRDefault="00A43C6B" w:rsidP="00E0032E">
            <w:pPr>
              <w:snapToGrid w:val="0"/>
              <w:contextualSpacing/>
              <w:jc w:val="both"/>
            </w:pPr>
            <w:r w:rsidRPr="002B70F4">
              <w:t>sIL-2R, U/</w:t>
            </w:r>
            <w:r>
              <w:t>mL</w:t>
            </w:r>
          </w:p>
        </w:tc>
        <w:tc>
          <w:tcPr>
            <w:tcW w:w="0" w:type="auto"/>
            <w:shd w:val="clear" w:color="auto" w:fill="FFFFFF"/>
            <w:vAlign w:val="center"/>
          </w:tcPr>
          <w:p w:rsidR="00A43C6B" w:rsidRPr="002B70F4" w:rsidRDefault="00A43C6B" w:rsidP="00E0032E">
            <w:pPr>
              <w:snapToGrid w:val="0"/>
              <w:contextualSpacing/>
              <w:jc w:val="both"/>
            </w:pPr>
            <w:r w:rsidRPr="002B70F4">
              <w:t>1184.3</w:t>
            </w:r>
            <w:r w:rsidRPr="006F17B2">
              <w:t xml:space="preserve"> ± </w:t>
            </w:r>
            <w:r w:rsidRPr="002B70F4">
              <w:t>458.5</w:t>
            </w:r>
          </w:p>
        </w:tc>
      </w:tr>
      <w:tr w:rsidR="00A43C6B" w:rsidTr="00E0032E">
        <w:trPr>
          <w:trHeight w:val="20"/>
          <w:jc w:val="center"/>
        </w:trPr>
        <w:tc>
          <w:tcPr>
            <w:tcW w:w="0" w:type="auto"/>
            <w:tcBorders>
              <w:bottom w:val="single" w:sz="4" w:space="0" w:color="auto"/>
            </w:tcBorders>
            <w:shd w:val="clear" w:color="auto" w:fill="FFFFFF"/>
            <w:vAlign w:val="center"/>
          </w:tcPr>
          <w:p w:rsidR="00A43C6B" w:rsidRPr="002B70F4" w:rsidRDefault="00A43C6B" w:rsidP="00E0032E">
            <w:pPr>
              <w:snapToGrid w:val="0"/>
              <w:contextualSpacing/>
              <w:jc w:val="both"/>
            </w:pPr>
            <w:r w:rsidRPr="002B70F4">
              <w:t>IL-6, pg/mL</w:t>
            </w:r>
          </w:p>
        </w:tc>
        <w:tc>
          <w:tcPr>
            <w:tcW w:w="0" w:type="auto"/>
            <w:tcBorders>
              <w:bottom w:val="single" w:sz="4" w:space="0" w:color="auto"/>
            </w:tcBorders>
            <w:shd w:val="clear" w:color="auto" w:fill="FFFFFF"/>
            <w:vAlign w:val="center"/>
          </w:tcPr>
          <w:p w:rsidR="00A43C6B" w:rsidRPr="002B70F4" w:rsidRDefault="00A43C6B" w:rsidP="00E0032E">
            <w:pPr>
              <w:snapToGrid w:val="0"/>
              <w:contextualSpacing/>
              <w:jc w:val="both"/>
            </w:pPr>
            <w:r w:rsidRPr="002B70F4">
              <w:t>4.3 (2.3, 7.8)</w:t>
            </w:r>
          </w:p>
        </w:tc>
      </w:tr>
    </w:tbl>
    <w:p w:rsidR="007637B7" w:rsidRPr="00A43C6B" w:rsidRDefault="00A43C6B" w:rsidP="00A43C6B">
      <w:pPr>
        <w:snapToGrid w:val="0"/>
        <w:contextualSpacing/>
        <w:jc w:val="both"/>
        <w:rPr>
          <w:lang w:eastAsia="zh-CN"/>
        </w:rPr>
      </w:pPr>
      <w:r w:rsidRPr="002B70F4">
        <w:t>BMI: Body mass index; CMV: cytomegalovirus; CVD: cardiovascular disease; HD: hemodialysis; HDL-C: high-density lipoprotein</w:t>
      </w:r>
      <w:r>
        <w:rPr>
          <w:rFonts w:hint="eastAsia"/>
        </w:rPr>
        <w:t xml:space="preserve"> </w:t>
      </w:r>
      <w:r w:rsidRPr="002B70F4">
        <w:t>cholesterol; hsCRP: high</w:t>
      </w:r>
      <w:r w:rsidRPr="006F17B2">
        <w:t>-</w:t>
      </w:r>
      <w:r w:rsidRPr="002B70F4">
        <w:t>sensitivity</w:t>
      </w:r>
      <w:r>
        <w:rPr>
          <w:rFonts w:hint="eastAsia"/>
        </w:rPr>
        <w:t xml:space="preserve"> </w:t>
      </w:r>
      <w:r w:rsidRPr="002B70F4">
        <w:t>C</w:t>
      </w:r>
      <w:r w:rsidRPr="006F17B2">
        <w:t>-</w:t>
      </w:r>
      <w:r w:rsidRPr="002B70F4">
        <w:t>reactive protein; IL-6: interleukin 6; iPTH: intact parathyroid hormone; LDL-C: low-density lipoprotein</w:t>
      </w:r>
      <w:r>
        <w:rPr>
          <w:rFonts w:hint="eastAsia"/>
        </w:rPr>
        <w:t xml:space="preserve"> </w:t>
      </w:r>
      <w:r w:rsidRPr="002B70F4">
        <w:t>cholesterol; NT-proBNP: N-terminal pro-brain natriuretic peptide; SD: standard deviation; sIL-2R: soluble interleukin-2 receptor; TNF-α: tumor necrosis factor-α.</w:t>
      </w:r>
    </w:p>
    <w:sectPr w:rsidR="007637B7" w:rsidRPr="00A43C6B" w:rsidSect="003E4FFB">
      <w:footerReference w:type="default" r:id="rId9"/>
      <w:pgSz w:w="11906" w:h="16838"/>
      <w:pgMar w:top="1417" w:right="1417" w:bottom="1134" w:left="1417" w:header="708" w:footer="708"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5C" w:rsidRDefault="000C395C">
      <w:pPr>
        <w:spacing w:after="0" w:line="240" w:lineRule="auto"/>
      </w:pPr>
      <w:r>
        <w:separator/>
      </w:r>
    </w:p>
  </w:endnote>
  <w:endnote w:type="continuationSeparator" w:id="1">
    <w:p w:rsidR="000C395C" w:rsidRDefault="000C3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105645"/>
      <w:docPartObj>
        <w:docPartGallery w:val="Page Numbers (Bottom of Page)"/>
        <w:docPartUnique/>
      </w:docPartObj>
    </w:sdtPr>
    <w:sdtContent>
      <w:p w:rsidR="002169E1" w:rsidRPr="003E4FFB" w:rsidRDefault="00A84188">
        <w:pPr>
          <w:pStyle w:val="a3"/>
          <w:jc w:val="right"/>
        </w:pPr>
        <w:r w:rsidRPr="003E4FFB">
          <w:fldChar w:fldCharType="begin"/>
        </w:r>
        <w:r w:rsidR="00632CF8" w:rsidRPr="003E4FFB">
          <w:instrText>PAGE   \* MERGEFORMAT</w:instrText>
        </w:r>
        <w:r w:rsidRPr="003E4FFB">
          <w:fldChar w:fldCharType="separate"/>
        </w:r>
        <w:r w:rsidR="00750155">
          <w:rPr>
            <w:noProof/>
          </w:rPr>
          <w:t>1</w:t>
        </w:r>
        <w:r w:rsidRPr="003E4FFB">
          <w:fldChar w:fldCharType="end"/>
        </w:r>
      </w:p>
    </w:sdtContent>
  </w:sdt>
  <w:p w:rsidR="002169E1" w:rsidRPr="003E4FFB" w:rsidRDefault="002169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5C" w:rsidRDefault="000C395C">
      <w:pPr>
        <w:spacing w:after="0" w:line="240" w:lineRule="auto"/>
      </w:pPr>
      <w:r>
        <w:separator/>
      </w:r>
    </w:p>
  </w:footnote>
  <w:footnote w:type="continuationSeparator" w:id="1">
    <w:p w:rsidR="000C395C" w:rsidRDefault="000C3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5F80E"/>
    <w:multiLevelType w:val="multilevel"/>
    <w:tmpl w:val="00000000"/>
    <w:lvl w:ilvl="0">
      <w:start w:val="1"/>
      <w:numFmt w:val="decimal"/>
      <w:pStyle w:val="1"/>
      <w:lvlText w:val="%1"/>
      <w:lvlJc w:val="left"/>
      <w:pPr>
        <w:ind w:left="567" w:hanging="567"/>
      </w:pPr>
    </w:lvl>
    <w:lvl w:ilvl="1">
      <w:start w:val="1"/>
      <w:numFmt w:val="decimal"/>
      <w:lvlText w:val="%1.%2"/>
      <w:lvlJc w:val="left"/>
      <w:pPr>
        <w:ind w:left="567" w:hanging="567"/>
      </w:pPr>
    </w:lvl>
    <w:lvl w:ilvl="2">
      <w:start w:val="1"/>
      <w:numFmt w:val="decimal"/>
      <w:pStyle w:val="3"/>
      <w:lvlText w:val="%1.%2.%3"/>
      <w:lvlJc w:val="left"/>
      <w:pPr>
        <w:ind w:left="567" w:hanging="567"/>
      </w:pPr>
    </w:lvl>
    <w:lvl w:ilvl="3">
      <w:start w:val="1"/>
      <w:numFmt w:val="decimal"/>
      <w:pStyle w:val="4"/>
      <w:lvlText w:val="%1.%2.%3.%4"/>
      <w:lvlJc w:val="left"/>
      <w:pPr>
        <w:ind w:left="567" w:hanging="567"/>
      </w:pPr>
    </w:lvl>
    <w:lvl w:ilvl="4">
      <w:start w:val="1"/>
      <w:numFmt w:val="decimal"/>
      <w:lvlText w:val="%1.%2.%3.%4.%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C01DC2"/>
    <w:rsid w:val="000011E8"/>
    <w:rsid w:val="000B268E"/>
    <w:rsid w:val="000C395C"/>
    <w:rsid w:val="000D6346"/>
    <w:rsid w:val="001825D9"/>
    <w:rsid w:val="002169E1"/>
    <w:rsid w:val="003E4FFB"/>
    <w:rsid w:val="004353AB"/>
    <w:rsid w:val="00632CF8"/>
    <w:rsid w:val="00636C20"/>
    <w:rsid w:val="006A5F81"/>
    <w:rsid w:val="00750155"/>
    <w:rsid w:val="007637B7"/>
    <w:rsid w:val="008A5AE8"/>
    <w:rsid w:val="00A165A2"/>
    <w:rsid w:val="00A43C6B"/>
    <w:rsid w:val="00A84188"/>
    <w:rsid w:val="00A952BF"/>
    <w:rsid w:val="00B16CDA"/>
    <w:rsid w:val="00C01DC2"/>
    <w:rsid w:val="00CA430C"/>
    <w:rsid w:val="00D572F3"/>
    <w:rsid w:val="00EA6385"/>
    <w:rsid w:val="00EB4227"/>
    <w:rsid w:val="00EF079A"/>
    <w:rsid w:val="00F56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81"/>
    <w:rPr>
      <w:lang w:val="en-GB"/>
    </w:rPr>
  </w:style>
  <w:style w:type="paragraph" w:styleId="1">
    <w:name w:val="heading 1"/>
    <w:basedOn w:val="a"/>
    <w:link w:val="1Char"/>
    <w:qFormat/>
    <w:rsid w:val="00A43C6B"/>
    <w:pPr>
      <w:keepNext/>
      <w:keepLines/>
      <w:widowControl w:val="0"/>
      <w:numPr>
        <w:numId w:val="1"/>
      </w:numPr>
      <w:spacing w:before="340" w:after="330" w:line="578" w:lineRule="auto"/>
      <w:jc w:val="both"/>
      <w:outlineLvl w:val="0"/>
    </w:pPr>
    <w:rPr>
      <w:b/>
      <w:kern w:val="0"/>
      <w:sz w:val="44"/>
      <w:szCs w:val="20"/>
      <w:lang w:val="en-US" w:eastAsia="zh-CN"/>
    </w:rPr>
  </w:style>
  <w:style w:type="paragraph" w:styleId="3">
    <w:name w:val="heading 3"/>
    <w:basedOn w:val="a"/>
    <w:link w:val="3Char"/>
    <w:qFormat/>
    <w:rsid w:val="00A43C6B"/>
    <w:pPr>
      <w:keepNext/>
      <w:keepLines/>
      <w:widowControl w:val="0"/>
      <w:numPr>
        <w:ilvl w:val="2"/>
        <w:numId w:val="1"/>
      </w:numPr>
      <w:spacing w:before="260" w:after="260" w:line="416" w:lineRule="auto"/>
      <w:jc w:val="both"/>
      <w:outlineLvl w:val="2"/>
    </w:pPr>
    <w:rPr>
      <w:rFonts w:ascii="Times New Roman" w:eastAsia="Times New Roman" w:hAnsi="Times New Roman" w:cs="Times New Roman"/>
      <w:b/>
      <w:kern w:val="0"/>
      <w:sz w:val="32"/>
      <w:szCs w:val="20"/>
      <w:lang w:val="en-US" w:eastAsia="zh-CN"/>
    </w:rPr>
  </w:style>
  <w:style w:type="paragraph" w:styleId="4">
    <w:name w:val="heading 4"/>
    <w:basedOn w:val="a"/>
    <w:link w:val="4Char"/>
    <w:rsid w:val="00A43C6B"/>
    <w:pPr>
      <w:keepNext/>
      <w:keepLines/>
      <w:widowControl w:val="0"/>
      <w:numPr>
        <w:ilvl w:val="3"/>
        <w:numId w:val="1"/>
      </w:numPr>
      <w:spacing w:before="280" w:after="290" w:line="376" w:lineRule="auto"/>
      <w:jc w:val="both"/>
      <w:outlineLvl w:val="3"/>
    </w:pPr>
    <w:rPr>
      <w:rFonts w:ascii="Calibri Light" w:eastAsia="Calibri Light" w:hAnsi="Calibri Light" w:cs="Calibri Light"/>
      <w:b/>
      <w:kern w:val="0"/>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F079A"/>
    <w:pPr>
      <w:tabs>
        <w:tab w:val="center" w:pos="4513"/>
        <w:tab w:val="right" w:pos="9026"/>
      </w:tabs>
      <w:spacing w:after="0" w:line="240" w:lineRule="auto"/>
    </w:pPr>
  </w:style>
  <w:style w:type="character" w:customStyle="1" w:styleId="Char">
    <w:name w:val="页脚 Char"/>
    <w:basedOn w:val="a0"/>
    <w:link w:val="a3"/>
    <w:uiPriority w:val="99"/>
    <w:rsid w:val="00EF079A"/>
    <w:rPr>
      <w:lang w:val="en-GB"/>
    </w:rPr>
  </w:style>
  <w:style w:type="paragraph" w:styleId="a4">
    <w:name w:val="annotation text"/>
    <w:basedOn w:val="a"/>
    <w:link w:val="Char0"/>
    <w:uiPriority w:val="99"/>
    <w:semiHidden/>
    <w:unhideWhenUsed/>
    <w:rsid w:val="00EF079A"/>
    <w:pPr>
      <w:spacing w:line="240" w:lineRule="auto"/>
    </w:pPr>
    <w:rPr>
      <w:sz w:val="20"/>
      <w:szCs w:val="20"/>
    </w:rPr>
  </w:style>
  <w:style w:type="character" w:customStyle="1" w:styleId="Char0">
    <w:name w:val="批注文字 Char"/>
    <w:basedOn w:val="a0"/>
    <w:link w:val="a4"/>
    <w:uiPriority w:val="99"/>
    <w:semiHidden/>
    <w:rsid w:val="00EF079A"/>
    <w:rPr>
      <w:sz w:val="20"/>
      <w:szCs w:val="20"/>
      <w:lang w:val="en-GB"/>
    </w:rPr>
  </w:style>
  <w:style w:type="character" w:styleId="a5">
    <w:name w:val="annotation reference"/>
    <w:basedOn w:val="a0"/>
    <w:uiPriority w:val="99"/>
    <w:semiHidden/>
    <w:unhideWhenUsed/>
    <w:rsid w:val="00EF079A"/>
    <w:rPr>
      <w:sz w:val="21"/>
      <w:szCs w:val="21"/>
    </w:rPr>
  </w:style>
  <w:style w:type="character" w:styleId="a6">
    <w:name w:val="line number"/>
    <w:basedOn w:val="a0"/>
    <w:uiPriority w:val="99"/>
    <w:semiHidden/>
    <w:unhideWhenUsed/>
    <w:rsid w:val="00EF079A"/>
  </w:style>
  <w:style w:type="character" w:customStyle="1" w:styleId="Hyperlink1">
    <w:name w:val="Hyperlink1"/>
    <w:basedOn w:val="a0"/>
    <w:uiPriority w:val="99"/>
    <w:unhideWhenUsed/>
    <w:rsid w:val="000011E8"/>
    <w:rPr>
      <w:color w:val="0563C1"/>
      <w:u w:val="single"/>
    </w:rPr>
  </w:style>
  <w:style w:type="character" w:styleId="a7">
    <w:name w:val="Hyperlink"/>
    <w:basedOn w:val="a0"/>
    <w:uiPriority w:val="99"/>
    <w:semiHidden/>
    <w:unhideWhenUsed/>
    <w:rsid w:val="000011E8"/>
    <w:rPr>
      <w:color w:val="0563C1" w:themeColor="hyperlink"/>
      <w:u w:val="single"/>
    </w:rPr>
  </w:style>
  <w:style w:type="paragraph" w:styleId="a8">
    <w:name w:val="header"/>
    <w:basedOn w:val="a"/>
    <w:link w:val="Char1"/>
    <w:uiPriority w:val="99"/>
    <w:unhideWhenUsed/>
    <w:rsid w:val="00636C20"/>
    <w:pPr>
      <w:tabs>
        <w:tab w:val="center" w:pos="4513"/>
        <w:tab w:val="right" w:pos="9026"/>
      </w:tabs>
      <w:spacing w:after="0" w:line="240" w:lineRule="auto"/>
    </w:pPr>
  </w:style>
  <w:style w:type="character" w:customStyle="1" w:styleId="Char1">
    <w:name w:val="页眉 Char"/>
    <w:basedOn w:val="a0"/>
    <w:link w:val="a8"/>
    <w:uiPriority w:val="99"/>
    <w:rsid w:val="00636C20"/>
    <w:rPr>
      <w:lang w:val="en-GB"/>
    </w:rPr>
  </w:style>
  <w:style w:type="paragraph" w:styleId="a9">
    <w:name w:val="Document Map"/>
    <w:basedOn w:val="a"/>
    <w:link w:val="Char2"/>
    <w:uiPriority w:val="99"/>
    <w:semiHidden/>
    <w:unhideWhenUsed/>
    <w:rsid w:val="00A43C6B"/>
    <w:rPr>
      <w:rFonts w:ascii="宋体" w:eastAsia="宋体"/>
      <w:sz w:val="18"/>
      <w:szCs w:val="18"/>
    </w:rPr>
  </w:style>
  <w:style w:type="character" w:customStyle="1" w:styleId="Char2">
    <w:name w:val="文档结构图 Char"/>
    <w:basedOn w:val="a0"/>
    <w:link w:val="a9"/>
    <w:uiPriority w:val="99"/>
    <w:semiHidden/>
    <w:rsid w:val="00A43C6B"/>
    <w:rPr>
      <w:rFonts w:ascii="宋体" w:eastAsia="宋体"/>
      <w:sz w:val="18"/>
      <w:szCs w:val="18"/>
      <w:lang w:val="en-GB"/>
    </w:rPr>
  </w:style>
  <w:style w:type="paragraph" w:styleId="aa">
    <w:name w:val="Balloon Text"/>
    <w:basedOn w:val="a"/>
    <w:link w:val="Char3"/>
    <w:uiPriority w:val="99"/>
    <w:semiHidden/>
    <w:unhideWhenUsed/>
    <w:rsid w:val="00A43C6B"/>
    <w:pPr>
      <w:spacing w:after="0" w:line="240" w:lineRule="auto"/>
    </w:pPr>
    <w:rPr>
      <w:sz w:val="18"/>
      <w:szCs w:val="18"/>
    </w:rPr>
  </w:style>
  <w:style w:type="character" w:customStyle="1" w:styleId="Char3">
    <w:name w:val="批注框文本 Char"/>
    <w:basedOn w:val="a0"/>
    <w:link w:val="aa"/>
    <w:uiPriority w:val="99"/>
    <w:semiHidden/>
    <w:rsid w:val="00A43C6B"/>
    <w:rPr>
      <w:sz w:val="18"/>
      <w:szCs w:val="18"/>
      <w:lang w:val="en-GB"/>
    </w:rPr>
  </w:style>
  <w:style w:type="paragraph" w:styleId="ab">
    <w:name w:val="Title"/>
    <w:basedOn w:val="a"/>
    <w:link w:val="Char4"/>
    <w:qFormat/>
    <w:rsid w:val="00A43C6B"/>
    <w:pPr>
      <w:spacing w:before="240" w:after="360" w:line="240" w:lineRule="auto"/>
      <w:jc w:val="center"/>
    </w:pPr>
    <w:rPr>
      <w:rFonts w:ascii="Times New Roman" w:eastAsia="Times New Roman" w:hAnsi="Times New Roman" w:cs="Times New Roman"/>
      <w:b/>
      <w:kern w:val="0"/>
      <w:sz w:val="32"/>
      <w:szCs w:val="20"/>
      <w:lang w:val="en-US" w:eastAsia="zh-CN"/>
    </w:rPr>
  </w:style>
  <w:style w:type="character" w:customStyle="1" w:styleId="Char4">
    <w:name w:val="标题 Char"/>
    <w:basedOn w:val="a0"/>
    <w:link w:val="ab"/>
    <w:rsid w:val="00A43C6B"/>
    <w:rPr>
      <w:rFonts w:ascii="Times New Roman" w:eastAsia="Times New Roman" w:hAnsi="Times New Roman" w:cs="Times New Roman"/>
      <w:b/>
      <w:kern w:val="0"/>
      <w:sz w:val="32"/>
      <w:szCs w:val="20"/>
      <w:lang w:val="en-US" w:eastAsia="zh-CN"/>
    </w:rPr>
  </w:style>
  <w:style w:type="character" w:customStyle="1" w:styleId="1Char">
    <w:name w:val="标题 1 Char"/>
    <w:basedOn w:val="a0"/>
    <w:link w:val="1"/>
    <w:rsid w:val="00A43C6B"/>
    <w:rPr>
      <w:b/>
      <w:kern w:val="0"/>
      <w:sz w:val="44"/>
      <w:szCs w:val="20"/>
      <w:lang w:val="en-US" w:eastAsia="zh-CN"/>
    </w:rPr>
  </w:style>
  <w:style w:type="character" w:customStyle="1" w:styleId="3Char">
    <w:name w:val="标题 3 Char"/>
    <w:basedOn w:val="a0"/>
    <w:link w:val="3"/>
    <w:rsid w:val="00A43C6B"/>
    <w:rPr>
      <w:rFonts w:ascii="Times New Roman" w:eastAsia="Times New Roman" w:hAnsi="Times New Roman" w:cs="Times New Roman"/>
      <w:b/>
      <w:kern w:val="0"/>
      <w:sz w:val="32"/>
      <w:szCs w:val="20"/>
      <w:lang w:val="en-US" w:eastAsia="zh-CN"/>
    </w:rPr>
  </w:style>
  <w:style w:type="character" w:customStyle="1" w:styleId="4Char">
    <w:name w:val="标题 4 Char"/>
    <w:basedOn w:val="a0"/>
    <w:link w:val="4"/>
    <w:rsid w:val="00A43C6B"/>
    <w:rPr>
      <w:rFonts w:ascii="Calibri Light" w:eastAsia="Calibri Light" w:hAnsi="Calibri Light" w:cs="Calibri Light"/>
      <w:b/>
      <w:kern w:val="0"/>
      <w:sz w:val="28"/>
      <w:szCs w:val="20"/>
      <w:lang w:val="en-US" w:eastAsia="zh-CN"/>
    </w:rPr>
  </w:style>
  <w:style w:type="paragraph" w:customStyle="1" w:styleId="p">
    <w:name w:val="p"/>
    <w:basedOn w:val="a"/>
    <w:rsid w:val="00A43C6B"/>
    <w:pPr>
      <w:spacing w:before="100" w:beforeAutospacing="1" w:after="100" w:afterAutospacing="1" w:line="240" w:lineRule="auto"/>
    </w:pPr>
    <w:rPr>
      <w:rFonts w:ascii="SimSun" w:eastAsia="SimSun" w:hAnsi="SimSun" w:cs="SimSun"/>
      <w:kern w:val="0"/>
      <w:sz w:val="24"/>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hen.bo@zs-hosptial.sh.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4</cp:revision>
  <dcterms:created xsi:type="dcterms:W3CDTF">2023-08-03T07:55:00Z</dcterms:created>
  <dcterms:modified xsi:type="dcterms:W3CDTF">2024-12-21T11:34:00Z</dcterms:modified>
</cp:coreProperties>
</file>