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1795" w14:textId="77777777" w:rsidR="007A4EFE" w:rsidRPr="009F30C2" w:rsidRDefault="007A4EFE" w:rsidP="007A4EFE">
      <w:pPr>
        <w:rPr>
          <w:rStyle w:val="rynqvb"/>
          <w:b/>
          <w:bCs/>
          <w:sz w:val="28"/>
          <w:lang w:val="en"/>
        </w:rPr>
      </w:pPr>
      <w:r w:rsidRPr="009F30C2">
        <w:rPr>
          <w:rStyle w:val="rynqvb"/>
          <w:b/>
          <w:bCs/>
          <w:sz w:val="28"/>
          <w:lang w:val="en"/>
        </w:rPr>
        <w:t>Highly stable antitumor silver-lipid nanoparticles optimized for targeted therapy</w:t>
      </w:r>
    </w:p>
    <w:p w14:paraId="2B151E87" w14:textId="77777777" w:rsidR="001C6B81" w:rsidRPr="009F30C2" w:rsidRDefault="001C6B81" w:rsidP="001C6B81">
      <w:pPr>
        <w:rPr>
          <w:rStyle w:val="rynqvb"/>
          <w:lang w:val="en"/>
        </w:rPr>
      </w:pPr>
    </w:p>
    <w:p w14:paraId="6440F124" w14:textId="77777777" w:rsidR="001C6B81" w:rsidRPr="009F30C2" w:rsidRDefault="001C6B81" w:rsidP="001C6B81">
      <w:pPr>
        <w:spacing w:line="480" w:lineRule="auto"/>
        <w:rPr>
          <w:rStyle w:val="rynqvb"/>
          <w:sz w:val="22"/>
          <w:szCs w:val="24"/>
          <w:lang w:val="en"/>
        </w:rPr>
      </w:pPr>
      <w:r w:rsidRPr="009F30C2">
        <w:rPr>
          <w:rStyle w:val="rynqvb"/>
          <w:sz w:val="22"/>
          <w:szCs w:val="24"/>
          <w:lang w:val="en"/>
        </w:rPr>
        <w:t>Ammar Darwish</w:t>
      </w:r>
      <w:r w:rsidRPr="009F30C2">
        <w:rPr>
          <w:rStyle w:val="rynqvb"/>
          <w:sz w:val="22"/>
          <w:szCs w:val="24"/>
          <w:vertAlign w:val="superscript"/>
          <w:lang w:val="en"/>
        </w:rPr>
        <w:t>1</w:t>
      </w:r>
      <w:r w:rsidRPr="009F30C2">
        <w:rPr>
          <w:rStyle w:val="rynqvb"/>
          <w:sz w:val="22"/>
          <w:szCs w:val="24"/>
          <w:lang w:val="en"/>
        </w:rPr>
        <w:t>, Nikolett Sándor</w:t>
      </w:r>
      <w:r w:rsidRPr="009F30C2">
        <w:rPr>
          <w:rStyle w:val="rynqvb"/>
          <w:sz w:val="22"/>
          <w:szCs w:val="24"/>
          <w:vertAlign w:val="superscript"/>
          <w:lang w:val="en"/>
        </w:rPr>
        <w:t>1</w:t>
      </w:r>
      <w:r w:rsidRPr="009F30C2">
        <w:rPr>
          <w:rStyle w:val="rynqvb"/>
          <w:sz w:val="22"/>
          <w:szCs w:val="24"/>
          <w:lang w:val="en"/>
        </w:rPr>
        <w:t>, Imre Szenti</w:t>
      </w:r>
      <w:r w:rsidRPr="009F30C2">
        <w:rPr>
          <w:rStyle w:val="rynqvb"/>
          <w:sz w:val="22"/>
          <w:szCs w:val="24"/>
          <w:vertAlign w:val="superscript"/>
          <w:lang w:val="en"/>
        </w:rPr>
        <w:t>2</w:t>
      </w:r>
      <w:r w:rsidRPr="009F30C2">
        <w:rPr>
          <w:rStyle w:val="rynqvb"/>
          <w:sz w:val="22"/>
          <w:szCs w:val="24"/>
          <w:lang w:val="en"/>
        </w:rPr>
        <w:t>, Tamás Marosvölgyi</w:t>
      </w:r>
      <w:r w:rsidRPr="009F30C2">
        <w:rPr>
          <w:rStyle w:val="rynqvb"/>
          <w:sz w:val="22"/>
          <w:szCs w:val="24"/>
          <w:vertAlign w:val="superscript"/>
          <w:lang w:val="en"/>
        </w:rPr>
        <w:t>3</w:t>
      </w:r>
      <w:r w:rsidRPr="009F30C2">
        <w:rPr>
          <w:rStyle w:val="rynqvb"/>
          <w:sz w:val="22"/>
          <w:szCs w:val="24"/>
          <w:lang w:val="en"/>
        </w:rPr>
        <w:t>, Kata Juhász</w:t>
      </w:r>
      <w:r w:rsidRPr="009F30C2">
        <w:rPr>
          <w:rStyle w:val="rynqvb"/>
          <w:sz w:val="22"/>
          <w:szCs w:val="24"/>
          <w:vertAlign w:val="superscript"/>
          <w:lang w:val="en"/>
        </w:rPr>
        <w:t>1</w:t>
      </w:r>
      <w:r w:rsidRPr="009F30C2">
        <w:rPr>
          <w:rStyle w:val="rynqvb"/>
          <w:sz w:val="22"/>
          <w:szCs w:val="24"/>
          <w:lang w:val="en"/>
        </w:rPr>
        <w:t>, Andrea Rónavári</w:t>
      </w:r>
      <w:r w:rsidRPr="009F30C2">
        <w:rPr>
          <w:rStyle w:val="rynqvb"/>
          <w:sz w:val="22"/>
          <w:szCs w:val="24"/>
          <w:vertAlign w:val="superscript"/>
          <w:lang w:val="en"/>
        </w:rPr>
        <w:t>2</w:t>
      </w:r>
      <w:r w:rsidRPr="009F30C2">
        <w:rPr>
          <w:rStyle w:val="rynqvb"/>
          <w:sz w:val="22"/>
          <w:szCs w:val="24"/>
          <w:lang w:val="en"/>
        </w:rPr>
        <w:t>, Edi Kachal</w:t>
      </w:r>
      <w:r w:rsidRPr="009F30C2">
        <w:rPr>
          <w:rStyle w:val="rynqvb"/>
          <w:sz w:val="22"/>
          <w:szCs w:val="24"/>
          <w:vertAlign w:val="superscript"/>
          <w:lang w:val="en"/>
        </w:rPr>
        <w:t>2</w:t>
      </w:r>
      <w:r w:rsidRPr="009F30C2">
        <w:rPr>
          <w:rStyle w:val="rynqvb"/>
          <w:sz w:val="22"/>
          <w:szCs w:val="24"/>
          <w:lang w:val="en"/>
        </w:rPr>
        <w:t>, Bence Kutus</w:t>
      </w:r>
      <w:r w:rsidRPr="009F30C2">
        <w:rPr>
          <w:rStyle w:val="rynqvb"/>
          <w:sz w:val="22"/>
          <w:szCs w:val="24"/>
          <w:vertAlign w:val="superscript"/>
          <w:lang w:val="en"/>
        </w:rPr>
        <w:t>4</w:t>
      </w:r>
      <w:r w:rsidRPr="009F30C2">
        <w:rPr>
          <w:rStyle w:val="rynqvb"/>
          <w:sz w:val="22"/>
          <w:szCs w:val="24"/>
          <w:lang w:val="en"/>
        </w:rPr>
        <w:t>, Zoltán Kónya</w:t>
      </w:r>
      <w:r w:rsidRPr="009F30C2">
        <w:rPr>
          <w:rStyle w:val="rynqvb"/>
          <w:sz w:val="22"/>
          <w:szCs w:val="24"/>
          <w:vertAlign w:val="superscript"/>
          <w:lang w:val="en"/>
        </w:rPr>
        <w:t>2</w:t>
      </w:r>
      <w:r w:rsidRPr="009F30C2">
        <w:rPr>
          <w:rStyle w:val="rynqvb"/>
          <w:sz w:val="22"/>
          <w:szCs w:val="24"/>
          <w:lang w:val="en"/>
        </w:rPr>
        <w:t>, Zsolt Balogi</w:t>
      </w:r>
      <w:r w:rsidRPr="009F30C2">
        <w:rPr>
          <w:rStyle w:val="rynqvb"/>
          <w:sz w:val="22"/>
          <w:szCs w:val="24"/>
          <w:vertAlign w:val="superscript"/>
          <w:lang w:val="en"/>
        </w:rPr>
        <w:t>1</w:t>
      </w:r>
    </w:p>
    <w:p w14:paraId="2A6FD296" w14:textId="77777777" w:rsidR="001C6B81" w:rsidRPr="009F30C2" w:rsidRDefault="001C6B81" w:rsidP="001C6B81">
      <w:pPr>
        <w:spacing w:line="480" w:lineRule="auto"/>
        <w:rPr>
          <w:rStyle w:val="rynqvb"/>
          <w:sz w:val="22"/>
          <w:szCs w:val="24"/>
          <w:lang w:val="en"/>
        </w:rPr>
      </w:pPr>
    </w:p>
    <w:p w14:paraId="1EEE9C89" w14:textId="77777777" w:rsidR="001C6B81" w:rsidRPr="009F30C2" w:rsidRDefault="001C6B81" w:rsidP="001C6B81">
      <w:pPr>
        <w:spacing w:line="480" w:lineRule="auto"/>
        <w:rPr>
          <w:rStyle w:val="rynqvb"/>
          <w:sz w:val="22"/>
          <w:szCs w:val="24"/>
          <w:lang w:val="en"/>
        </w:rPr>
      </w:pPr>
      <w:r w:rsidRPr="009F30C2">
        <w:rPr>
          <w:rStyle w:val="rynqvb"/>
          <w:sz w:val="22"/>
          <w:szCs w:val="24"/>
          <w:vertAlign w:val="superscript"/>
          <w:lang w:val="en"/>
        </w:rPr>
        <w:t>1</w:t>
      </w:r>
      <w:r w:rsidRPr="009F30C2">
        <w:rPr>
          <w:rStyle w:val="rynqvb"/>
          <w:sz w:val="22"/>
          <w:szCs w:val="24"/>
          <w:lang w:val="en"/>
        </w:rPr>
        <w:t>Institute of Biochemistry and Medical Chemistry, Medical School, University of Pécs, Hungary</w:t>
      </w:r>
    </w:p>
    <w:p w14:paraId="42F7F7A8" w14:textId="77777777" w:rsidR="001C6B81" w:rsidRPr="009F30C2" w:rsidRDefault="001C6B81" w:rsidP="001C6B81">
      <w:pPr>
        <w:spacing w:line="480" w:lineRule="auto"/>
        <w:rPr>
          <w:rStyle w:val="rynqvb"/>
          <w:sz w:val="22"/>
          <w:szCs w:val="24"/>
          <w:lang w:val="en"/>
        </w:rPr>
      </w:pPr>
      <w:r w:rsidRPr="009F30C2">
        <w:rPr>
          <w:rStyle w:val="rynqvb"/>
          <w:sz w:val="22"/>
          <w:szCs w:val="24"/>
          <w:vertAlign w:val="superscript"/>
          <w:lang w:val="en"/>
        </w:rPr>
        <w:t>2</w:t>
      </w:r>
      <w:r w:rsidRPr="009F30C2">
        <w:rPr>
          <w:rStyle w:val="rynqvb"/>
          <w:sz w:val="22"/>
          <w:szCs w:val="24"/>
          <w:lang w:val="en"/>
        </w:rPr>
        <w:t>Department of Applied and Environmental Chemistry, University of Szeged, Hungary</w:t>
      </w:r>
    </w:p>
    <w:p w14:paraId="3DE4B13D" w14:textId="77777777" w:rsidR="001C6B81" w:rsidRPr="009F30C2" w:rsidRDefault="001C6B81" w:rsidP="001C6B81">
      <w:pPr>
        <w:spacing w:line="480" w:lineRule="auto"/>
        <w:rPr>
          <w:rStyle w:val="rynqvb"/>
          <w:sz w:val="22"/>
          <w:szCs w:val="24"/>
          <w:lang w:val="en"/>
        </w:rPr>
      </w:pPr>
      <w:r w:rsidRPr="009F30C2">
        <w:rPr>
          <w:rStyle w:val="rynqvb"/>
          <w:sz w:val="22"/>
          <w:szCs w:val="24"/>
          <w:vertAlign w:val="superscript"/>
          <w:lang w:val="en"/>
        </w:rPr>
        <w:t>3</w:t>
      </w:r>
      <w:r w:rsidRPr="009F30C2">
        <w:rPr>
          <w:rStyle w:val="rynqvb"/>
          <w:sz w:val="22"/>
          <w:szCs w:val="24"/>
          <w:lang w:val="en"/>
        </w:rPr>
        <w:t>Institute of Bioanalysis, Medical School, University of Pécs, Hungary</w:t>
      </w:r>
    </w:p>
    <w:p w14:paraId="09703666" w14:textId="77777777" w:rsidR="001C6B81" w:rsidRPr="009F30C2" w:rsidRDefault="001C6B81" w:rsidP="001C6B81">
      <w:pPr>
        <w:spacing w:line="480" w:lineRule="auto"/>
        <w:rPr>
          <w:rStyle w:val="rynqvb"/>
          <w:lang w:val="en"/>
        </w:rPr>
      </w:pPr>
      <w:r w:rsidRPr="009F30C2">
        <w:rPr>
          <w:rStyle w:val="rynqvb"/>
          <w:sz w:val="22"/>
          <w:szCs w:val="24"/>
          <w:vertAlign w:val="superscript"/>
          <w:lang w:val="en"/>
        </w:rPr>
        <w:t>4</w:t>
      </w:r>
      <w:r w:rsidRPr="009F30C2">
        <w:rPr>
          <w:rStyle w:val="rynqvb"/>
          <w:sz w:val="22"/>
          <w:szCs w:val="24"/>
          <w:lang w:val="en"/>
        </w:rPr>
        <w:t>Department of Molecular and Analytical Chemistry, University of Szeged, Hungary</w:t>
      </w:r>
    </w:p>
    <w:p w14:paraId="308FA9B3" w14:textId="77777777" w:rsidR="00BC2D5F" w:rsidRPr="009F30C2" w:rsidRDefault="00BC2D5F" w:rsidP="001C6B81">
      <w:pPr>
        <w:rPr>
          <w:rStyle w:val="rynqvb"/>
          <w:sz w:val="22"/>
          <w:szCs w:val="24"/>
          <w:lang w:val="en"/>
        </w:rPr>
      </w:pPr>
    </w:p>
    <w:p w14:paraId="25BAAFF2" w14:textId="3BE3F8A7" w:rsidR="001C6B81" w:rsidRPr="009F30C2" w:rsidRDefault="008A687A" w:rsidP="001C6B81">
      <w:pPr>
        <w:rPr>
          <w:rStyle w:val="rynqvb"/>
          <w:sz w:val="22"/>
          <w:szCs w:val="24"/>
          <w:lang w:val="en"/>
        </w:rPr>
      </w:pPr>
      <w:r w:rsidRPr="009F30C2">
        <w:rPr>
          <w:rStyle w:val="rynqvb"/>
          <w:sz w:val="22"/>
          <w:szCs w:val="24"/>
          <w:lang w:val="en"/>
        </w:rPr>
        <w:t>c</w:t>
      </w:r>
      <w:r w:rsidR="00A7349C" w:rsidRPr="009F30C2">
        <w:rPr>
          <w:rStyle w:val="rynqvb"/>
          <w:sz w:val="22"/>
          <w:szCs w:val="24"/>
          <w:lang w:val="en"/>
        </w:rPr>
        <w:t>orrespondence to Dr. Zsolt Balogi, email: zsolt.balogi@aok.pte.hu</w:t>
      </w:r>
    </w:p>
    <w:p w14:paraId="4F783304" w14:textId="77777777" w:rsidR="001C6B81" w:rsidRPr="009F30C2" w:rsidRDefault="001C6B81" w:rsidP="001C6B81">
      <w:pPr>
        <w:rPr>
          <w:rStyle w:val="rynqvb"/>
          <w:sz w:val="22"/>
          <w:szCs w:val="24"/>
          <w:lang w:val="en"/>
        </w:rPr>
      </w:pPr>
    </w:p>
    <w:p w14:paraId="77B37552" w14:textId="48E5179D" w:rsidR="001C6B81" w:rsidRPr="009F30C2" w:rsidRDefault="002B7CB3" w:rsidP="002B7CB3">
      <w:pPr>
        <w:spacing w:line="480" w:lineRule="auto"/>
        <w:ind w:left="284" w:hanging="284"/>
        <w:jc w:val="both"/>
        <w:rPr>
          <w:rStyle w:val="rynqvb"/>
          <w:b/>
          <w:bCs/>
          <w:sz w:val="28"/>
          <w:lang w:val="en"/>
        </w:rPr>
      </w:pPr>
      <w:r w:rsidRPr="009F30C2">
        <w:rPr>
          <w:rStyle w:val="rynqvb"/>
          <w:b/>
          <w:bCs/>
          <w:sz w:val="28"/>
          <w:lang w:val="en"/>
        </w:rPr>
        <w:t>S</w:t>
      </w:r>
      <w:r w:rsidR="001C6B81" w:rsidRPr="009F30C2">
        <w:rPr>
          <w:rStyle w:val="rynqvb"/>
          <w:b/>
          <w:bCs/>
          <w:sz w:val="28"/>
          <w:lang w:val="en"/>
        </w:rPr>
        <w:t xml:space="preserve">upplementary </w:t>
      </w:r>
      <w:r w:rsidRPr="009F30C2">
        <w:rPr>
          <w:rStyle w:val="rynqvb"/>
          <w:b/>
          <w:bCs/>
          <w:sz w:val="28"/>
          <w:lang w:val="en"/>
        </w:rPr>
        <w:t>data</w:t>
      </w:r>
    </w:p>
    <w:p w14:paraId="2B4A7BEF" w14:textId="72F9AA11" w:rsidR="00B313D9" w:rsidRPr="009F30C2" w:rsidRDefault="00193C26" w:rsidP="00BC2D5F">
      <w:pPr>
        <w:spacing w:line="480" w:lineRule="auto"/>
        <w:ind w:left="284" w:hanging="284"/>
        <w:jc w:val="center"/>
        <w:rPr>
          <w:rStyle w:val="rynqvb"/>
          <w:b/>
          <w:bCs/>
          <w:sz w:val="28"/>
          <w:lang w:val="en"/>
        </w:rPr>
      </w:pPr>
      <w:r w:rsidRPr="009F30C2">
        <w:rPr>
          <w:b/>
          <w:bCs/>
          <w:noProof/>
          <w:sz w:val="28"/>
          <w14:ligatures w14:val="none"/>
        </w:rPr>
        <w:drawing>
          <wp:inline distT="0" distB="0" distL="0" distR="0" wp14:anchorId="6EFE496E" wp14:editId="525F8687">
            <wp:extent cx="4734473" cy="39464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RD NN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868" cy="399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29FA" w14:textId="02F3A4D4" w:rsidR="00B313D9" w:rsidRPr="009F30C2" w:rsidRDefault="00B313D9" w:rsidP="008B04B7">
      <w:pPr>
        <w:spacing w:line="480" w:lineRule="auto"/>
        <w:jc w:val="both"/>
        <w:rPr>
          <w:rFonts w:eastAsia="+mn-ea"/>
          <w:color w:val="000000"/>
          <w:kern w:val="24"/>
          <w:sz w:val="22"/>
          <w:szCs w:val="22"/>
        </w:rPr>
      </w:pPr>
      <w:r w:rsidRPr="009F30C2">
        <w:rPr>
          <w:rFonts w:eastAsia="+mn-ea"/>
          <w:b/>
          <w:bCs/>
          <w:color w:val="000000"/>
          <w:kern w:val="24"/>
          <w:sz w:val="22"/>
          <w:szCs w:val="22"/>
        </w:rPr>
        <w:t>Supplementary Figure 1</w:t>
      </w:r>
      <w:r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r w:rsidR="00D53120" w:rsidRPr="009F30C2">
        <w:rPr>
          <w:rFonts w:eastAsia="+mn-ea"/>
          <w:color w:val="000000"/>
          <w:kern w:val="24"/>
          <w:sz w:val="22"/>
          <w:szCs w:val="22"/>
        </w:rPr>
        <w:t>X-ray diffraction pattern</w:t>
      </w:r>
      <w:r w:rsidR="00172B91" w:rsidRPr="009F30C2">
        <w:rPr>
          <w:rFonts w:eastAsia="+mn-ea"/>
          <w:color w:val="000000"/>
          <w:kern w:val="24"/>
          <w:sz w:val="22"/>
          <w:szCs w:val="22"/>
        </w:rPr>
        <w:t>s</w:t>
      </w:r>
      <w:r w:rsidRPr="009F30C2">
        <w:rPr>
          <w:rFonts w:eastAsia="+mn-ea"/>
          <w:color w:val="000000"/>
          <w:kern w:val="24"/>
          <w:sz w:val="22"/>
          <w:szCs w:val="22"/>
        </w:rPr>
        <w:t xml:space="preserve"> of</w:t>
      </w:r>
      <w:r w:rsidR="00743824"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r w:rsidR="00BC2D5F" w:rsidRPr="009F30C2">
        <w:rPr>
          <w:rFonts w:eastAsia="+mn-ea"/>
          <w:color w:val="000000"/>
          <w:kern w:val="24"/>
          <w:sz w:val="22"/>
          <w:szCs w:val="22"/>
        </w:rPr>
        <w:t xml:space="preserve">free </w:t>
      </w:r>
      <w:proofErr w:type="spellStart"/>
      <w:r w:rsidR="00BC2D5F" w:rsidRPr="009F30C2">
        <w:rPr>
          <w:rFonts w:eastAsia="+mn-ea"/>
          <w:color w:val="000000"/>
          <w:kern w:val="24"/>
          <w:sz w:val="22"/>
          <w:szCs w:val="22"/>
        </w:rPr>
        <w:t>AgNPs</w:t>
      </w:r>
      <w:proofErr w:type="spellEnd"/>
      <w:r w:rsidR="00BC2D5F" w:rsidRPr="009F30C2">
        <w:rPr>
          <w:rFonts w:eastAsia="+mn-ea"/>
          <w:color w:val="000000"/>
          <w:kern w:val="24"/>
          <w:sz w:val="22"/>
          <w:szCs w:val="22"/>
        </w:rPr>
        <w:t xml:space="preserve"> and PC/PG/SM-</w:t>
      </w:r>
      <w:proofErr w:type="spellStart"/>
      <w:r w:rsidR="00BC2D5F" w:rsidRPr="009F30C2">
        <w:rPr>
          <w:rFonts w:eastAsia="+mn-ea"/>
          <w:color w:val="000000"/>
          <w:kern w:val="24"/>
          <w:sz w:val="22"/>
          <w:szCs w:val="22"/>
        </w:rPr>
        <w:t>L</w:t>
      </w:r>
      <w:r w:rsidR="00172B91" w:rsidRPr="009F30C2">
        <w:rPr>
          <w:rFonts w:eastAsia="+mn-ea"/>
          <w:color w:val="000000"/>
          <w:kern w:val="24"/>
          <w:sz w:val="22"/>
          <w:szCs w:val="22"/>
        </w:rPr>
        <w:t>Ag</w:t>
      </w:r>
      <w:r w:rsidR="00BC2D5F" w:rsidRPr="009F30C2">
        <w:rPr>
          <w:rFonts w:eastAsia="+mn-ea"/>
          <w:color w:val="000000"/>
          <w:kern w:val="24"/>
          <w:sz w:val="22"/>
          <w:szCs w:val="22"/>
        </w:rPr>
        <w:t>s</w:t>
      </w:r>
      <w:proofErr w:type="spellEnd"/>
      <w:r w:rsidR="00BC2D5F" w:rsidRPr="009F30C2">
        <w:rPr>
          <w:rFonts w:eastAsia="+mn-ea"/>
          <w:color w:val="000000"/>
          <w:kern w:val="24"/>
          <w:sz w:val="22"/>
          <w:szCs w:val="22"/>
        </w:rPr>
        <w:t xml:space="preserve"> of different types</w:t>
      </w:r>
      <w:r w:rsidRPr="009F30C2">
        <w:rPr>
          <w:rFonts w:eastAsia="+mn-ea"/>
          <w:color w:val="000000"/>
          <w:kern w:val="24"/>
          <w:sz w:val="22"/>
          <w:szCs w:val="22"/>
        </w:rPr>
        <w:t>.</w:t>
      </w:r>
    </w:p>
    <w:p w14:paraId="084AC460" w14:textId="77777777" w:rsidR="00BC2D5F" w:rsidRPr="009F30C2" w:rsidRDefault="00BC2D5F">
      <w:pPr>
        <w:spacing w:line="480" w:lineRule="auto"/>
        <w:ind w:left="284" w:hanging="284"/>
        <w:jc w:val="both"/>
        <w:rPr>
          <w:rStyle w:val="rynqvb"/>
          <w:b/>
          <w:bCs/>
          <w:sz w:val="28"/>
          <w:lang w:val="en"/>
        </w:rPr>
      </w:pPr>
    </w:p>
    <w:p w14:paraId="53890353" w14:textId="4E9FF0FA" w:rsidR="002B7CB3" w:rsidRPr="009F30C2" w:rsidRDefault="002B7CB3">
      <w:pPr>
        <w:spacing w:line="240" w:lineRule="auto"/>
        <w:ind w:left="284" w:hanging="284"/>
        <w:jc w:val="center"/>
        <w:rPr>
          <w:rStyle w:val="rynqvb"/>
          <w:b/>
          <w:bCs/>
          <w:sz w:val="28"/>
          <w:lang w:val="en"/>
        </w:rPr>
      </w:pPr>
      <w:r w:rsidRPr="009F30C2">
        <w:rPr>
          <w:b/>
          <w:bCs/>
          <w:noProof/>
          <w:sz w:val="28"/>
          <w14:ligatures w14:val="none"/>
        </w:rPr>
        <w:drawing>
          <wp:inline distT="0" distB="0" distL="0" distR="0" wp14:anchorId="68EC7DCF" wp14:editId="3F259EB8">
            <wp:extent cx="3453938" cy="22153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 figure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938" cy="221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5CFE" w14:textId="77777777" w:rsidR="00BC2D5F" w:rsidRPr="009F30C2" w:rsidRDefault="00BC2D5F" w:rsidP="00BC2D5F">
      <w:pPr>
        <w:spacing w:line="240" w:lineRule="auto"/>
        <w:ind w:left="284" w:hanging="284"/>
        <w:jc w:val="center"/>
        <w:rPr>
          <w:rStyle w:val="rynqvb"/>
          <w:b/>
          <w:bCs/>
          <w:sz w:val="28"/>
          <w:lang w:val="en"/>
        </w:rPr>
      </w:pPr>
    </w:p>
    <w:p w14:paraId="3AA8BEB4" w14:textId="769DB5DC" w:rsidR="001C6B81" w:rsidRPr="009F30C2" w:rsidRDefault="001C6B81" w:rsidP="00ED5D77">
      <w:pPr>
        <w:spacing w:line="480" w:lineRule="auto"/>
        <w:ind w:left="284" w:hanging="284"/>
        <w:jc w:val="both"/>
        <w:rPr>
          <w:rFonts w:eastAsia="+mn-ea"/>
          <w:color w:val="000000"/>
          <w:kern w:val="24"/>
          <w:sz w:val="22"/>
          <w:szCs w:val="22"/>
        </w:rPr>
      </w:pPr>
      <w:r w:rsidRPr="009F30C2">
        <w:rPr>
          <w:rFonts w:eastAsia="+mn-ea"/>
          <w:b/>
          <w:bCs/>
          <w:color w:val="000000"/>
          <w:kern w:val="24"/>
          <w:sz w:val="22"/>
          <w:szCs w:val="22"/>
        </w:rPr>
        <w:t xml:space="preserve">Supplementary Figure </w:t>
      </w:r>
      <w:r w:rsidR="00B313D9" w:rsidRPr="009F30C2">
        <w:rPr>
          <w:rFonts w:eastAsia="+mn-ea"/>
          <w:b/>
          <w:bCs/>
          <w:color w:val="000000"/>
          <w:kern w:val="24"/>
          <w:sz w:val="22"/>
          <w:szCs w:val="22"/>
        </w:rPr>
        <w:t>2</w:t>
      </w:r>
      <w:r w:rsidR="00B313D9"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r w:rsidRPr="009F30C2">
        <w:rPr>
          <w:rFonts w:eastAsia="+mn-ea"/>
          <w:color w:val="000000"/>
          <w:kern w:val="24"/>
          <w:sz w:val="22"/>
          <w:szCs w:val="22"/>
        </w:rPr>
        <w:t xml:space="preserve">Differential DGC profiles of free </w:t>
      </w:r>
      <w:proofErr w:type="spellStart"/>
      <w:r w:rsidRPr="009F30C2">
        <w:rPr>
          <w:rFonts w:eastAsia="+mn-ea"/>
          <w:color w:val="000000"/>
          <w:kern w:val="24"/>
          <w:sz w:val="22"/>
          <w:szCs w:val="22"/>
        </w:rPr>
        <w:t>AgNPs</w:t>
      </w:r>
      <w:proofErr w:type="spellEnd"/>
      <w:r w:rsidRPr="009F30C2">
        <w:rPr>
          <w:rFonts w:eastAsia="+mn-ea"/>
          <w:color w:val="000000"/>
          <w:kern w:val="24"/>
          <w:sz w:val="22"/>
          <w:szCs w:val="22"/>
        </w:rPr>
        <w:t xml:space="preserve"> and PC-</w:t>
      </w:r>
      <w:proofErr w:type="spellStart"/>
      <w:r w:rsidRPr="009F30C2">
        <w:rPr>
          <w:rFonts w:eastAsia="+mn-ea"/>
          <w:color w:val="000000"/>
          <w:kern w:val="24"/>
          <w:sz w:val="22"/>
          <w:szCs w:val="22"/>
        </w:rPr>
        <w:t>LAgs</w:t>
      </w:r>
      <w:proofErr w:type="spellEnd"/>
      <w:r w:rsidRPr="009F30C2">
        <w:rPr>
          <w:rFonts w:eastAsia="+mn-ea"/>
          <w:color w:val="000000"/>
          <w:kern w:val="24"/>
          <w:sz w:val="22"/>
          <w:szCs w:val="22"/>
        </w:rPr>
        <w:t xml:space="preserve"> of different types</w:t>
      </w:r>
      <w:r w:rsidR="00A830EB" w:rsidRPr="009F30C2">
        <w:rPr>
          <w:rFonts w:eastAsia="+mn-ea"/>
          <w:color w:val="000000"/>
          <w:kern w:val="24"/>
          <w:sz w:val="22"/>
          <w:szCs w:val="22"/>
        </w:rPr>
        <w:t>.</w:t>
      </w:r>
    </w:p>
    <w:p w14:paraId="76A8D93A" w14:textId="457D44EB" w:rsidR="001C6B81" w:rsidRPr="009F30C2" w:rsidRDefault="002B7CB3" w:rsidP="00BC2D5F">
      <w:pPr>
        <w:spacing w:line="240" w:lineRule="auto"/>
        <w:ind w:left="284" w:hanging="284"/>
        <w:jc w:val="both"/>
        <w:rPr>
          <w:rFonts w:eastAsia="+mn-ea"/>
          <w:color w:val="000000"/>
          <w:kern w:val="24"/>
          <w:sz w:val="22"/>
          <w:szCs w:val="22"/>
        </w:rPr>
      </w:pPr>
      <w:r w:rsidRPr="009F30C2">
        <w:rPr>
          <w:rFonts w:eastAsia="+mn-ea"/>
          <w:noProof/>
          <w:color w:val="000000"/>
          <w:kern w:val="24"/>
          <w:sz w:val="22"/>
          <w:szCs w:val="22"/>
          <w14:ligatures w14:val="none"/>
        </w:rPr>
        <w:drawing>
          <wp:inline distT="0" distB="0" distL="0" distR="0" wp14:anchorId="71C9D4B8" wp14:editId="0A16F0DA">
            <wp:extent cx="5760720" cy="2366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 figure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709D6" w14:textId="77777777" w:rsidR="005E533A" w:rsidRPr="009F30C2" w:rsidRDefault="005E533A" w:rsidP="00BC2D5F">
      <w:pPr>
        <w:spacing w:line="240" w:lineRule="auto"/>
        <w:ind w:left="284" w:hanging="284"/>
        <w:jc w:val="both"/>
        <w:rPr>
          <w:rFonts w:eastAsia="+mn-ea"/>
          <w:color w:val="000000"/>
          <w:kern w:val="24"/>
          <w:sz w:val="22"/>
          <w:szCs w:val="22"/>
        </w:rPr>
      </w:pPr>
    </w:p>
    <w:p w14:paraId="46A27E1B" w14:textId="77158133" w:rsidR="00157B0F" w:rsidRPr="009F30C2" w:rsidRDefault="001C6B81" w:rsidP="00ED5D77">
      <w:pPr>
        <w:spacing w:line="480" w:lineRule="auto"/>
        <w:jc w:val="both"/>
        <w:rPr>
          <w:rFonts w:eastAsia="+mn-ea"/>
          <w:color w:val="000000"/>
          <w:kern w:val="24"/>
          <w:sz w:val="22"/>
          <w:szCs w:val="22"/>
        </w:rPr>
      </w:pPr>
      <w:r w:rsidRPr="009F30C2">
        <w:rPr>
          <w:rFonts w:eastAsia="+mn-ea"/>
          <w:b/>
          <w:bCs/>
          <w:color w:val="000000"/>
          <w:kern w:val="24"/>
          <w:sz w:val="22"/>
          <w:szCs w:val="22"/>
        </w:rPr>
        <w:t xml:space="preserve">Supplementary Figure </w:t>
      </w:r>
      <w:r w:rsidR="00B313D9" w:rsidRPr="009F30C2">
        <w:rPr>
          <w:rFonts w:eastAsia="+mn-ea"/>
          <w:b/>
          <w:bCs/>
          <w:color w:val="000000"/>
          <w:kern w:val="24"/>
          <w:sz w:val="22"/>
          <w:szCs w:val="22"/>
        </w:rPr>
        <w:t>3</w:t>
      </w:r>
      <w:r w:rsidR="00B313D9"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r w:rsidRPr="009F30C2">
        <w:rPr>
          <w:rFonts w:eastAsia="+mn-ea"/>
          <w:color w:val="000000"/>
          <w:kern w:val="24"/>
          <w:sz w:val="22"/>
          <w:szCs w:val="22"/>
        </w:rPr>
        <w:t xml:space="preserve">Lipid content shift in the DGC fractions of </w:t>
      </w:r>
      <w:proofErr w:type="spellStart"/>
      <w:r w:rsidRPr="009F30C2">
        <w:rPr>
          <w:rFonts w:eastAsia="+mn-ea"/>
          <w:color w:val="000000"/>
          <w:kern w:val="24"/>
          <w:sz w:val="22"/>
          <w:szCs w:val="22"/>
        </w:rPr>
        <w:t>LAgs</w:t>
      </w:r>
      <w:proofErr w:type="spellEnd"/>
      <w:r w:rsidRPr="009F30C2">
        <w:rPr>
          <w:rFonts w:eastAsia="+mn-ea"/>
          <w:color w:val="000000"/>
          <w:kern w:val="24"/>
          <w:sz w:val="22"/>
          <w:szCs w:val="22"/>
        </w:rPr>
        <w:t xml:space="preserve">. Purified empty liposomes (L) (PC and PC/PG/SM) and corresponding </w:t>
      </w:r>
      <w:proofErr w:type="spellStart"/>
      <w:r w:rsidRPr="009F30C2">
        <w:rPr>
          <w:rFonts w:eastAsia="+mn-ea"/>
          <w:color w:val="000000"/>
          <w:kern w:val="24"/>
          <w:sz w:val="22"/>
          <w:szCs w:val="22"/>
        </w:rPr>
        <w:t>LAgs</w:t>
      </w:r>
      <w:proofErr w:type="spellEnd"/>
      <w:r w:rsidRPr="009F30C2">
        <w:rPr>
          <w:rFonts w:eastAsia="+mn-ea"/>
          <w:color w:val="000000"/>
          <w:kern w:val="24"/>
          <w:sz w:val="22"/>
          <w:szCs w:val="22"/>
        </w:rPr>
        <w:t xml:space="preserve"> were fractionated by DGC, followed by collection and lipid content analysis of each fraction. </w:t>
      </w:r>
      <w:proofErr w:type="gramStart"/>
      <w:r w:rsidRPr="009F30C2">
        <w:rPr>
          <w:rFonts w:eastAsia="+mn-ea"/>
          <w:color w:val="000000"/>
          <w:kern w:val="24"/>
          <w:sz w:val="22"/>
          <w:szCs w:val="22"/>
        </w:rPr>
        <w:t>Lipid</w:t>
      </w:r>
      <w:proofErr w:type="gramEnd"/>
      <w:r w:rsidRPr="009F30C2">
        <w:rPr>
          <w:rFonts w:eastAsia="+mn-ea"/>
          <w:color w:val="000000"/>
          <w:kern w:val="24"/>
          <w:sz w:val="22"/>
          <w:szCs w:val="22"/>
        </w:rPr>
        <w:t xml:space="preserve"> content of fractions is displayed as mol % of the total lipid amount bas</w:t>
      </w:r>
      <w:r w:rsidR="008805B4" w:rsidRPr="009F30C2">
        <w:rPr>
          <w:rFonts w:eastAsia="+mn-ea"/>
          <w:color w:val="000000"/>
          <w:kern w:val="24"/>
          <w:sz w:val="22"/>
          <w:szCs w:val="22"/>
        </w:rPr>
        <w:t>ed on fatty acid determination</w:t>
      </w:r>
      <w:r w:rsidR="00A830EB" w:rsidRPr="009F30C2">
        <w:rPr>
          <w:rFonts w:eastAsia="+mn-ea"/>
          <w:color w:val="000000"/>
          <w:kern w:val="24"/>
          <w:sz w:val="22"/>
          <w:szCs w:val="22"/>
        </w:rPr>
        <w:t>.</w:t>
      </w:r>
    </w:p>
    <w:p w14:paraId="56C37195" w14:textId="2E5BAD32" w:rsidR="001C6B81" w:rsidRPr="009F30C2" w:rsidRDefault="00157B0F" w:rsidP="00BC2D5F">
      <w:pPr>
        <w:spacing w:after="160" w:line="259" w:lineRule="auto"/>
        <w:rPr>
          <w:rFonts w:eastAsia="+mn-ea"/>
          <w:color w:val="000000"/>
          <w:kern w:val="24"/>
          <w:sz w:val="22"/>
          <w:szCs w:val="22"/>
        </w:rPr>
      </w:pPr>
      <w:r w:rsidRPr="009F30C2">
        <w:rPr>
          <w:rFonts w:eastAsia="+mn-ea"/>
          <w:color w:val="000000"/>
          <w:kern w:val="24"/>
          <w:sz w:val="22"/>
          <w:szCs w:val="22"/>
        </w:rPr>
        <w:br w:type="page"/>
      </w:r>
    </w:p>
    <w:p w14:paraId="62CCAB59" w14:textId="2CCC17F2" w:rsidR="001C6B81" w:rsidRPr="009F30C2" w:rsidRDefault="002B7CB3" w:rsidP="001C6B81">
      <w:pPr>
        <w:spacing w:line="480" w:lineRule="auto"/>
        <w:jc w:val="both"/>
        <w:rPr>
          <w:rFonts w:eastAsia="+mn-ea"/>
          <w:color w:val="000000"/>
          <w:kern w:val="24"/>
          <w:sz w:val="22"/>
          <w:szCs w:val="22"/>
        </w:rPr>
      </w:pPr>
      <w:r w:rsidRPr="009F30C2">
        <w:rPr>
          <w:rFonts w:eastAsia="+mn-ea"/>
          <w:noProof/>
          <w:color w:val="000000"/>
          <w:kern w:val="24"/>
          <w:sz w:val="22"/>
          <w:szCs w:val="22"/>
          <w14:ligatures w14:val="none"/>
        </w:rPr>
        <w:lastRenderedPageBreak/>
        <w:drawing>
          <wp:inline distT="0" distB="0" distL="0" distR="0" wp14:anchorId="2CBF60B4" wp14:editId="1847806F">
            <wp:extent cx="5760720" cy="2293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 figure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6517E" w14:textId="461A3C55" w:rsidR="009A27EA" w:rsidRPr="009F30C2" w:rsidRDefault="001C6B81" w:rsidP="008B04B7">
      <w:pPr>
        <w:spacing w:line="480" w:lineRule="auto"/>
        <w:jc w:val="both"/>
      </w:pPr>
      <w:r w:rsidRPr="009F30C2">
        <w:rPr>
          <w:rFonts w:eastAsia="+mn-ea"/>
          <w:b/>
          <w:bCs/>
          <w:color w:val="000000"/>
          <w:kern w:val="24"/>
          <w:sz w:val="22"/>
          <w:szCs w:val="22"/>
        </w:rPr>
        <w:t xml:space="preserve">Supplementary Figure </w:t>
      </w:r>
      <w:r w:rsidR="00B313D9" w:rsidRPr="009F30C2">
        <w:rPr>
          <w:rFonts w:eastAsia="+mn-ea"/>
          <w:b/>
          <w:bCs/>
          <w:color w:val="000000"/>
          <w:kern w:val="24"/>
          <w:sz w:val="22"/>
          <w:szCs w:val="22"/>
        </w:rPr>
        <w:t>4</w:t>
      </w:r>
      <w:r w:rsidR="00B313D9"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r w:rsidRPr="009F30C2">
        <w:rPr>
          <w:rFonts w:eastAsia="+mn-ea"/>
          <w:color w:val="000000"/>
          <w:kern w:val="24"/>
          <w:sz w:val="22"/>
          <w:szCs w:val="22"/>
        </w:rPr>
        <w:t xml:space="preserve">Concentration-dependent effect of free AgNPs on the viability of melanoma cells. Viability of A375 and RPMI-7951 cells was measured by MTT assay upon exposure to free AgNPs for 48 h. Based on ICP-MS measurements of purified vs. unpurified samples, 0.5 </w:t>
      </w:r>
      <w:r w:rsidRPr="009F30C2">
        <w:rPr>
          <w:rFonts w:ascii="Symbol" w:eastAsia="+mn-ea" w:hAnsi="Symbol"/>
          <w:color w:val="000000"/>
          <w:kern w:val="24"/>
          <w:sz w:val="22"/>
          <w:szCs w:val="22"/>
        </w:rPr>
        <w:t></w:t>
      </w:r>
      <w:r w:rsidRPr="009F30C2">
        <w:rPr>
          <w:rFonts w:eastAsia="+mn-ea"/>
          <w:color w:val="000000"/>
          <w:kern w:val="24"/>
          <w:sz w:val="22"/>
          <w:szCs w:val="22"/>
        </w:rPr>
        <w:t xml:space="preserve">g/ml </w:t>
      </w:r>
      <w:proofErr w:type="spellStart"/>
      <w:r w:rsidRPr="009F30C2">
        <w:rPr>
          <w:rFonts w:eastAsia="+mn-ea"/>
          <w:color w:val="000000"/>
          <w:kern w:val="24"/>
          <w:sz w:val="22"/>
          <w:szCs w:val="22"/>
        </w:rPr>
        <w:t>AgNP</w:t>
      </w:r>
      <w:proofErr w:type="spellEnd"/>
      <w:r w:rsidRPr="009F30C2">
        <w:rPr>
          <w:rFonts w:eastAsia="+mn-ea"/>
          <w:color w:val="000000"/>
          <w:kern w:val="24"/>
          <w:sz w:val="22"/>
          <w:szCs w:val="22"/>
        </w:rPr>
        <w:t xml:space="preserve"> levels are considered equivalent to th</w:t>
      </w:r>
      <w:r w:rsidR="008805B4" w:rsidRPr="009F30C2">
        <w:rPr>
          <w:rFonts w:eastAsia="+mn-ea"/>
          <w:color w:val="000000"/>
          <w:kern w:val="24"/>
          <w:sz w:val="22"/>
          <w:szCs w:val="22"/>
        </w:rPr>
        <w:t xml:space="preserve">e </w:t>
      </w:r>
      <w:proofErr w:type="spellStart"/>
      <w:r w:rsidR="008805B4" w:rsidRPr="009F30C2">
        <w:rPr>
          <w:rFonts w:eastAsia="+mn-ea"/>
          <w:color w:val="000000"/>
          <w:kern w:val="24"/>
          <w:sz w:val="22"/>
          <w:szCs w:val="22"/>
        </w:rPr>
        <w:t>AgNP</w:t>
      </w:r>
      <w:proofErr w:type="spellEnd"/>
      <w:r w:rsidR="008805B4" w:rsidRPr="009F30C2">
        <w:rPr>
          <w:rFonts w:eastAsia="+mn-ea"/>
          <w:color w:val="000000"/>
          <w:kern w:val="24"/>
          <w:sz w:val="22"/>
          <w:szCs w:val="22"/>
        </w:rPr>
        <w:t xml:space="preserve"> levels in </w:t>
      </w:r>
      <w:proofErr w:type="spellStart"/>
      <w:r w:rsidR="008805B4" w:rsidRPr="009F30C2">
        <w:rPr>
          <w:rFonts w:eastAsia="+mn-ea"/>
          <w:color w:val="000000"/>
          <w:kern w:val="24"/>
          <w:sz w:val="22"/>
          <w:szCs w:val="22"/>
        </w:rPr>
        <w:t>LAgs</w:t>
      </w:r>
      <w:proofErr w:type="spellEnd"/>
      <w:r w:rsidR="008805B4" w:rsidRPr="009F30C2">
        <w:rPr>
          <w:rFonts w:eastAsia="+mn-ea"/>
          <w:color w:val="000000"/>
          <w:kern w:val="24"/>
          <w:sz w:val="22"/>
          <w:szCs w:val="22"/>
        </w:rPr>
        <w:t xml:space="preserve"> (30 % EE)</w:t>
      </w:r>
      <w:r w:rsidR="008B04B7" w:rsidRPr="009F30C2">
        <w:rPr>
          <w:rFonts w:eastAsia="+mn-ea"/>
          <w:color w:val="000000"/>
          <w:kern w:val="24"/>
          <w:sz w:val="22"/>
          <w:szCs w:val="22"/>
        </w:rPr>
        <w:t>.</w:t>
      </w:r>
      <w:r w:rsidR="002B7CB3"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r w:rsidR="008B04B7" w:rsidRPr="009F30C2">
        <w:rPr>
          <w:rFonts w:eastAsia="+mn-ea"/>
          <w:b/>
          <w:bCs/>
          <w:color w:val="000000"/>
          <w:kern w:val="24"/>
          <w:sz w:val="22"/>
          <w:szCs w:val="22"/>
        </w:rPr>
        <w:t>Note</w:t>
      </w:r>
      <w:r w:rsidR="008B04B7" w:rsidRPr="009F30C2">
        <w:rPr>
          <w:rFonts w:eastAsia="+mn-ea"/>
          <w:color w:val="000000"/>
          <w:kern w:val="24"/>
          <w:sz w:val="22"/>
          <w:szCs w:val="22"/>
        </w:rPr>
        <w:t xml:space="preserve">: </w:t>
      </w:r>
      <w:r w:rsidR="008B04B7" w:rsidRPr="009F30C2">
        <w:rPr>
          <w:sz w:val="22"/>
          <w:szCs w:val="22"/>
        </w:rPr>
        <w:t>n = 6</w:t>
      </w:r>
      <w:r w:rsidR="00A830EB" w:rsidRPr="009F30C2">
        <w:t>.</w:t>
      </w:r>
    </w:p>
    <w:p w14:paraId="673C3840" w14:textId="544D4F68" w:rsidR="009A27EA" w:rsidRPr="009F30C2" w:rsidRDefault="009A27EA">
      <w:pPr>
        <w:spacing w:after="160" w:line="259" w:lineRule="auto"/>
      </w:pPr>
    </w:p>
    <w:p w14:paraId="1BD70D0B" w14:textId="7AAE122B" w:rsidR="001C6B81" w:rsidRPr="009F30C2" w:rsidRDefault="00FA31DE" w:rsidP="00BC2D5F">
      <w:pPr>
        <w:spacing w:line="480" w:lineRule="auto"/>
        <w:jc w:val="center"/>
        <w:rPr>
          <w:rFonts w:eastAsia="+mn-ea"/>
          <w:color w:val="000000"/>
          <w:kern w:val="24"/>
          <w:sz w:val="22"/>
          <w:szCs w:val="22"/>
        </w:rPr>
      </w:pPr>
      <w:r w:rsidRPr="009F30C2">
        <w:rPr>
          <w:rFonts w:eastAsia="+mn-ea"/>
          <w:noProof/>
          <w:color w:val="000000"/>
          <w:kern w:val="24"/>
          <w:sz w:val="22"/>
          <w:szCs w:val="22"/>
          <w14:ligatures w14:val="none"/>
        </w:rPr>
        <w:drawing>
          <wp:inline distT="0" distB="0" distL="0" distR="0" wp14:anchorId="02FC0591" wp14:editId="4FC639F9">
            <wp:extent cx="2749296" cy="2889504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K MT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0152" w14:textId="14C3F2DD" w:rsidR="008D6B73" w:rsidRDefault="009A27EA" w:rsidP="008B04B7">
      <w:pPr>
        <w:spacing w:line="480" w:lineRule="auto"/>
        <w:jc w:val="both"/>
      </w:pPr>
      <w:r w:rsidRPr="009F30C2">
        <w:rPr>
          <w:rFonts w:eastAsia="+mn-ea"/>
          <w:b/>
          <w:bCs/>
          <w:color w:val="000000"/>
          <w:kern w:val="24"/>
          <w:sz w:val="22"/>
          <w:szCs w:val="22"/>
        </w:rPr>
        <w:t xml:space="preserve">Supplementary Figure </w:t>
      </w:r>
      <w:r w:rsidR="00B313D9" w:rsidRPr="009F30C2">
        <w:rPr>
          <w:rFonts w:eastAsia="+mn-ea"/>
          <w:b/>
          <w:bCs/>
          <w:color w:val="000000"/>
          <w:kern w:val="24"/>
          <w:sz w:val="22"/>
          <w:szCs w:val="22"/>
        </w:rPr>
        <w:t>5</w:t>
      </w:r>
      <w:r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r w:rsidR="00E84CC1" w:rsidRPr="009F30C2">
        <w:rPr>
          <w:rFonts w:eastAsia="+mn-ea"/>
          <w:color w:val="000000"/>
          <w:kern w:val="24"/>
          <w:sz w:val="22"/>
          <w:szCs w:val="22"/>
        </w:rPr>
        <w:t xml:space="preserve">Cell viability of HEK-293 cells measured by </w:t>
      </w:r>
      <w:r w:rsidR="00FA31DE" w:rsidRPr="009F30C2">
        <w:rPr>
          <w:rFonts w:eastAsia="+mn-ea"/>
          <w:color w:val="000000"/>
          <w:kern w:val="24"/>
          <w:sz w:val="22"/>
          <w:szCs w:val="22"/>
        </w:rPr>
        <w:t>MTT assay upon 48 h exposure to</w:t>
      </w:r>
      <w:r w:rsidR="00E84CC1" w:rsidRPr="009F30C2">
        <w:rPr>
          <w:rFonts w:eastAsia="+mn-ea"/>
          <w:color w:val="000000"/>
          <w:kern w:val="24"/>
          <w:sz w:val="22"/>
          <w:szCs w:val="22"/>
        </w:rPr>
        <w:t xml:space="preserve"> </w:t>
      </w:r>
      <w:proofErr w:type="spellStart"/>
      <w:r w:rsidR="00E84CC1" w:rsidRPr="009F30C2">
        <w:rPr>
          <w:rFonts w:eastAsia="+mn-ea"/>
          <w:color w:val="000000"/>
          <w:kern w:val="24"/>
          <w:sz w:val="22"/>
          <w:szCs w:val="22"/>
        </w:rPr>
        <w:t>LAgs</w:t>
      </w:r>
      <w:proofErr w:type="spellEnd"/>
      <w:r w:rsidR="00F44861" w:rsidRPr="009F30C2">
        <w:rPr>
          <w:rFonts w:eastAsia="+mn-ea"/>
          <w:color w:val="000000"/>
          <w:kern w:val="24"/>
          <w:sz w:val="22"/>
          <w:szCs w:val="22"/>
        </w:rPr>
        <w:t>, data are expressed as relative to those of untreated control (AgNPs) or empty liposomes (</w:t>
      </w:r>
      <w:proofErr w:type="spellStart"/>
      <w:r w:rsidR="00F44861" w:rsidRPr="009F30C2">
        <w:rPr>
          <w:rFonts w:eastAsia="+mn-ea"/>
          <w:color w:val="000000"/>
          <w:kern w:val="24"/>
          <w:sz w:val="22"/>
          <w:szCs w:val="22"/>
        </w:rPr>
        <w:t>LAgs</w:t>
      </w:r>
      <w:proofErr w:type="spellEnd"/>
      <w:r w:rsidR="00F44861" w:rsidRPr="009F30C2">
        <w:rPr>
          <w:rFonts w:eastAsia="+mn-ea"/>
          <w:color w:val="000000"/>
          <w:kern w:val="24"/>
          <w:sz w:val="22"/>
          <w:szCs w:val="22"/>
        </w:rPr>
        <w:t>)</w:t>
      </w:r>
      <w:r w:rsidR="00E84CC1" w:rsidRPr="009F30C2">
        <w:rPr>
          <w:rFonts w:eastAsia="+mn-ea"/>
          <w:color w:val="000000"/>
          <w:kern w:val="24"/>
          <w:sz w:val="22"/>
          <w:szCs w:val="22"/>
        </w:rPr>
        <w:t>.</w:t>
      </w:r>
      <w:r w:rsidR="000118A3" w:rsidRPr="009F30C2">
        <w:rPr>
          <w:rFonts w:eastAsia="+mn-ea"/>
          <w:b/>
          <w:bCs/>
          <w:color w:val="000000"/>
          <w:kern w:val="24"/>
          <w:sz w:val="22"/>
          <w:szCs w:val="22"/>
        </w:rPr>
        <w:t xml:space="preserve"> Note</w:t>
      </w:r>
      <w:r w:rsidR="008B04B7" w:rsidRPr="009F30C2">
        <w:rPr>
          <w:rFonts w:eastAsia="+mn-ea"/>
          <w:color w:val="000000"/>
          <w:kern w:val="24"/>
          <w:sz w:val="22"/>
          <w:szCs w:val="22"/>
        </w:rPr>
        <w:t xml:space="preserve">: </w:t>
      </w:r>
      <w:r w:rsidR="00E84CC1" w:rsidRPr="009F30C2">
        <w:rPr>
          <w:sz w:val="22"/>
          <w:szCs w:val="22"/>
        </w:rPr>
        <w:t>n</w:t>
      </w:r>
      <w:r w:rsidR="008B04B7" w:rsidRPr="009F30C2">
        <w:rPr>
          <w:sz w:val="22"/>
          <w:szCs w:val="22"/>
        </w:rPr>
        <w:t xml:space="preserve"> </w:t>
      </w:r>
      <w:r w:rsidR="00E84CC1" w:rsidRPr="009F30C2">
        <w:rPr>
          <w:sz w:val="22"/>
          <w:szCs w:val="22"/>
        </w:rPr>
        <w:t>= 6</w:t>
      </w:r>
      <w:r w:rsidR="000118A3" w:rsidRPr="009F30C2">
        <w:rPr>
          <w:sz w:val="22"/>
          <w:szCs w:val="22"/>
        </w:rPr>
        <w:t>, and</w:t>
      </w:r>
      <w:r w:rsidR="00E84CC1" w:rsidRPr="009F30C2">
        <w:rPr>
          <w:sz w:val="22"/>
          <w:szCs w:val="22"/>
        </w:rPr>
        <w:t xml:space="preserve"> ***p &lt; 0.001</w:t>
      </w:r>
      <w:r w:rsidR="00E84CC1" w:rsidRPr="009F30C2">
        <w:rPr>
          <w:rFonts w:eastAsia="+mn-ea"/>
          <w:color w:val="000000"/>
          <w:kern w:val="24"/>
          <w:sz w:val="22"/>
          <w:szCs w:val="22"/>
        </w:rPr>
        <w:t>.</w:t>
      </w:r>
    </w:p>
    <w:p w14:paraId="521FBA0F" w14:textId="77777777" w:rsidR="001C6B81" w:rsidRDefault="001C6B81"/>
    <w:sectPr w:rsidR="001C6B81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6BB41" w14:textId="77777777" w:rsidR="000B3588" w:rsidRDefault="000B3588" w:rsidP="009F30C2">
      <w:pPr>
        <w:spacing w:line="240" w:lineRule="auto"/>
      </w:pPr>
      <w:r>
        <w:separator/>
      </w:r>
    </w:p>
  </w:endnote>
  <w:endnote w:type="continuationSeparator" w:id="0">
    <w:p w14:paraId="08FD0B33" w14:textId="77777777" w:rsidR="000B3588" w:rsidRDefault="000B3588" w:rsidP="009F3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B1A5" w14:textId="2C2678FD" w:rsidR="009F30C2" w:rsidRDefault="009F30C2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FC41F9" wp14:editId="0EA2D5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5649161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D4098" w14:textId="61240F83" w:rsidR="009F30C2" w:rsidRPr="009F30C2" w:rsidRDefault="009F30C2" w:rsidP="009F30C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F30C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C41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57D4098" w14:textId="61240F83" w:rsidR="009F30C2" w:rsidRPr="009F30C2" w:rsidRDefault="009F30C2" w:rsidP="009F30C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F30C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19760" w14:textId="28EB159B" w:rsidR="009F30C2" w:rsidRDefault="009F30C2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A8A88F" wp14:editId="69A92042">
              <wp:simplePos x="900000" y="10065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10743640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BD347" w14:textId="662526BA" w:rsidR="009F30C2" w:rsidRPr="009F30C2" w:rsidRDefault="009F30C2" w:rsidP="009F30C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F30C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8A8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43BD347" w14:textId="662526BA" w:rsidR="009F30C2" w:rsidRPr="009F30C2" w:rsidRDefault="009F30C2" w:rsidP="009F30C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F30C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D8C1" w14:textId="0624B528" w:rsidR="009F30C2" w:rsidRDefault="009F30C2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466F56" wp14:editId="000F53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145671160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1B0B5" w14:textId="1794C841" w:rsidR="009F30C2" w:rsidRPr="009F30C2" w:rsidRDefault="009F30C2" w:rsidP="009F30C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F30C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66F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F71B0B5" w14:textId="1794C841" w:rsidR="009F30C2" w:rsidRPr="009F30C2" w:rsidRDefault="009F30C2" w:rsidP="009F30C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F30C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D39D" w14:textId="77777777" w:rsidR="000B3588" w:rsidRDefault="000B3588" w:rsidP="009F30C2">
      <w:pPr>
        <w:spacing w:line="240" w:lineRule="auto"/>
      </w:pPr>
      <w:r>
        <w:separator/>
      </w:r>
    </w:p>
  </w:footnote>
  <w:footnote w:type="continuationSeparator" w:id="0">
    <w:p w14:paraId="46459D2E" w14:textId="77777777" w:rsidR="000B3588" w:rsidRDefault="000B3588" w:rsidP="009F30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81"/>
    <w:rsid w:val="000118A3"/>
    <w:rsid w:val="000B3588"/>
    <w:rsid w:val="000D4D22"/>
    <w:rsid w:val="00157B0F"/>
    <w:rsid w:val="00172B91"/>
    <w:rsid w:val="00193C26"/>
    <w:rsid w:val="001C6B81"/>
    <w:rsid w:val="002B7CB3"/>
    <w:rsid w:val="00307382"/>
    <w:rsid w:val="003278AB"/>
    <w:rsid w:val="004B5A3A"/>
    <w:rsid w:val="005016EC"/>
    <w:rsid w:val="00571EBC"/>
    <w:rsid w:val="005C0F02"/>
    <w:rsid w:val="005E533A"/>
    <w:rsid w:val="006E15BB"/>
    <w:rsid w:val="00743824"/>
    <w:rsid w:val="007A4EFE"/>
    <w:rsid w:val="008805B4"/>
    <w:rsid w:val="008A687A"/>
    <w:rsid w:val="008B04B7"/>
    <w:rsid w:val="008D6B73"/>
    <w:rsid w:val="009A27EA"/>
    <w:rsid w:val="009F30C2"/>
    <w:rsid w:val="00A06C08"/>
    <w:rsid w:val="00A110B8"/>
    <w:rsid w:val="00A7349C"/>
    <w:rsid w:val="00A830EB"/>
    <w:rsid w:val="00B313D9"/>
    <w:rsid w:val="00BC2D5F"/>
    <w:rsid w:val="00D53120"/>
    <w:rsid w:val="00D909AA"/>
    <w:rsid w:val="00E832AE"/>
    <w:rsid w:val="00E83F35"/>
    <w:rsid w:val="00E84CC1"/>
    <w:rsid w:val="00ED5D77"/>
    <w:rsid w:val="00F4486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9A774"/>
  <w15:chartTrackingRefBased/>
  <w15:docId w15:val="{A8AD5AD8-54FE-4AA1-89FF-9B027241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81"/>
    <w:pPr>
      <w:spacing w:after="0" w:line="360" w:lineRule="auto"/>
    </w:pPr>
    <w:rPr>
      <w:rFonts w:ascii="Times New Roman" w:hAnsi="Times New Roman" w:cs="Simplified Arabic"/>
      <w:kern w:val="2"/>
      <w:sz w:val="24"/>
      <w:szCs w:val="28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B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hu-H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hu-HU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lang w:val="hu-H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  <w:szCs w:val="22"/>
      <w:lang w:val="hu-HU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  <w:szCs w:val="22"/>
      <w:lang w:val="hu-HU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val="hu-HU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val="hu-HU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val="hu-HU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val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8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8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C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lang w:val="hu-H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C6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8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 w:val="22"/>
      <w:szCs w:val="22"/>
      <w:lang w:val="hu-HU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C6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81"/>
    <w:pPr>
      <w:spacing w:after="160" w:line="259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:lang w:val="hu-H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C6B8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0"/>
      <w:sz w:val="22"/>
      <w:szCs w:val="22"/>
      <w:lang w:val="hu-HU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8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81"/>
    <w:rPr>
      <w:b/>
      <w:bCs/>
      <w:smallCaps/>
      <w:color w:val="2E74B5" w:themeColor="accent1" w:themeShade="BF"/>
      <w:spacing w:val="5"/>
    </w:rPr>
  </w:style>
  <w:style w:type="character" w:customStyle="1" w:styleId="rynqvb">
    <w:name w:val="rynqvb"/>
    <w:basedOn w:val="DefaultParagraphFont"/>
    <w:rsid w:val="001C6B81"/>
  </w:style>
  <w:style w:type="character" w:styleId="Hyperlink">
    <w:name w:val="Hyperlink"/>
    <w:basedOn w:val="DefaultParagraphFont"/>
    <w:uiPriority w:val="99"/>
    <w:unhideWhenUsed/>
    <w:rsid w:val="001C6B8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1C6B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18A3"/>
    <w:pPr>
      <w:spacing w:after="0" w:line="240" w:lineRule="auto"/>
    </w:pPr>
    <w:rPr>
      <w:rFonts w:ascii="Times New Roman" w:hAnsi="Times New Roman" w:cs="Simplified Arabic"/>
      <w:kern w:val="2"/>
      <w:sz w:val="24"/>
      <w:szCs w:val="28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F30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C2"/>
    <w:rPr>
      <w:rFonts w:ascii="Times New Roman" w:hAnsi="Times New Roman" w:cs="Simplified Arabic"/>
      <w:kern w:val="2"/>
      <w:sz w:val="24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Balogi Zsolt</dc:creator>
  <cp:keywords/>
  <dc:description/>
  <cp:lastModifiedBy>Bartle, Claudia</cp:lastModifiedBy>
  <cp:revision>4</cp:revision>
  <dcterms:created xsi:type="dcterms:W3CDTF">2024-12-12T09:30:00Z</dcterms:created>
  <dcterms:modified xsi:type="dcterms:W3CDTF">2024-12-16T20:40:00Z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3a8c3b015bc4e32888985cd46c1ff945e9a96bb8b8a3338bec8dc94f305dbb8b</vt:lpwstr>
  </property>
  <property fmtid="{D5CDD505-2E9C-101B-9397-08002B2CF9AE}" pid="3" name="ClassificationContentMarkingFooterShapeIds">
    <vt:lpwstr>56d3a7b4,21abef86,40097e95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2024-12-16T20:40:16Z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e100a5a2-cf51-4351-957f-d194e258a648</vt:lpwstr>
  </property>
  <property fmtid="{D5CDD505-2E9C-101B-9397-08002B2CF9AE}" pid="12" name="MSIP_Label_2bbab825-a111-45e4-86a1-18cee0005896_ContentBits">
    <vt:lpwstr>2</vt:lpwstr>
  </property>
</Properties>
</file>