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30361" w14:textId="42ABE200" w:rsidR="00311A61" w:rsidRPr="0017434E" w:rsidRDefault="00074BA4" w:rsidP="00311A61">
      <w:pPr>
        <w:widowControl w:val="0"/>
        <w:spacing w:line="360" w:lineRule="auto"/>
        <w:jc w:val="both"/>
        <w:rPr>
          <w:rFonts w:cs="Arial"/>
          <w:sz w:val="15"/>
          <w:szCs w:val="15"/>
          <w:lang w:eastAsia="zh-CN"/>
        </w:rPr>
      </w:pPr>
      <w:r w:rsidRPr="0017434E">
        <w:rPr>
          <w:rFonts w:cs="Arial" w:hint="eastAsia"/>
          <w:sz w:val="15"/>
          <w:szCs w:val="15"/>
          <w:lang w:eastAsia="zh-CN"/>
        </w:rPr>
        <w:t>S</w:t>
      </w:r>
      <w:r w:rsidRPr="0017434E">
        <w:rPr>
          <w:rFonts w:cs="Arial"/>
          <w:sz w:val="15"/>
          <w:szCs w:val="15"/>
          <w:lang w:eastAsia="zh-CN"/>
        </w:rPr>
        <w:t xml:space="preserve">upplementary Table </w:t>
      </w:r>
      <w:r w:rsidRPr="0017434E">
        <w:rPr>
          <w:rFonts w:cs="Arial" w:hint="eastAsia"/>
          <w:sz w:val="15"/>
          <w:szCs w:val="15"/>
          <w:lang w:eastAsia="zh-CN"/>
        </w:rPr>
        <w:t>1</w:t>
      </w:r>
      <w:r w:rsidRPr="0017434E">
        <w:rPr>
          <w:rFonts w:cs="Arial"/>
          <w:sz w:val="15"/>
          <w:szCs w:val="15"/>
          <w:lang w:eastAsia="zh-CN"/>
        </w:rPr>
        <w:t>.1 Risk analysis of MS factor and elevated E/e'[n</w:t>
      </w:r>
      <w:r w:rsidRPr="0017434E">
        <w:rPr>
          <w:rFonts w:cs="Arial"/>
          <w:sz w:val="15"/>
          <w:szCs w:val="15"/>
          <w:lang w:eastAsia="zh-CN"/>
        </w:rPr>
        <w:t>（</w:t>
      </w:r>
      <w:r w:rsidRPr="0017434E">
        <w:rPr>
          <w:rFonts w:cs="Arial"/>
          <w:sz w:val="15"/>
          <w:szCs w:val="15"/>
          <w:lang w:eastAsia="zh-CN"/>
        </w:rPr>
        <w:t>%</w:t>
      </w:r>
      <w:r w:rsidRPr="0017434E">
        <w:rPr>
          <w:rFonts w:cs="Arial"/>
          <w:sz w:val="15"/>
          <w:szCs w:val="15"/>
          <w:lang w:eastAsia="zh-CN"/>
        </w:rPr>
        <w:t>）</w:t>
      </w:r>
      <w:r w:rsidRPr="0017434E">
        <w:rPr>
          <w:rFonts w:cs="Arial"/>
          <w:sz w:val="15"/>
          <w:szCs w:val="15"/>
          <w:lang w:eastAsia="zh-CN"/>
        </w:rPr>
        <w:t>] analysis1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5"/>
        <w:gridCol w:w="2815"/>
        <w:gridCol w:w="4426"/>
        <w:gridCol w:w="1552"/>
      </w:tblGrid>
      <w:tr w:rsidR="0017434E" w:rsidRPr="0017434E" w14:paraId="3FF4A1D6" w14:textId="77777777" w:rsidTr="00D07329">
        <w:trPr>
          <w:trHeight w:val="481"/>
        </w:trPr>
        <w:tc>
          <w:tcPr>
            <w:tcW w:w="1850" w:type="pct"/>
            <w:tcBorders>
              <w:top w:val="single" w:sz="12" w:space="0" w:color="auto"/>
              <w:bottom w:val="single" w:sz="4" w:space="0" w:color="auto"/>
            </w:tcBorders>
          </w:tcPr>
          <w:p w14:paraId="5B355A28" w14:textId="77777777" w:rsidR="00311A61" w:rsidRPr="0017434E" w:rsidRDefault="00311A61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1008" w:type="pct"/>
            <w:tcBorders>
              <w:top w:val="single" w:sz="12" w:space="0" w:color="auto"/>
              <w:bottom w:val="single" w:sz="4" w:space="0" w:color="auto"/>
            </w:tcBorders>
          </w:tcPr>
          <w:p w14:paraId="28D09A08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E/e’ higher</w:t>
            </w:r>
          </w:p>
        </w:tc>
        <w:tc>
          <w:tcPr>
            <w:tcW w:w="1585" w:type="pct"/>
            <w:tcBorders>
              <w:top w:val="single" w:sz="12" w:space="0" w:color="auto"/>
              <w:bottom w:val="single" w:sz="4" w:space="0" w:color="auto"/>
            </w:tcBorders>
          </w:tcPr>
          <w:p w14:paraId="65B1F527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OR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95%CI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4" w:space="0" w:color="auto"/>
            </w:tcBorders>
          </w:tcPr>
          <w:p w14:paraId="7716C79C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p</w:t>
            </w:r>
          </w:p>
        </w:tc>
      </w:tr>
      <w:tr w:rsidR="0017434E" w:rsidRPr="0017434E" w14:paraId="1471654A" w14:textId="77777777" w:rsidTr="00D07329">
        <w:trPr>
          <w:trHeight w:val="481"/>
        </w:trPr>
        <w:tc>
          <w:tcPr>
            <w:tcW w:w="1850" w:type="pct"/>
            <w:tcBorders>
              <w:top w:val="single" w:sz="4" w:space="0" w:color="auto"/>
              <w:tl2br w:val="nil"/>
              <w:tr2bl w:val="nil"/>
            </w:tcBorders>
          </w:tcPr>
          <w:p w14:paraId="26F15374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Non-MS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n=193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008" w:type="pct"/>
            <w:tcBorders>
              <w:top w:val="single" w:sz="4" w:space="0" w:color="auto"/>
              <w:tl2br w:val="nil"/>
              <w:tr2bl w:val="nil"/>
            </w:tcBorders>
          </w:tcPr>
          <w:p w14:paraId="131B5246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102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52.8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585" w:type="pct"/>
            <w:tcBorders>
              <w:top w:val="single" w:sz="4" w:space="0" w:color="auto"/>
              <w:tl2br w:val="nil"/>
              <w:tr2bl w:val="nil"/>
            </w:tcBorders>
          </w:tcPr>
          <w:p w14:paraId="1A3005B3" w14:textId="77777777" w:rsidR="00311A61" w:rsidRPr="0017434E" w:rsidRDefault="00311A61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556" w:type="pct"/>
            <w:tcBorders>
              <w:top w:val="single" w:sz="4" w:space="0" w:color="auto"/>
              <w:tl2br w:val="nil"/>
              <w:tr2bl w:val="nil"/>
            </w:tcBorders>
          </w:tcPr>
          <w:p w14:paraId="3F575555" w14:textId="77777777" w:rsidR="00311A61" w:rsidRPr="0017434E" w:rsidRDefault="00311A61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</w:p>
        </w:tc>
      </w:tr>
      <w:tr w:rsidR="0017434E" w:rsidRPr="0017434E" w14:paraId="231E9F5E" w14:textId="77777777" w:rsidTr="00D07329">
        <w:trPr>
          <w:trHeight w:val="481"/>
        </w:trPr>
        <w:tc>
          <w:tcPr>
            <w:tcW w:w="1850" w:type="pct"/>
            <w:tcBorders>
              <w:tl2br w:val="nil"/>
              <w:tr2bl w:val="nil"/>
            </w:tcBorders>
          </w:tcPr>
          <w:p w14:paraId="5D477F54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MS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n=193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008" w:type="pct"/>
            <w:tcBorders>
              <w:tl2br w:val="nil"/>
              <w:tr2bl w:val="nil"/>
            </w:tcBorders>
          </w:tcPr>
          <w:p w14:paraId="1AECA33E" w14:textId="13B04409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123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63.7)</w:t>
            </w:r>
          </w:p>
        </w:tc>
        <w:tc>
          <w:tcPr>
            <w:tcW w:w="1585" w:type="pct"/>
            <w:tcBorders>
              <w:tl2br w:val="nil"/>
              <w:tr2bl w:val="nil"/>
            </w:tcBorders>
          </w:tcPr>
          <w:p w14:paraId="033F4051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1.568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1.043-2.356)</w:t>
            </w:r>
          </w:p>
        </w:tc>
        <w:tc>
          <w:tcPr>
            <w:tcW w:w="556" w:type="pct"/>
            <w:tcBorders>
              <w:tl2br w:val="nil"/>
              <w:tr2bl w:val="nil"/>
            </w:tcBorders>
          </w:tcPr>
          <w:p w14:paraId="2C931F25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0.039</w:t>
            </w:r>
          </w:p>
        </w:tc>
      </w:tr>
      <w:tr w:rsidR="0017434E" w:rsidRPr="0017434E" w14:paraId="589BCC13" w14:textId="77777777" w:rsidTr="00D07329">
        <w:trPr>
          <w:trHeight w:val="481"/>
        </w:trPr>
        <w:tc>
          <w:tcPr>
            <w:tcW w:w="1850" w:type="pct"/>
            <w:tcBorders>
              <w:tl2br w:val="nil"/>
              <w:tr2bl w:val="nil"/>
            </w:tcBorders>
          </w:tcPr>
          <w:p w14:paraId="68D4AA38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Three MS factors (n=105)</w:t>
            </w:r>
          </w:p>
        </w:tc>
        <w:tc>
          <w:tcPr>
            <w:tcW w:w="1008" w:type="pct"/>
            <w:tcBorders>
              <w:tl2br w:val="nil"/>
              <w:tr2bl w:val="nil"/>
            </w:tcBorders>
          </w:tcPr>
          <w:p w14:paraId="419314B7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63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60.0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585" w:type="pct"/>
            <w:tcBorders>
              <w:tl2br w:val="nil"/>
              <w:tr2bl w:val="nil"/>
            </w:tcBorders>
          </w:tcPr>
          <w:p w14:paraId="428E7950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1.338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0.826-2.167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556" w:type="pct"/>
            <w:tcBorders>
              <w:tl2br w:val="nil"/>
              <w:tr2bl w:val="nil"/>
            </w:tcBorders>
          </w:tcPr>
          <w:p w14:paraId="6ED0BAD1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0.287</w:t>
            </w:r>
          </w:p>
        </w:tc>
      </w:tr>
      <w:tr w:rsidR="0017434E" w:rsidRPr="0017434E" w14:paraId="7239011B" w14:textId="77777777" w:rsidTr="00D07329">
        <w:trPr>
          <w:trHeight w:val="481"/>
        </w:trPr>
        <w:tc>
          <w:tcPr>
            <w:tcW w:w="1850" w:type="pct"/>
            <w:tcBorders>
              <w:tl2br w:val="nil"/>
              <w:tr2bl w:val="nil"/>
            </w:tcBorders>
          </w:tcPr>
          <w:p w14:paraId="6BF0E152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Four MS factors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n=65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008" w:type="pct"/>
            <w:tcBorders>
              <w:tl2br w:val="nil"/>
              <w:tr2bl w:val="nil"/>
            </w:tcBorders>
          </w:tcPr>
          <w:p w14:paraId="130100A0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41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63.1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585" w:type="pct"/>
            <w:tcBorders>
              <w:tl2br w:val="nil"/>
              <w:tr2bl w:val="nil"/>
            </w:tcBorders>
          </w:tcPr>
          <w:p w14:paraId="2881BB17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1.524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0.855-2.716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556" w:type="pct"/>
            <w:tcBorders>
              <w:tl2br w:val="nil"/>
              <w:tr2bl w:val="nil"/>
            </w:tcBorders>
          </w:tcPr>
          <w:p w14:paraId="13F32757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0.197</w:t>
            </w:r>
          </w:p>
        </w:tc>
      </w:tr>
      <w:tr w:rsidR="00DB5FE2" w:rsidRPr="0017434E" w14:paraId="6F3146F0" w14:textId="77777777" w:rsidTr="00D07329">
        <w:trPr>
          <w:trHeight w:val="481"/>
        </w:trPr>
        <w:tc>
          <w:tcPr>
            <w:tcW w:w="1850" w:type="pct"/>
            <w:tcBorders>
              <w:bottom w:val="single" w:sz="12" w:space="0" w:color="auto"/>
              <w:tl2br w:val="nil"/>
              <w:tr2bl w:val="nil"/>
            </w:tcBorders>
          </w:tcPr>
          <w:p w14:paraId="0FEC541C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Five MS factors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n=23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008" w:type="pct"/>
            <w:tcBorders>
              <w:bottom w:val="single" w:sz="12" w:space="0" w:color="auto"/>
              <w:tl2br w:val="nil"/>
              <w:tr2bl w:val="nil"/>
            </w:tcBorders>
          </w:tcPr>
          <w:p w14:paraId="78636DD7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19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82.6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585" w:type="pct"/>
            <w:tcBorders>
              <w:bottom w:val="single" w:sz="12" w:space="0" w:color="auto"/>
              <w:tl2br w:val="nil"/>
              <w:tr2bl w:val="nil"/>
            </w:tcBorders>
          </w:tcPr>
          <w:p w14:paraId="1979CFBD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4.238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1.390-12.919)</w:t>
            </w:r>
          </w:p>
        </w:tc>
        <w:tc>
          <w:tcPr>
            <w:tcW w:w="556" w:type="pct"/>
            <w:tcBorders>
              <w:bottom w:val="single" w:sz="12" w:space="0" w:color="auto"/>
              <w:tl2br w:val="nil"/>
              <w:tr2bl w:val="nil"/>
            </w:tcBorders>
          </w:tcPr>
          <w:p w14:paraId="7123383C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0.007</w:t>
            </w:r>
          </w:p>
        </w:tc>
      </w:tr>
    </w:tbl>
    <w:p w14:paraId="507B49D1" w14:textId="77777777" w:rsidR="00311A61" w:rsidRPr="0017434E" w:rsidRDefault="00311A61" w:rsidP="00311A61">
      <w:pPr>
        <w:widowControl w:val="0"/>
        <w:spacing w:line="360" w:lineRule="auto"/>
        <w:jc w:val="both"/>
        <w:rPr>
          <w:rFonts w:cs="Arial"/>
          <w:sz w:val="15"/>
          <w:szCs w:val="15"/>
          <w:lang w:eastAsia="zh-CN"/>
        </w:rPr>
      </w:pPr>
    </w:p>
    <w:p w14:paraId="24CBAEAB" w14:textId="77777777" w:rsidR="00311A61" w:rsidRPr="0017434E" w:rsidRDefault="00311A61" w:rsidP="00311A61">
      <w:pPr>
        <w:widowControl w:val="0"/>
        <w:spacing w:line="360" w:lineRule="auto"/>
        <w:jc w:val="both"/>
        <w:rPr>
          <w:rFonts w:cs="Arial"/>
          <w:sz w:val="15"/>
          <w:szCs w:val="15"/>
          <w:lang w:eastAsia="zh-CN"/>
        </w:rPr>
      </w:pPr>
    </w:p>
    <w:p w14:paraId="34F8A47F" w14:textId="7C912BCC" w:rsidR="00311A61" w:rsidRPr="0017434E" w:rsidRDefault="00074BA4" w:rsidP="00311A61">
      <w:pPr>
        <w:widowControl w:val="0"/>
        <w:spacing w:line="360" w:lineRule="auto"/>
        <w:jc w:val="both"/>
        <w:rPr>
          <w:rFonts w:cs="Arial"/>
          <w:sz w:val="15"/>
          <w:szCs w:val="15"/>
          <w:lang w:eastAsia="zh-CN"/>
        </w:rPr>
      </w:pPr>
      <w:r w:rsidRPr="0017434E">
        <w:rPr>
          <w:rFonts w:cs="Arial" w:hint="eastAsia"/>
          <w:sz w:val="15"/>
          <w:szCs w:val="15"/>
          <w:lang w:eastAsia="zh-CN"/>
        </w:rPr>
        <w:t>S</w:t>
      </w:r>
      <w:r w:rsidRPr="0017434E">
        <w:rPr>
          <w:rFonts w:cs="Arial"/>
          <w:sz w:val="15"/>
          <w:szCs w:val="15"/>
          <w:lang w:eastAsia="zh-CN"/>
        </w:rPr>
        <w:t xml:space="preserve">upplementary Table </w:t>
      </w:r>
      <w:r w:rsidRPr="0017434E">
        <w:rPr>
          <w:rFonts w:cs="Arial" w:hint="eastAsia"/>
          <w:sz w:val="15"/>
          <w:szCs w:val="15"/>
          <w:lang w:eastAsia="zh-CN"/>
        </w:rPr>
        <w:t>1</w:t>
      </w:r>
      <w:r w:rsidRPr="0017434E">
        <w:rPr>
          <w:rFonts w:cs="Arial"/>
          <w:sz w:val="15"/>
          <w:szCs w:val="15"/>
          <w:lang w:eastAsia="zh-CN"/>
        </w:rPr>
        <w:t>.2 Risk analysis of MS factor and elevated E/e'[n</w:t>
      </w:r>
      <w:r w:rsidRPr="0017434E">
        <w:rPr>
          <w:rFonts w:cs="Arial"/>
          <w:sz w:val="15"/>
          <w:szCs w:val="15"/>
          <w:lang w:eastAsia="zh-CN"/>
        </w:rPr>
        <w:t>（</w:t>
      </w:r>
      <w:r w:rsidRPr="0017434E">
        <w:rPr>
          <w:rFonts w:cs="Arial"/>
          <w:sz w:val="15"/>
          <w:szCs w:val="15"/>
          <w:lang w:eastAsia="zh-CN"/>
        </w:rPr>
        <w:t>%</w:t>
      </w:r>
      <w:r w:rsidRPr="0017434E">
        <w:rPr>
          <w:rFonts w:cs="Arial"/>
          <w:sz w:val="15"/>
          <w:szCs w:val="15"/>
          <w:lang w:eastAsia="zh-CN"/>
        </w:rPr>
        <w:t>）</w:t>
      </w:r>
      <w:r w:rsidRPr="0017434E">
        <w:rPr>
          <w:rFonts w:cs="Arial"/>
          <w:sz w:val="15"/>
          <w:szCs w:val="15"/>
          <w:lang w:eastAsia="zh-CN"/>
        </w:rPr>
        <w:t>] analysis2</w:t>
      </w:r>
    </w:p>
    <w:tbl>
      <w:tblPr>
        <w:tblStyle w:val="TableGrid"/>
        <w:tblW w:w="5000" w:type="pct"/>
        <w:jc w:val="righ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6"/>
        <w:gridCol w:w="1500"/>
        <w:gridCol w:w="2356"/>
        <w:gridCol w:w="410"/>
        <w:gridCol w:w="416"/>
        <w:gridCol w:w="2501"/>
        <w:gridCol w:w="1387"/>
        <w:gridCol w:w="2356"/>
        <w:gridCol w:w="826"/>
      </w:tblGrid>
      <w:tr w:rsidR="0017434E" w:rsidRPr="0017434E" w14:paraId="3FA6EC62" w14:textId="77777777" w:rsidTr="00D07329">
        <w:trPr>
          <w:trHeight w:val="591"/>
          <w:jc w:val="right"/>
        </w:trPr>
        <w:tc>
          <w:tcPr>
            <w:tcW w:w="2318" w:type="pct"/>
            <w:gridSpan w:val="4"/>
            <w:tcBorders>
              <w:bottom w:val="single" w:sz="4" w:space="0" w:color="auto"/>
            </w:tcBorders>
          </w:tcPr>
          <w:p w14:paraId="41CB75D3" w14:textId="77777777" w:rsidR="00311A61" w:rsidRPr="0017434E" w:rsidRDefault="00000000" w:rsidP="00D07329">
            <w:pPr>
              <w:spacing w:line="360" w:lineRule="auto"/>
              <w:jc w:val="left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Before matching</w:t>
            </w:r>
          </w:p>
        </w:tc>
        <w:tc>
          <w:tcPr>
            <w:tcW w:w="2682" w:type="pct"/>
            <w:gridSpan w:val="5"/>
            <w:tcBorders>
              <w:bottom w:val="single" w:sz="4" w:space="0" w:color="auto"/>
            </w:tcBorders>
          </w:tcPr>
          <w:p w14:paraId="357409C0" w14:textId="77777777" w:rsidR="00311A61" w:rsidRPr="0017434E" w:rsidRDefault="00000000" w:rsidP="00D07329">
            <w:pPr>
              <w:spacing w:line="360" w:lineRule="auto"/>
              <w:ind w:firstLineChars="200" w:firstLine="300"/>
              <w:jc w:val="left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After matching*</w:t>
            </w:r>
          </w:p>
        </w:tc>
      </w:tr>
      <w:tr w:rsidR="0017434E" w:rsidRPr="0017434E" w14:paraId="1292A239" w14:textId="77777777" w:rsidTr="00D07329">
        <w:trPr>
          <w:trHeight w:val="591"/>
          <w:jc w:val="right"/>
        </w:trPr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</w:tcPr>
          <w:p w14:paraId="01C73915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Group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14:paraId="52E58710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High E/e’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14:paraId="4A7B3FA4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OR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95%CI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45445A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p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</w:tcPr>
          <w:p w14:paraId="7D5C1F5C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Group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22C1790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High E/e’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14:paraId="0090D4FF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OR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95%CI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14:paraId="4F47DA68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p</w:t>
            </w:r>
          </w:p>
        </w:tc>
      </w:tr>
      <w:tr w:rsidR="0017434E" w:rsidRPr="0017434E" w14:paraId="0E266230" w14:textId="77777777" w:rsidTr="00D07329">
        <w:trPr>
          <w:trHeight w:val="591"/>
          <w:jc w:val="right"/>
        </w:trPr>
        <w:tc>
          <w:tcPr>
            <w:tcW w:w="790" w:type="pct"/>
            <w:tcBorders>
              <w:top w:val="single" w:sz="4" w:space="0" w:color="auto"/>
              <w:tl2br w:val="nil"/>
              <w:tr2bl w:val="nil"/>
            </w:tcBorders>
          </w:tcPr>
          <w:p w14:paraId="1E662CDE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Non-MS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n=193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537" w:type="pct"/>
            <w:tcBorders>
              <w:top w:val="single" w:sz="4" w:space="0" w:color="auto"/>
              <w:tl2br w:val="nil"/>
              <w:tr2bl w:val="nil"/>
            </w:tcBorders>
          </w:tcPr>
          <w:p w14:paraId="50D3F10D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102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52.8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44" w:type="pct"/>
            <w:tcBorders>
              <w:top w:val="single" w:sz="4" w:space="0" w:color="auto"/>
              <w:tl2br w:val="nil"/>
              <w:tr2bl w:val="nil"/>
            </w:tcBorders>
          </w:tcPr>
          <w:p w14:paraId="6DD36699" w14:textId="77777777" w:rsidR="00311A61" w:rsidRPr="0017434E" w:rsidRDefault="00311A61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tl2br w:val="nil"/>
              <w:tr2bl w:val="nil"/>
            </w:tcBorders>
          </w:tcPr>
          <w:p w14:paraId="6213E47B" w14:textId="77777777" w:rsidR="00311A61" w:rsidRPr="0017434E" w:rsidRDefault="00311A61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896" w:type="pct"/>
            <w:tcBorders>
              <w:top w:val="single" w:sz="4" w:space="0" w:color="auto"/>
              <w:tl2br w:val="nil"/>
              <w:tr2bl w:val="nil"/>
            </w:tcBorders>
          </w:tcPr>
          <w:p w14:paraId="303127EA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Non-MS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n=180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497" w:type="pct"/>
            <w:tcBorders>
              <w:top w:val="single" w:sz="4" w:space="0" w:color="auto"/>
              <w:tl2br w:val="nil"/>
              <w:tr2bl w:val="nil"/>
            </w:tcBorders>
          </w:tcPr>
          <w:p w14:paraId="68D4FEB1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94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52.2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44" w:type="pct"/>
            <w:tcBorders>
              <w:top w:val="single" w:sz="4" w:space="0" w:color="auto"/>
              <w:tl2br w:val="nil"/>
              <w:tr2bl w:val="nil"/>
            </w:tcBorders>
          </w:tcPr>
          <w:p w14:paraId="4E3BBF77" w14:textId="77777777" w:rsidR="00311A61" w:rsidRPr="0017434E" w:rsidRDefault="00311A61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297" w:type="pct"/>
            <w:tcBorders>
              <w:top w:val="single" w:sz="4" w:space="0" w:color="auto"/>
              <w:tl2br w:val="nil"/>
              <w:tr2bl w:val="nil"/>
            </w:tcBorders>
          </w:tcPr>
          <w:p w14:paraId="652D1909" w14:textId="77777777" w:rsidR="00311A61" w:rsidRPr="0017434E" w:rsidRDefault="00311A61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</w:p>
        </w:tc>
      </w:tr>
      <w:tr w:rsidR="0017434E" w:rsidRPr="0017434E" w14:paraId="3E1922ED" w14:textId="77777777" w:rsidTr="00D07329">
        <w:trPr>
          <w:trHeight w:val="591"/>
          <w:jc w:val="right"/>
        </w:trPr>
        <w:tc>
          <w:tcPr>
            <w:tcW w:w="790" w:type="pct"/>
            <w:tcBorders>
              <w:tl2br w:val="nil"/>
              <w:tr2bl w:val="nil"/>
            </w:tcBorders>
          </w:tcPr>
          <w:p w14:paraId="71917ED6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MS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n=193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537" w:type="pct"/>
            <w:tcBorders>
              <w:tl2br w:val="nil"/>
              <w:tr2bl w:val="nil"/>
            </w:tcBorders>
          </w:tcPr>
          <w:p w14:paraId="75BBC8CE" w14:textId="3CE6C2E6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123</w:t>
            </w:r>
            <w:r w:rsidR="00511F89" w:rsidRPr="0017434E">
              <w:rPr>
                <w:rFonts w:cs="Arial" w:hint="eastAsia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63.7)</w:t>
            </w:r>
          </w:p>
        </w:tc>
        <w:tc>
          <w:tcPr>
            <w:tcW w:w="844" w:type="pct"/>
            <w:tcBorders>
              <w:tl2br w:val="nil"/>
              <w:tr2bl w:val="nil"/>
            </w:tcBorders>
          </w:tcPr>
          <w:p w14:paraId="40138AC9" w14:textId="6E952988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1.568</w:t>
            </w:r>
            <w:r w:rsidR="00511F89" w:rsidRPr="0017434E">
              <w:rPr>
                <w:rFonts w:cs="Arial" w:hint="eastAsia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1.043-2.356)</w:t>
            </w:r>
          </w:p>
        </w:tc>
        <w:tc>
          <w:tcPr>
            <w:tcW w:w="296" w:type="pct"/>
            <w:gridSpan w:val="2"/>
            <w:tcBorders>
              <w:tl2br w:val="nil"/>
              <w:tr2bl w:val="nil"/>
            </w:tcBorders>
          </w:tcPr>
          <w:p w14:paraId="48C015EA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0.039</w:t>
            </w:r>
          </w:p>
        </w:tc>
        <w:tc>
          <w:tcPr>
            <w:tcW w:w="896" w:type="pct"/>
            <w:tcBorders>
              <w:tl2br w:val="nil"/>
              <w:tr2bl w:val="nil"/>
            </w:tcBorders>
          </w:tcPr>
          <w:p w14:paraId="0C158422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MS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n=180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497" w:type="pct"/>
            <w:tcBorders>
              <w:tl2br w:val="nil"/>
              <w:tr2bl w:val="nil"/>
            </w:tcBorders>
          </w:tcPr>
          <w:p w14:paraId="307AC2D3" w14:textId="6CE9D92C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115</w:t>
            </w:r>
            <w:r w:rsidR="00501236" w:rsidRPr="0017434E">
              <w:rPr>
                <w:rFonts w:cs="Arial" w:hint="eastAsia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63.9)</w:t>
            </w:r>
          </w:p>
        </w:tc>
        <w:tc>
          <w:tcPr>
            <w:tcW w:w="844" w:type="pct"/>
            <w:tcBorders>
              <w:tl2br w:val="nil"/>
              <w:tr2bl w:val="nil"/>
            </w:tcBorders>
          </w:tcPr>
          <w:p w14:paraId="7090F483" w14:textId="2180A54C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1.619</w:t>
            </w:r>
            <w:r w:rsidR="00501236" w:rsidRPr="0017434E">
              <w:rPr>
                <w:rFonts w:cs="Arial" w:hint="eastAsia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1.061-2.468)</w:t>
            </w:r>
          </w:p>
        </w:tc>
        <w:tc>
          <w:tcPr>
            <w:tcW w:w="297" w:type="pct"/>
            <w:tcBorders>
              <w:tl2br w:val="nil"/>
              <w:tr2bl w:val="nil"/>
            </w:tcBorders>
          </w:tcPr>
          <w:p w14:paraId="040139F5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0.025</w:t>
            </w:r>
          </w:p>
        </w:tc>
      </w:tr>
      <w:tr w:rsidR="0017434E" w:rsidRPr="0017434E" w14:paraId="3CBC50F9" w14:textId="77777777" w:rsidTr="00D07329">
        <w:trPr>
          <w:trHeight w:val="337"/>
          <w:jc w:val="right"/>
        </w:trPr>
        <w:tc>
          <w:tcPr>
            <w:tcW w:w="790" w:type="pct"/>
            <w:tcBorders>
              <w:tl2br w:val="nil"/>
              <w:tr2bl w:val="nil"/>
            </w:tcBorders>
          </w:tcPr>
          <w:p w14:paraId="655DBD68" w14:textId="11762911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Three MS factors</w:t>
            </w:r>
            <w:r w:rsidR="00511F89" w:rsidRPr="0017434E">
              <w:rPr>
                <w:rFonts w:cs="Arial" w:hint="eastAsia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n=105)</w:t>
            </w:r>
          </w:p>
        </w:tc>
        <w:tc>
          <w:tcPr>
            <w:tcW w:w="537" w:type="pct"/>
            <w:tcBorders>
              <w:tl2br w:val="nil"/>
              <w:tr2bl w:val="nil"/>
            </w:tcBorders>
          </w:tcPr>
          <w:p w14:paraId="58381A6B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63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60.0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44" w:type="pct"/>
            <w:tcBorders>
              <w:tl2br w:val="nil"/>
              <w:tr2bl w:val="nil"/>
            </w:tcBorders>
          </w:tcPr>
          <w:p w14:paraId="7B5A5A54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1.338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0.826-2.167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96" w:type="pct"/>
            <w:gridSpan w:val="2"/>
            <w:tcBorders>
              <w:tl2br w:val="nil"/>
              <w:tr2bl w:val="nil"/>
            </w:tcBorders>
          </w:tcPr>
          <w:p w14:paraId="54483217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0.287</w:t>
            </w:r>
          </w:p>
        </w:tc>
        <w:tc>
          <w:tcPr>
            <w:tcW w:w="896" w:type="pct"/>
            <w:tcBorders>
              <w:tl2br w:val="nil"/>
              <w:tr2bl w:val="nil"/>
            </w:tcBorders>
          </w:tcPr>
          <w:p w14:paraId="70B673A5" w14:textId="6DBF1F0E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Three MS factors</w:t>
            </w:r>
            <w:r w:rsidR="00511F89" w:rsidRPr="0017434E">
              <w:rPr>
                <w:rFonts w:cs="Arial" w:hint="eastAsia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n=102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497" w:type="pct"/>
            <w:tcBorders>
              <w:tl2br w:val="nil"/>
              <w:tr2bl w:val="nil"/>
            </w:tcBorders>
          </w:tcPr>
          <w:p w14:paraId="227F723C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61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59.8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44" w:type="pct"/>
            <w:tcBorders>
              <w:tl2br w:val="nil"/>
              <w:tr2bl w:val="nil"/>
            </w:tcBorders>
          </w:tcPr>
          <w:p w14:paraId="0E4E33DA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1.316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0.832-2.227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97" w:type="pct"/>
            <w:tcBorders>
              <w:tl2br w:val="nil"/>
              <w:tr2bl w:val="nil"/>
            </w:tcBorders>
          </w:tcPr>
          <w:p w14:paraId="6927F3AE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0.269</w:t>
            </w:r>
          </w:p>
        </w:tc>
      </w:tr>
    </w:tbl>
    <w:p w14:paraId="10A0B7F8" w14:textId="34AA9DC5" w:rsidR="00311A61" w:rsidRPr="0017434E" w:rsidRDefault="00CB3ABE" w:rsidP="007C714A">
      <w:pPr>
        <w:widowControl w:val="0"/>
        <w:spacing w:line="360" w:lineRule="auto"/>
        <w:jc w:val="both"/>
        <w:rPr>
          <w:rFonts w:cs="Arial"/>
          <w:sz w:val="15"/>
          <w:szCs w:val="15"/>
          <w:lang w:eastAsia="zh-CN"/>
        </w:rPr>
      </w:pPr>
      <w:r w:rsidRPr="0017434E">
        <w:rPr>
          <w:rFonts w:cs="Arial" w:hint="eastAsia"/>
          <w:sz w:val="15"/>
          <w:szCs w:val="15"/>
          <w:lang w:eastAsia="zh-CN"/>
        </w:rPr>
        <w:t>*</w:t>
      </w:r>
      <w:r w:rsidRPr="0017434E">
        <w:rPr>
          <w:rFonts w:cs="Arial"/>
          <w:sz w:val="15"/>
          <w:szCs w:val="15"/>
          <w:lang w:eastAsia="zh-CN"/>
        </w:rPr>
        <w:t>:</w:t>
      </w:r>
      <w:r w:rsidRPr="0017434E">
        <w:rPr>
          <w:rFonts w:eastAsia="Italic" w:cs="Arial"/>
          <w:sz w:val="24"/>
          <w:lang w:eastAsia="zh-CN"/>
        </w:rPr>
        <w:t xml:space="preserve"> </w:t>
      </w:r>
      <w:bookmarkStart w:id="0" w:name="OLE_LINK12"/>
      <w:r w:rsidRPr="0017434E">
        <w:rPr>
          <w:rFonts w:cs="Arial"/>
          <w:sz w:val="15"/>
          <w:szCs w:val="15"/>
          <w:lang w:eastAsia="zh-CN"/>
        </w:rPr>
        <w:t>After adjusting for AHI and LSpO2</w:t>
      </w:r>
      <w:bookmarkEnd w:id="0"/>
    </w:p>
    <w:p w14:paraId="5885DEF5" w14:textId="585B015C" w:rsidR="00311A61" w:rsidRPr="0017434E" w:rsidRDefault="00074BA4" w:rsidP="00311A61">
      <w:pPr>
        <w:widowControl w:val="0"/>
        <w:spacing w:line="360" w:lineRule="auto"/>
        <w:jc w:val="both"/>
        <w:rPr>
          <w:rFonts w:cs="Arial"/>
          <w:sz w:val="15"/>
          <w:szCs w:val="15"/>
          <w:lang w:eastAsia="zh-CN"/>
        </w:rPr>
      </w:pPr>
      <w:r w:rsidRPr="0017434E">
        <w:rPr>
          <w:rFonts w:cs="Arial" w:hint="eastAsia"/>
          <w:sz w:val="15"/>
          <w:szCs w:val="15"/>
          <w:lang w:eastAsia="zh-CN"/>
        </w:rPr>
        <w:t>S</w:t>
      </w:r>
      <w:r w:rsidRPr="0017434E">
        <w:rPr>
          <w:rFonts w:cs="Arial"/>
          <w:sz w:val="15"/>
          <w:szCs w:val="15"/>
          <w:lang w:eastAsia="zh-CN"/>
        </w:rPr>
        <w:t xml:space="preserve">upplementary Table </w:t>
      </w:r>
      <w:r w:rsidRPr="0017434E">
        <w:rPr>
          <w:rFonts w:cs="Arial" w:hint="eastAsia"/>
          <w:sz w:val="15"/>
          <w:szCs w:val="15"/>
          <w:lang w:eastAsia="zh-CN"/>
        </w:rPr>
        <w:t>2</w:t>
      </w:r>
      <w:r w:rsidRPr="0017434E">
        <w:rPr>
          <w:rFonts w:cs="Arial"/>
          <w:sz w:val="15"/>
          <w:szCs w:val="15"/>
          <w:lang w:eastAsia="zh-CN"/>
        </w:rPr>
        <w:t xml:space="preserve"> E/e' logistic regression analysis of different groups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1535"/>
        <w:gridCol w:w="2454"/>
        <w:gridCol w:w="2046"/>
        <w:gridCol w:w="1253"/>
        <w:gridCol w:w="2328"/>
        <w:gridCol w:w="1572"/>
      </w:tblGrid>
      <w:tr w:rsidR="0017434E" w:rsidRPr="0017434E" w14:paraId="567ABACE" w14:textId="77777777" w:rsidTr="00D07329">
        <w:trPr>
          <w:trHeight w:val="525"/>
          <w:jc w:val="center"/>
        </w:trPr>
        <w:tc>
          <w:tcPr>
            <w:tcW w:w="99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C749CD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Variables</w:t>
            </w:r>
          </w:p>
        </w:tc>
        <w:tc>
          <w:tcPr>
            <w:tcW w:w="4008" w:type="pct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670D6C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Regression analysis</w:t>
            </w:r>
          </w:p>
        </w:tc>
      </w:tr>
      <w:tr w:rsidR="0017434E" w:rsidRPr="0017434E" w14:paraId="6F66C7FB" w14:textId="77777777" w:rsidTr="00D07329">
        <w:trPr>
          <w:trHeight w:val="525"/>
          <w:jc w:val="center"/>
        </w:trPr>
        <w:tc>
          <w:tcPr>
            <w:tcW w:w="992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D5D511F" w14:textId="77777777" w:rsidR="00311A61" w:rsidRPr="0017434E" w:rsidRDefault="00311A61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550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FFDD566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B-value</w:t>
            </w:r>
          </w:p>
        </w:tc>
        <w:tc>
          <w:tcPr>
            <w:tcW w:w="879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7F07A4E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standard error</w:t>
            </w:r>
          </w:p>
        </w:tc>
        <w:tc>
          <w:tcPr>
            <w:tcW w:w="733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F90CA6B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Wald-value</w:t>
            </w:r>
          </w:p>
        </w:tc>
        <w:tc>
          <w:tcPr>
            <w:tcW w:w="449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60B23AAB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OR</w:t>
            </w:r>
          </w:p>
        </w:tc>
        <w:tc>
          <w:tcPr>
            <w:tcW w:w="834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0819D1F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95%CI of OR</w:t>
            </w:r>
          </w:p>
        </w:tc>
        <w:tc>
          <w:tcPr>
            <w:tcW w:w="563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775706C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p</w:t>
            </w:r>
          </w:p>
        </w:tc>
      </w:tr>
      <w:tr w:rsidR="0017434E" w:rsidRPr="0017434E" w14:paraId="4FD2ED24" w14:textId="77777777" w:rsidTr="00D07329">
        <w:trPr>
          <w:trHeight w:val="525"/>
          <w:jc w:val="center"/>
        </w:trPr>
        <w:tc>
          <w:tcPr>
            <w:tcW w:w="992" w:type="pct"/>
            <w:tcBorders>
              <w:tl2br w:val="nil"/>
              <w:tr2bl w:val="nil"/>
            </w:tcBorders>
            <w:vAlign w:val="center"/>
          </w:tcPr>
          <w:p w14:paraId="5512E5FD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SBP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mmHg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550" w:type="pct"/>
            <w:tcBorders>
              <w:tl2br w:val="nil"/>
              <w:tr2bl w:val="nil"/>
            </w:tcBorders>
            <w:vAlign w:val="center"/>
          </w:tcPr>
          <w:p w14:paraId="510DF3D9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0.031</w:t>
            </w:r>
          </w:p>
        </w:tc>
        <w:tc>
          <w:tcPr>
            <w:tcW w:w="879" w:type="pct"/>
            <w:tcBorders>
              <w:tl2br w:val="nil"/>
              <w:tr2bl w:val="nil"/>
            </w:tcBorders>
            <w:vAlign w:val="center"/>
          </w:tcPr>
          <w:p w14:paraId="1F50BCFA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0.008</w:t>
            </w:r>
          </w:p>
        </w:tc>
        <w:tc>
          <w:tcPr>
            <w:tcW w:w="733" w:type="pct"/>
            <w:tcBorders>
              <w:tl2br w:val="nil"/>
              <w:tr2bl w:val="nil"/>
            </w:tcBorders>
            <w:vAlign w:val="center"/>
          </w:tcPr>
          <w:p w14:paraId="776E80EF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14.388</w:t>
            </w:r>
          </w:p>
        </w:tc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14:paraId="655540EA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1.031</w:t>
            </w: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 w14:paraId="12A84706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1.015-1.047</w:t>
            </w:r>
          </w:p>
        </w:tc>
        <w:tc>
          <w:tcPr>
            <w:tcW w:w="563" w:type="pct"/>
            <w:tcBorders>
              <w:tl2br w:val="nil"/>
              <w:tr2bl w:val="nil"/>
            </w:tcBorders>
            <w:vAlign w:val="center"/>
          </w:tcPr>
          <w:p w14:paraId="5CB967E0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＜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0.001</w:t>
            </w:r>
          </w:p>
        </w:tc>
      </w:tr>
      <w:tr w:rsidR="0017434E" w:rsidRPr="0017434E" w14:paraId="478B9327" w14:textId="77777777" w:rsidTr="00D07329">
        <w:trPr>
          <w:trHeight w:val="525"/>
          <w:jc w:val="center"/>
        </w:trPr>
        <w:tc>
          <w:tcPr>
            <w:tcW w:w="992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9E06614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 xml:space="preserve">DBP 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（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mmHg</w:t>
            </w:r>
            <w:r w:rsidRPr="0017434E">
              <w:rPr>
                <w:rFonts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550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0B8EB99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-0.006</w:t>
            </w:r>
          </w:p>
        </w:tc>
        <w:tc>
          <w:tcPr>
            <w:tcW w:w="879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313340B9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0.012</w:t>
            </w:r>
          </w:p>
        </w:tc>
        <w:tc>
          <w:tcPr>
            <w:tcW w:w="733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1646C184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0.220</w:t>
            </w:r>
          </w:p>
        </w:tc>
        <w:tc>
          <w:tcPr>
            <w:tcW w:w="449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337AA34B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0.970</w:t>
            </w:r>
          </w:p>
        </w:tc>
        <w:tc>
          <w:tcPr>
            <w:tcW w:w="834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02D752E2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0.970-1.019</w:t>
            </w:r>
          </w:p>
        </w:tc>
        <w:tc>
          <w:tcPr>
            <w:tcW w:w="563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19936B64" w14:textId="77777777" w:rsidR="00311A61" w:rsidRPr="0017434E" w:rsidRDefault="00000000" w:rsidP="00D07329">
            <w:pPr>
              <w:spacing w:line="360" w:lineRule="auto"/>
              <w:rPr>
                <w:rFonts w:cs="Arial"/>
                <w:sz w:val="15"/>
                <w:szCs w:val="15"/>
                <w:lang w:eastAsia="zh-CN"/>
              </w:rPr>
            </w:pPr>
            <w:r w:rsidRPr="0017434E">
              <w:rPr>
                <w:rFonts w:cs="Arial"/>
                <w:sz w:val="15"/>
                <w:szCs w:val="15"/>
                <w:lang w:eastAsia="zh-CN"/>
              </w:rPr>
              <w:t>0.639</w:t>
            </w:r>
          </w:p>
        </w:tc>
      </w:tr>
    </w:tbl>
    <w:p w14:paraId="61883ECF" w14:textId="42140DC0" w:rsidR="007C714A" w:rsidRPr="0017434E" w:rsidRDefault="00000000" w:rsidP="007C714A">
      <w:pPr>
        <w:widowControl w:val="0"/>
        <w:spacing w:line="360" w:lineRule="auto"/>
        <w:jc w:val="both"/>
        <w:rPr>
          <w:rFonts w:cs="Arial"/>
          <w:sz w:val="15"/>
          <w:szCs w:val="15"/>
          <w:lang w:eastAsia="zh-CN"/>
        </w:rPr>
      </w:pPr>
      <w:r w:rsidRPr="0017434E">
        <w:rPr>
          <w:rFonts w:cs="Arial"/>
          <w:sz w:val="15"/>
          <w:szCs w:val="15"/>
          <w:lang w:eastAsia="zh-CN"/>
        </w:rPr>
        <w:t>Abbreviations: SBP, systolic blood pressure; DBP, diastolic blood pressure</w:t>
      </w:r>
    </w:p>
    <w:sectPr w:rsidR="007C714A" w:rsidRPr="0017434E" w:rsidSect="007C714A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F776C" w14:textId="77777777" w:rsidR="00403D88" w:rsidRDefault="00403D88" w:rsidP="00BB21A7">
      <w:pPr>
        <w:spacing w:line="240" w:lineRule="auto"/>
      </w:pPr>
      <w:r>
        <w:separator/>
      </w:r>
    </w:p>
  </w:endnote>
  <w:endnote w:type="continuationSeparator" w:id="0">
    <w:p w14:paraId="71183207" w14:textId="77777777" w:rsidR="00403D88" w:rsidRDefault="00403D88" w:rsidP="00BB2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alic">
    <w:altName w:val="Segoe Print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E8F78" w14:textId="35F898E6" w:rsidR="0017434E" w:rsidRDefault="001743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0E7FF5" wp14:editId="0FB6B5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0420" cy="461645"/>
              <wp:effectExtent l="0" t="0" r="5080" b="0"/>
              <wp:wrapNone/>
              <wp:docPr id="93553342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042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C5907" w14:textId="46701CA9" w:rsidR="0017434E" w:rsidRPr="0017434E" w:rsidRDefault="0017434E" w:rsidP="0017434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7434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E7F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6pt;height:36.3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1D7C5907" w14:textId="46701CA9" w:rsidR="0017434E" w:rsidRPr="0017434E" w:rsidRDefault="0017434E" w:rsidP="0017434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7434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C647A" w14:textId="6B04C3F2" w:rsidR="0017434E" w:rsidRDefault="001743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DE08AF" wp14:editId="3FCE29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0420" cy="461645"/>
              <wp:effectExtent l="0" t="0" r="5080" b="0"/>
              <wp:wrapNone/>
              <wp:docPr id="167904935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042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E8B32" w14:textId="4A0EDF9F" w:rsidR="0017434E" w:rsidRPr="0017434E" w:rsidRDefault="0017434E" w:rsidP="0017434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7434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E08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6pt;height:36.3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45E8B32" w14:textId="4A0EDF9F" w:rsidR="0017434E" w:rsidRPr="0017434E" w:rsidRDefault="0017434E" w:rsidP="0017434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7434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E0ADF" w14:textId="1A1747E7" w:rsidR="0017434E" w:rsidRDefault="001743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2E19ED" wp14:editId="52023D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0420" cy="461645"/>
              <wp:effectExtent l="0" t="0" r="5080" b="0"/>
              <wp:wrapNone/>
              <wp:docPr id="199314295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042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B5AE2" w14:textId="59CA5CFA" w:rsidR="0017434E" w:rsidRPr="0017434E" w:rsidRDefault="0017434E" w:rsidP="0017434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7434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E19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6pt;height:36.3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5AB5AE2" w14:textId="59CA5CFA" w:rsidR="0017434E" w:rsidRPr="0017434E" w:rsidRDefault="0017434E" w:rsidP="0017434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7434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F2821" w14:textId="77777777" w:rsidR="00403D88" w:rsidRDefault="00403D88" w:rsidP="00BB21A7">
      <w:pPr>
        <w:spacing w:line="240" w:lineRule="auto"/>
      </w:pPr>
      <w:r>
        <w:separator/>
      </w:r>
    </w:p>
  </w:footnote>
  <w:footnote w:type="continuationSeparator" w:id="0">
    <w:p w14:paraId="2D592C90" w14:textId="77777777" w:rsidR="00403D88" w:rsidRDefault="00403D88" w:rsidP="00BB21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A2"/>
    <w:rsid w:val="00023F3E"/>
    <w:rsid w:val="000370DC"/>
    <w:rsid w:val="00074BA4"/>
    <w:rsid w:val="000B4EA2"/>
    <w:rsid w:val="0017434E"/>
    <w:rsid w:val="002B5E7F"/>
    <w:rsid w:val="00311A61"/>
    <w:rsid w:val="003B3B20"/>
    <w:rsid w:val="00403D88"/>
    <w:rsid w:val="00405793"/>
    <w:rsid w:val="00501236"/>
    <w:rsid w:val="00511F89"/>
    <w:rsid w:val="005832C8"/>
    <w:rsid w:val="00752F51"/>
    <w:rsid w:val="00781CFF"/>
    <w:rsid w:val="007C714A"/>
    <w:rsid w:val="0080113A"/>
    <w:rsid w:val="00BA1C5F"/>
    <w:rsid w:val="00BB21A7"/>
    <w:rsid w:val="00C634EA"/>
    <w:rsid w:val="00CB3ABE"/>
    <w:rsid w:val="00D07329"/>
    <w:rsid w:val="00DB5FE2"/>
    <w:rsid w:val="00F36ACC"/>
    <w:rsid w:val="00F4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E21E1"/>
  <w15:chartTrackingRefBased/>
  <w15:docId w15:val="{980A810A-C036-431D-BAF6-3C120D08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A61"/>
    <w:pPr>
      <w:spacing w:line="480" w:lineRule="auto"/>
    </w:pPr>
    <w:rPr>
      <w:rFonts w:ascii="Arial" w:eastAsia="SimSun" w:hAnsi="Arial" w:cs="Times New Roman"/>
      <w:kern w:val="0"/>
      <w:sz w:val="20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A61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11A6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1A61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11A61"/>
    <w:rPr>
      <w:sz w:val="18"/>
      <w:szCs w:val="18"/>
    </w:rPr>
  </w:style>
  <w:style w:type="table" w:styleId="TableGrid">
    <w:name w:val="Table Grid"/>
    <w:basedOn w:val="TableNormal"/>
    <w:autoRedefine/>
    <w:qFormat/>
    <w:rsid w:val="00311A61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11A61"/>
  </w:style>
  <w:style w:type="character" w:styleId="CommentReference">
    <w:name w:val="annotation reference"/>
    <w:basedOn w:val="DefaultParagraphFont"/>
    <w:uiPriority w:val="99"/>
    <w:semiHidden/>
    <w:unhideWhenUsed/>
    <w:rsid w:val="00C63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4E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4EA"/>
    <w:rPr>
      <w:rFonts w:ascii="Arial" w:eastAsia="SimSun" w:hAnsi="Arial" w:cs="Times New Roman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4EA"/>
    <w:rPr>
      <w:rFonts w:ascii="Arial" w:eastAsia="SimSun" w:hAnsi="Arial" w:cs="Times New Roman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0412A-8725-430E-A4F6-BD64C04E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Khanapur, Soumya</cp:lastModifiedBy>
  <cp:revision>7</cp:revision>
  <dcterms:created xsi:type="dcterms:W3CDTF">2024-11-29T02:38:00Z</dcterms:created>
  <dcterms:modified xsi:type="dcterms:W3CDTF">2024-12-11T03:38:00Z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76ccf2aa,37c31b71,6414428d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2024-12-11T03:38:51Z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2efca8e2-1fbb-4b6d-949b-cd4f18333f23</vt:lpwstr>
  </property>
  <property fmtid="{D5CDD505-2E9C-101B-9397-08002B2CF9AE}" pid="11" name="MSIP_Label_2bbab825-a111-45e4-86a1-18cee0005896_ContentBits">
    <vt:lpwstr>2</vt:lpwstr>
  </property>
</Properties>
</file>