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CAA839" w14:textId="77777777" w:rsidR="00D45D18" w:rsidRDefault="00D45D18">
      <w:pPr>
        <w:rPr>
          <w:rFonts w:ascii="Times New Roman" w:hAnsi="Times New Roman"/>
          <w:sz w:val="20"/>
          <w:szCs w:val="20"/>
        </w:rPr>
      </w:pPr>
    </w:p>
    <w:p w14:paraId="0DA4474F" w14:textId="77777777" w:rsidR="00D45D18" w:rsidRDefault="00D45D18">
      <w:pPr>
        <w:jc w:val="center"/>
        <w:rPr>
          <w:rFonts w:ascii="Times New Roman" w:hAnsi="Times New Roman"/>
          <w:sz w:val="20"/>
          <w:szCs w:val="20"/>
        </w:rPr>
      </w:pPr>
    </w:p>
    <w:p w14:paraId="725068CE" w14:textId="77777777" w:rsidR="00D45D18" w:rsidRDefault="00000000">
      <w:pPr>
        <w:jc w:val="center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TABLE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 xml:space="preserve"> | 28-day fatality rate </w:t>
      </w:r>
      <w:r>
        <w:rPr>
          <w:rFonts w:ascii="Times New Roman" w:hAnsi="Times New Roman" w:hint="eastAsia"/>
          <w:sz w:val="20"/>
          <w:szCs w:val="20"/>
        </w:rPr>
        <w:t>for exploring</w:t>
      </w:r>
      <w:r>
        <w:rPr>
          <w:rFonts w:ascii="Times New Roman" w:hAnsi="Times New Roman"/>
          <w:sz w:val="20"/>
          <w:szCs w:val="20"/>
        </w:rPr>
        <w:t xml:space="preserve"> risk factor of the study participants</w:t>
      </w:r>
      <w:r>
        <w:rPr>
          <w:rFonts w:ascii="Times New Roman" w:hAnsi="Times New Roman" w:hint="eastAsia"/>
          <w:sz w:val="20"/>
          <w:szCs w:val="20"/>
        </w:rPr>
        <w:t>.</w:t>
      </w:r>
    </w:p>
    <w:tbl>
      <w:tblPr>
        <w:tblW w:w="9634" w:type="dxa"/>
        <w:jc w:val="center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969"/>
        <w:gridCol w:w="2031"/>
        <w:gridCol w:w="1896"/>
        <w:gridCol w:w="869"/>
        <w:gridCol w:w="869"/>
      </w:tblGrid>
      <w:tr w:rsidR="00D45D18" w14:paraId="2E7D921D" w14:textId="77777777">
        <w:trPr>
          <w:trHeight w:val="599"/>
          <w:jc w:val="center"/>
        </w:trPr>
        <w:tc>
          <w:tcPr>
            <w:tcW w:w="3969" w:type="dxa"/>
            <w:tcBorders>
              <w:bottom w:val="single" w:sz="4" w:space="0" w:color="auto"/>
            </w:tcBorders>
            <w:noWrap/>
          </w:tcPr>
          <w:p w14:paraId="11D18F24" w14:textId="77777777" w:rsidR="00D45D18" w:rsidRDefault="00D45D18">
            <w:pPr>
              <w:widowControl/>
              <w:jc w:val="center"/>
              <w:rPr>
                <w:rFonts w:ascii="Times New Roman" w:eastAsia="DengXi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noWrap/>
          </w:tcPr>
          <w:p w14:paraId="2F6D0590" w14:textId="77777777" w:rsidR="00D45D18" w:rsidRDefault="00000000">
            <w:pPr>
              <w:widowControl/>
              <w:jc w:val="center"/>
              <w:rPr>
                <w:rFonts w:ascii="Times New Roman" w:eastAsia="DengXi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DengXian" w:hAnsi="Times New Roman"/>
                <w:color w:val="000000"/>
                <w:kern w:val="0"/>
                <w:sz w:val="20"/>
                <w:szCs w:val="20"/>
              </w:rPr>
              <w:t>28-day survival (n=</w:t>
            </w:r>
            <w:r>
              <w:rPr>
                <w:rFonts w:ascii="Times New Roman" w:eastAsia="DengXian" w:hAnsi="Times New Roman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Times New Roman" w:eastAsia="DengXian" w:hAnsi="Times New Roman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noWrap/>
          </w:tcPr>
          <w:p w14:paraId="047B229C" w14:textId="77777777" w:rsidR="00D45D18" w:rsidRDefault="00000000">
            <w:pPr>
              <w:widowControl/>
              <w:jc w:val="center"/>
              <w:rPr>
                <w:rFonts w:ascii="Times New Roman" w:eastAsia="DengXi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DengXian" w:hAnsi="Times New Roman"/>
                <w:color w:val="000000"/>
                <w:kern w:val="0"/>
                <w:sz w:val="20"/>
                <w:szCs w:val="20"/>
              </w:rPr>
              <w:t>28-day</w:t>
            </w:r>
            <w:r>
              <w:rPr>
                <w:rFonts w:ascii="Times New Roman" w:eastAsia="DengXian" w:hAnsi="Times New Roman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DengXian" w:hAnsi="Times New Roman"/>
                <w:color w:val="000000"/>
                <w:kern w:val="0"/>
                <w:sz w:val="20"/>
                <w:szCs w:val="20"/>
              </w:rPr>
              <w:t>death (n=</w:t>
            </w:r>
            <w:r>
              <w:rPr>
                <w:rFonts w:ascii="Times New Roman" w:eastAsia="DengXian" w:hAnsi="Times New Roman" w:hint="eastAsia"/>
                <w:color w:val="000000"/>
                <w:kern w:val="0"/>
                <w:sz w:val="20"/>
                <w:szCs w:val="20"/>
              </w:rPr>
              <w:t>137</w:t>
            </w:r>
            <w:r>
              <w:rPr>
                <w:rFonts w:ascii="Times New Roman" w:eastAsia="DengXian" w:hAnsi="Times New Roman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14:paraId="02EB5E1E" w14:textId="77777777" w:rsidR="00D45D18" w:rsidRDefault="00000000">
            <w:pPr>
              <w:widowControl/>
              <w:jc w:val="center"/>
              <w:rPr>
                <w:rFonts w:ascii="Times New Roman" w:eastAsia="DengXian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DengXian" w:hAnsi="Times New Roman" w:hint="eastAsia"/>
                <w:i/>
                <w:iCs/>
                <w:color w:val="000000"/>
                <w:kern w:val="0"/>
                <w:sz w:val="20"/>
                <w:szCs w:val="20"/>
              </w:rPr>
              <w:t>Z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noWrap/>
          </w:tcPr>
          <w:p w14:paraId="1A865528" w14:textId="77777777" w:rsidR="00D45D18" w:rsidRDefault="00000000">
            <w:pPr>
              <w:widowControl/>
              <w:jc w:val="center"/>
              <w:rPr>
                <w:rFonts w:ascii="Times New Roman" w:eastAsia="DengXian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DengXian" w:hAnsi="Times New Roman"/>
                <w:i/>
                <w:iCs/>
                <w:color w:val="000000"/>
                <w:kern w:val="0"/>
                <w:sz w:val="20"/>
                <w:szCs w:val="20"/>
              </w:rPr>
              <w:t>P</w:t>
            </w:r>
            <w:r>
              <w:rPr>
                <w:rFonts w:ascii="Times New Roman" w:eastAsia="DengXian" w:hAnsi="Times New Roman"/>
                <w:color w:val="000000"/>
                <w:kern w:val="0"/>
                <w:sz w:val="20"/>
                <w:szCs w:val="20"/>
              </w:rPr>
              <w:t>-value</w:t>
            </w:r>
          </w:p>
        </w:tc>
      </w:tr>
      <w:tr w:rsidR="00D45D18" w14:paraId="433B3DDD" w14:textId="77777777">
        <w:trPr>
          <w:trHeight w:val="303"/>
          <w:jc w:val="center"/>
        </w:trPr>
        <w:tc>
          <w:tcPr>
            <w:tcW w:w="3969" w:type="dxa"/>
            <w:noWrap/>
          </w:tcPr>
          <w:p w14:paraId="225B1DF5" w14:textId="77777777" w:rsidR="00D45D18" w:rsidRDefault="00000000">
            <w:pPr>
              <w:widowControl/>
              <w:ind w:firstLineChars="200" w:firstLine="400"/>
              <w:jc w:val="center"/>
              <w:rPr>
                <w:rFonts w:ascii="Times New Roman" w:eastAsia="DengXian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DengXian" w:hAnsi="Times New Roman"/>
                <w:kern w:val="0"/>
                <w:sz w:val="20"/>
                <w:szCs w:val="20"/>
              </w:rPr>
              <w:t>Age (years)</w:t>
            </w:r>
          </w:p>
        </w:tc>
        <w:tc>
          <w:tcPr>
            <w:tcW w:w="2031" w:type="dxa"/>
            <w:noWrap/>
          </w:tcPr>
          <w:p w14:paraId="1C98F50E" w14:textId="77777777" w:rsidR="00D45D18" w:rsidRDefault="00000000">
            <w:pPr>
              <w:widowControl/>
              <w:jc w:val="center"/>
              <w:rPr>
                <w:rFonts w:ascii="Times New Roman" w:eastAsia="DengXian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DengXian" w:hAnsi="Times New Roman"/>
                <w:kern w:val="0"/>
                <w:sz w:val="20"/>
                <w:szCs w:val="20"/>
              </w:rPr>
              <w:t>52.0 (44.0-60.0)</w:t>
            </w:r>
          </w:p>
        </w:tc>
        <w:tc>
          <w:tcPr>
            <w:tcW w:w="1896" w:type="dxa"/>
            <w:noWrap/>
          </w:tcPr>
          <w:p w14:paraId="32FDE4A4" w14:textId="77777777" w:rsidR="00D45D18" w:rsidRDefault="00000000">
            <w:pPr>
              <w:widowControl/>
              <w:jc w:val="center"/>
              <w:rPr>
                <w:rFonts w:ascii="Times New Roman" w:eastAsia="DengXian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DengXian" w:hAnsi="Times New Roman"/>
                <w:kern w:val="0"/>
                <w:sz w:val="20"/>
                <w:szCs w:val="20"/>
              </w:rPr>
              <w:t>56.0 (47.0-65.0)</w:t>
            </w:r>
          </w:p>
        </w:tc>
        <w:tc>
          <w:tcPr>
            <w:tcW w:w="869" w:type="dxa"/>
          </w:tcPr>
          <w:p w14:paraId="51393727" w14:textId="77777777" w:rsidR="00D45D18" w:rsidRDefault="00000000">
            <w:pPr>
              <w:widowControl/>
              <w:jc w:val="center"/>
              <w:rPr>
                <w:rFonts w:ascii="Times New Roman" w:eastAsia="DengXian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DengXian" w:hAnsi="Times New Roman" w:hint="eastAsia"/>
                <w:kern w:val="0"/>
                <w:sz w:val="20"/>
                <w:szCs w:val="20"/>
              </w:rPr>
              <w:t>-2.632</w:t>
            </w:r>
          </w:p>
        </w:tc>
        <w:tc>
          <w:tcPr>
            <w:tcW w:w="869" w:type="dxa"/>
            <w:noWrap/>
          </w:tcPr>
          <w:p w14:paraId="1B05A943" w14:textId="77777777" w:rsidR="00D45D18" w:rsidRDefault="00000000">
            <w:pPr>
              <w:widowControl/>
              <w:jc w:val="center"/>
              <w:rPr>
                <w:rFonts w:ascii="Times New Roman" w:eastAsia="DengXian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DengXian" w:hAnsi="Times New Roman"/>
                <w:kern w:val="0"/>
                <w:sz w:val="20"/>
                <w:szCs w:val="20"/>
              </w:rPr>
              <w:t>0.</w:t>
            </w:r>
            <w:r>
              <w:rPr>
                <w:rFonts w:ascii="Times New Roman" w:eastAsia="DengXian" w:hAnsi="Times New Roman" w:hint="eastAsia"/>
                <w:kern w:val="0"/>
                <w:sz w:val="20"/>
                <w:szCs w:val="20"/>
              </w:rPr>
              <w:t>008</w:t>
            </w:r>
          </w:p>
        </w:tc>
      </w:tr>
      <w:tr w:rsidR="00D45D18" w14:paraId="7BBB366A" w14:textId="77777777">
        <w:trPr>
          <w:trHeight w:val="303"/>
          <w:jc w:val="center"/>
        </w:trPr>
        <w:tc>
          <w:tcPr>
            <w:tcW w:w="3969" w:type="dxa"/>
            <w:noWrap/>
          </w:tcPr>
          <w:p w14:paraId="52C12EE9" w14:textId="77777777" w:rsidR="00D45D18" w:rsidRDefault="00000000">
            <w:pPr>
              <w:widowControl/>
              <w:ind w:firstLineChars="200" w:firstLine="400"/>
              <w:jc w:val="center"/>
              <w:rPr>
                <w:rFonts w:ascii="Times New Roman" w:eastAsia="DengXian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DengXian" w:hAnsi="Times New Roman"/>
                <w:kern w:val="0"/>
                <w:sz w:val="20"/>
                <w:szCs w:val="20"/>
              </w:rPr>
              <w:t>Expectoration, N (%)</w:t>
            </w:r>
          </w:p>
        </w:tc>
        <w:tc>
          <w:tcPr>
            <w:tcW w:w="2031" w:type="dxa"/>
            <w:noWrap/>
          </w:tcPr>
          <w:p w14:paraId="58318280" w14:textId="77777777" w:rsidR="00D45D18" w:rsidRDefault="00000000">
            <w:pPr>
              <w:widowControl/>
              <w:jc w:val="center"/>
              <w:rPr>
                <w:rFonts w:ascii="Times New Roman" w:eastAsia="DengXian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DengXian" w:hAnsi="Times New Roman"/>
                <w:kern w:val="0"/>
                <w:sz w:val="20"/>
                <w:szCs w:val="20"/>
              </w:rPr>
              <w:t>33 (11.0%)</w:t>
            </w:r>
          </w:p>
        </w:tc>
        <w:tc>
          <w:tcPr>
            <w:tcW w:w="1896" w:type="dxa"/>
            <w:noWrap/>
          </w:tcPr>
          <w:p w14:paraId="7E684AE1" w14:textId="77777777" w:rsidR="00D45D18" w:rsidRDefault="00000000">
            <w:pPr>
              <w:widowControl/>
              <w:jc w:val="center"/>
              <w:rPr>
                <w:rFonts w:ascii="Times New Roman" w:eastAsia="DengXian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DengXian" w:hAnsi="Times New Roman"/>
                <w:kern w:val="0"/>
                <w:sz w:val="20"/>
                <w:szCs w:val="20"/>
              </w:rPr>
              <w:t>32 (23.4%)</w:t>
            </w:r>
          </w:p>
        </w:tc>
        <w:tc>
          <w:tcPr>
            <w:tcW w:w="869" w:type="dxa"/>
          </w:tcPr>
          <w:p w14:paraId="020D868A" w14:textId="77777777" w:rsidR="00D45D18" w:rsidRDefault="00000000">
            <w:pPr>
              <w:widowControl/>
              <w:jc w:val="center"/>
              <w:rPr>
                <w:rFonts w:ascii="Times New Roman" w:eastAsia="DengXian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DengXian" w:hAnsi="Times New Roman" w:hint="eastAsia"/>
                <w:kern w:val="0"/>
                <w:sz w:val="20"/>
                <w:szCs w:val="20"/>
              </w:rPr>
              <w:t>-3.379</w:t>
            </w:r>
          </w:p>
        </w:tc>
        <w:tc>
          <w:tcPr>
            <w:tcW w:w="869" w:type="dxa"/>
            <w:noWrap/>
          </w:tcPr>
          <w:p w14:paraId="5BEF05B7" w14:textId="77777777" w:rsidR="00D45D18" w:rsidRDefault="00000000">
            <w:pPr>
              <w:widowControl/>
              <w:jc w:val="center"/>
              <w:rPr>
                <w:rFonts w:ascii="Times New Roman" w:eastAsia="DengXian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DengXian" w:hAnsi="Times New Roman"/>
                <w:kern w:val="0"/>
                <w:sz w:val="20"/>
                <w:szCs w:val="20"/>
              </w:rPr>
              <w:t>&lt;0.001</w:t>
            </w:r>
          </w:p>
        </w:tc>
      </w:tr>
      <w:tr w:rsidR="00D45D18" w14:paraId="12EAABA2" w14:textId="77777777">
        <w:trPr>
          <w:trHeight w:val="303"/>
          <w:jc w:val="center"/>
        </w:trPr>
        <w:tc>
          <w:tcPr>
            <w:tcW w:w="3969" w:type="dxa"/>
            <w:noWrap/>
          </w:tcPr>
          <w:p w14:paraId="582377CB" w14:textId="77777777" w:rsidR="00D45D18" w:rsidRDefault="00000000">
            <w:pPr>
              <w:widowControl/>
              <w:ind w:firstLineChars="200" w:firstLine="400"/>
              <w:jc w:val="center"/>
              <w:rPr>
                <w:rFonts w:ascii="Times New Roman" w:eastAsia="DengXian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DengXian" w:hAnsi="Times New Roman"/>
                <w:kern w:val="0"/>
                <w:sz w:val="20"/>
                <w:szCs w:val="20"/>
              </w:rPr>
              <w:t>ACLF patients without IPA, N (%)</w:t>
            </w:r>
          </w:p>
        </w:tc>
        <w:tc>
          <w:tcPr>
            <w:tcW w:w="2031" w:type="dxa"/>
            <w:noWrap/>
          </w:tcPr>
          <w:p w14:paraId="63B7872D" w14:textId="77777777" w:rsidR="00D45D18" w:rsidRDefault="00000000">
            <w:pPr>
              <w:widowControl/>
              <w:jc w:val="center"/>
              <w:rPr>
                <w:rFonts w:ascii="Times New Roman" w:eastAsia="DengXian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DengXian" w:hAnsi="Times New Roman"/>
                <w:kern w:val="0"/>
                <w:sz w:val="20"/>
                <w:szCs w:val="20"/>
              </w:rPr>
              <w:t>288 (95.7%)</w:t>
            </w:r>
          </w:p>
        </w:tc>
        <w:tc>
          <w:tcPr>
            <w:tcW w:w="1896" w:type="dxa"/>
            <w:noWrap/>
          </w:tcPr>
          <w:p w14:paraId="12C9C0C9" w14:textId="77777777" w:rsidR="00D45D18" w:rsidRDefault="00000000">
            <w:pPr>
              <w:widowControl/>
              <w:jc w:val="center"/>
              <w:rPr>
                <w:rFonts w:ascii="Times New Roman" w:eastAsia="DengXian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DengXian" w:hAnsi="Times New Roman"/>
                <w:kern w:val="0"/>
                <w:sz w:val="20"/>
                <w:szCs w:val="20"/>
              </w:rPr>
              <w:t>120 (87.6%)</w:t>
            </w:r>
          </w:p>
        </w:tc>
        <w:tc>
          <w:tcPr>
            <w:tcW w:w="869" w:type="dxa"/>
          </w:tcPr>
          <w:p w14:paraId="60F5A706" w14:textId="77777777" w:rsidR="00D45D18" w:rsidRDefault="00000000">
            <w:pPr>
              <w:widowControl/>
              <w:jc w:val="center"/>
              <w:rPr>
                <w:rFonts w:ascii="Times New Roman" w:eastAsia="DengXian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DengXian" w:hAnsi="Times New Roman" w:hint="eastAsia"/>
                <w:kern w:val="0"/>
                <w:sz w:val="20"/>
                <w:szCs w:val="20"/>
              </w:rPr>
              <w:t>-3.104</w:t>
            </w:r>
          </w:p>
        </w:tc>
        <w:tc>
          <w:tcPr>
            <w:tcW w:w="869" w:type="dxa"/>
            <w:noWrap/>
          </w:tcPr>
          <w:p w14:paraId="4B15805F" w14:textId="77777777" w:rsidR="00D45D18" w:rsidRDefault="00000000">
            <w:pPr>
              <w:widowControl/>
              <w:jc w:val="center"/>
              <w:rPr>
                <w:rFonts w:ascii="Times New Roman" w:eastAsia="DengXian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DengXian" w:hAnsi="Times New Roman"/>
                <w:kern w:val="0"/>
                <w:sz w:val="20"/>
                <w:szCs w:val="20"/>
              </w:rPr>
              <w:t>0.002</w:t>
            </w:r>
          </w:p>
        </w:tc>
      </w:tr>
      <w:tr w:rsidR="00D45D18" w14:paraId="7EAC02E6" w14:textId="77777777">
        <w:trPr>
          <w:trHeight w:val="303"/>
          <w:jc w:val="center"/>
        </w:trPr>
        <w:tc>
          <w:tcPr>
            <w:tcW w:w="3969" w:type="dxa"/>
            <w:noWrap/>
          </w:tcPr>
          <w:p w14:paraId="4FC727A3" w14:textId="77777777" w:rsidR="00D45D18" w:rsidRDefault="00000000">
            <w:pPr>
              <w:widowControl/>
              <w:ind w:firstLineChars="200" w:firstLine="400"/>
              <w:jc w:val="center"/>
              <w:rPr>
                <w:rFonts w:ascii="Times New Roman" w:eastAsia="DengXian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DengXian" w:hAnsi="Times New Roman"/>
                <w:kern w:val="0"/>
                <w:sz w:val="20"/>
                <w:szCs w:val="20"/>
              </w:rPr>
              <w:t>Bacterial and fungal infections, N (%)</w:t>
            </w:r>
          </w:p>
        </w:tc>
        <w:tc>
          <w:tcPr>
            <w:tcW w:w="2031" w:type="dxa"/>
            <w:noWrap/>
          </w:tcPr>
          <w:p w14:paraId="2648847D" w14:textId="77777777" w:rsidR="00D45D18" w:rsidRDefault="00000000">
            <w:pPr>
              <w:widowControl/>
              <w:jc w:val="center"/>
              <w:rPr>
                <w:rFonts w:ascii="Times New Roman" w:eastAsia="DengXian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DengXian" w:hAnsi="Times New Roman"/>
                <w:kern w:val="0"/>
                <w:sz w:val="20"/>
                <w:szCs w:val="20"/>
              </w:rPr>
              <w:t>44 (14.6%)</w:t>
            </w:r>
          </w:p>
        </w:tc>
        <w:tc>
          <w:tcPr>
            <w:tcW w:w="1896" w:type="dxa"/>
            <w:noWrap/>
          </w:tcPr>
          <w:p w14:paraId="470F74F2" w14:textId="77777777" w:rsidR="00D45D18" w:rsidRDefault="00000000">
            <w:pPr>
              <w:widowControl/>
              <w:jc w:val="center"/>
              <w:rPr>
                <w:rFonts w:ascii="Times New Roman" w:eastAsia="DengXian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DengXian" w:hAnsi="Times New Roman"/>
                <w:kern w:val="0"/>
                <w:sz w:val="20"/>
                <w:szCs w:val="20"/>
              </w:rPr>
              <w:t>36 (26.3%)</w:t>
            </w:r>
          </w:p>
        </w:tc>
        <w:tc>
          <w:tcPr>
            <w:tcW w:w="869" w:type="dxa"/>
          </w:tcPr>
          <w:p w14:paraId="370630F8" w14:textId="77777777" w:rsidR="00D45D18" w:rsidRDefault="00000000">
            <w:pPr>
              <w:widowControl/>
              <w:jc w:val="center"/>
              <w:rPr>
                <w:rFonts w:ascii="Times New Roman" w:eastAsia="DengXian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DengXian" w:hAnsi="Times New Roman" w:hint="eastAsia"/>
                <w:kern w:val="0"/>
                <w:sz w:val="20"/>
                <w:szCs w:val="20"/>
              </w:rPr>
              <w:t>-2.925</w:t>
            </w:r>
          </w:p>
        </w:tc>
        <w:tc>
          <w:tcPr>
            <w:tcW w:w="869" w:type="dxa"/>
            <w:noWrap/>
          </w:tcPr>
          <w:p w14:paraId="039177C2" w14:textId="77777777" w:rsidR="00D45D18" w:rsidRDefault="00000000">
            <w:pPr>
              <w:widowControl/>
              <w:jc w:val="center"/>
              <w:rPr>
                <w:rFonts w:ascii="Times New Roman" w:eastAsia="DengXian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DengXian" w:hAnsi="Times New Roman"/>
                <w:kern w:val="0"/>
                <w:sz w:val="20"/>
                <w:szCs w:val="20"/>
              </w:rPr>
              <w:t>0.003</w:t>
            </w:r>
          </w:p>
        </w:tc>
      </w:tr>
    </w:tbl>
    <w:p w14:paraId="27F81EF4" w14:textId="77777777" w:rsidR="00D45D18" w:rsidRDefault="00D45D18"/>
    <w:p w14:paraId="06DC7175" w14:textId="77777777" w:rsidR="00EE332A" w:rsidRPr="00EE332A" w:rsidRDefault="00EE332A" w:rsidP="00EE332A"/>
    <w:p w14:paraId="51F9399E" w14:textId="77777777" w:rsidR="00EE332A" w:rsidRPr="00EE332A" w:rsidRDefault="00EE332A" w:rsidP="00EE332A"/>
    <w:p w14:paraId="6124515E" w14:textId="77777777" w:rsidR="00EE332A" w:rsidRPr="00EE332A" w:rsidRDefault="00EE332A" w:rsidP="00EE332A">
      <w:proofErr w:type="spellStart"/>
      <w:r w:rsidRPr="00EE332A">
        <w:t>sTABLE</w:t>
      </w:r>
      <w:proofErr w:type="spellEnd"/>
      <w:r w:rsidRPr="00EE332A">
        <w:t xml:space="preserve"> 2 | Infection sites and cases for “Bacterial and fungal infections” in ACLF patients (n=80)</w:t>
      </w:r>
    </w:p>
    <w:tbl>
      <w:tblPr>
        <w:tblW w:w="8708" w:type="dxa"/>
        <w:jc w:val="center"/>
        <w:tblLook w:val="04A0" w:firstRow="1" w:lastRow="0" w:firstColumn="1" w:lastColumn="0" w:noHBand="0" w:noVBand="1"/>
      </w:tblPr>
      <w:tblGrid>
        <w:gridCol w:w="3402"/>
        <w:gridCol w:w="2450"/>
        <w:gridCol w:w="2856"/>
      </w:tblGrid>
      <w:tr w:rsidR="00EE332A" w:rsidRPr="00EE332A" w14:paraId="2E7345B5" w14:textId="77777777" w:rsidTr="00EE332A">
        <w:trPr>
          <w:trHeight w:val="315"/>
          <w:jc w:val="center"/>
        </w:trPr>
        <w:tc>
          <w:tcPr>
            <w:tcW w:w="3402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49525D5D" w14:textId="77777777" w:rsidR="00EE332A" w:rsidRPr="00EE332A" w:rsidRDefault="00EE332A" w:rsidP="00EE332A">
            <w:pPr>
              <w:rPr>
                <w:lang w:val="en-US"/>
              </w:rPr>
            </w:pPr>
            <w:r w:rsidRPr="00EE332A">
              <w:rPr>
                <w:rFonts w:hint="eastAsia"/>
                <w:lang w:val="en-US"/>
              </w:rPr>
              <w:t xml:space="preserve">　</w:t>
            </w:r>
          </w:p>
        </w:tc>
        <w:tc>
          <w:tcPr>
            <w:tcW w:w="2450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77D486EF" w14:textId="77777777" w:rsidR="00EE332A" w:rsidRPr="00EE332A" w:rsidRDefault="00EE332A" w:rsidP="00EE332A">
            <w:pPr>
              <w:rPr>
                <w:rFonts w:hint="eastAsia"/>
                <w:lang w:val="en-US"/>
              </w:rPr>
            </w:pPr>
            <w:r w:rsidRPr="00EE332A">
              <w:rPr>
                <w:lang w:val="en-US"/>
              </w:rPr>
              <w:t>ACLF patients without IPA (n=61)</w:t>
            </w:r>
          </w:p>
        </w:tc>
        <w:tc>
          <w:tcPr>
            <w:tcW w:w="2856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2F4969F9" w14:textId="77777777" w:rsidR="00EE332A" w:rsidRPr="00EE332A" w:rsidRDefault="00EE332A" w:rsidP="00EE332A">
            <w:pPr>
              <w:rPr>
                <w:lang w:val="en-US"/>
              </w:rPr>
            </w:pPr>
            <w:r w:rsidRPr="00EE332A">
              <w:rPr>
                <w:lang w:val="en-US"/>
              </w:rPr>
              <w:t>ACLF patients with IPA (n=19)</w:t>
            </w:r>
          </w:p>
        </w:tc>
      </w:tr>
      <w:tr w:rsidR="00EE332A" w:rsidRPr="00EE332A" w14:paraId="5073F083" w14:textId="77777777" w:rsidTr="00EE332A">
        <w:trPr>
          <w:trHeight w:val="300"/>
          <w:jc w:val="center"/>
        </w:trPr>
        <w:tc>
          <w:tcPr>
            <w:tcW w:w="340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45F8D6" w14:textId="77777777" w:rsidR="00EE332A" w:rsidRPr="00EE332A" w:rsidRDefault="00EE332A" w:rsidP="00EE332A">
            <w:pPr>
              <w:rPr>
                <w:lang w:val="en-US"/>
              </w:rPr>
            </w:pPr>
            <w:r w:rsidRPr="00EE332A">
              <w:rPr>
                <w:lang w:val="en-US"/>
              </w:rPr>
              <w:t>infection sites</w:t>
            </w:r>
          </w:p>
        </w:tc>
        <w:tc>
          <w:tcPr>
            <w:tcW w:w="245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67F98A" w14:textId="77777777" w:rsidR="00EE332A" w:rsidRPr="00EE332A" w:rsidRDefault="00EE332A" w:rsidP="00EE332A">
            <w:pPr>
              <w:rPr>
                <w:lang w:val="en-US"/>
              </w:rPr>
            </w:pPr>
            <w:r w:rsidRPr="00EE332A">
              <w:rPr>
                <w:rFonts w:hint="eastAsia"/>
                <w:lang w:val="en-US"/>
              </w:rPr>
              <w:t xml:space="preserve">　</w:t>
            </w:r>
          </w:p>
        </w:tc>
        <w:tc>
          <w:tcPr>
            <w:tcW w:w="285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DD0E22" w14:textId="77777777" w:rsidR="00EE332A" w:rsidRPr="00EE332A" w:rsidRDefault="00EE332A" w:rsidP="00EE332A">
            <w:pPr>
              <w:rPr>
                <w:lang w:val="en-US"/>
              </w:rPr>
            </w:pPr>
            <w:r w:rsidRPr="00EE332A">
              <w:rPr>
                <w:rFonts w:hint="eastAsia"/>
                <w:lang w:val="en-US"/>
              </w:rPr>
              <w:t xml:space="preserve">　</w:t>
            </w:r>
          </w:p>
        </w:tc>
      </w:tr>
      <w:tr w:rsidR="00EE332A" w:rsidRPr="00EE332A" w14:paraId="0670DD1A" w14:textId="77777777" w:rsidTr="00EE332A">
        <w:trPr>
          <w:trHeight w:val="285"/>
          <w:jc w:val="center"/>
        </w:trPr>
        <w:tc>
          <w:tcPr>
            <w:tcW w:w="3402" w:type="dxa"/>
            <w:noWrap/>
            <w:vAlign w:val="center"/>
            <w:hideMark/>
          </w:tcPr>
          <w:p w14:paraId="0ADEBA58" w14:textId="77777777" w:rsidR="00EE332A" w:rsidRPr="00EE332A" w:rsidRDefault="00EE332A" w:rsidP="00EE332A">
            <w:pPr>
              <w:rPr>
                <w:lang w:val="en-US"/>
              </w:rPr>
            </w:pPr>
            <w:r w:rsidRPr="00EE332A">
              <w:rPr>
                <w:lang w:val="en-US"/>
              </w:rPr>
              <w:t>Pulmonary infection, N (%)</w:t>
            </w:r>
          </w:p>
        </w:tc>
        <w:tc>
          <w:tcPr>
            <w:tcW w:w="2450" w:type="dxa"/>
            <w:noWrap/>
            <w:vAlign w:val="center"/>
            <w:hideMark/>
          </w:tcPr>
          <w:p w14:paraId="1D9F72E6" w14:textId="77777777" w:rsidR="00EE332A" w:rsidRPr="00EE332A" w:rsidRDefault="00EE332A" w:rsidP="00EE332A">
            <w:pPr>
              <w:rPr>
                <w:lang w:val="en-US"/>
              </w:rPr>
            </w:pPr>
            <w:r w:rsidRPr="00EE332A">
              <w:rPr>
                <w:lang w:val="en-US"/>
              </w:rPr>
              <w:t>8</w:t>
            </w:r>
            <w:r w:rsidRPr="00EE332A">
              <w:rPr>
                <w:rFonts w:hint="eastAsia"/>
                <w:lang w:val="en-US"/>
              </w:rPr>
              <w:t>(</w:t>
            </w:r>
            <w:r w:rsidRPr="00EE332A">
              <w:rPr>
                <w:lang w:val="en-US"/>
              </w:rPr>
              <w:t>13.1%</w:t>
            </w:r>
            <w:r w:rsidRPr="00EE332A">
              <w:rPr>
                <w:rFonts w:hint="eastAsia"/>
                <w:lang w:val="en-US"/>
              </w:rPr>
              <w:t>)</w:t>
            </w:r>
          </w:p>
        </w:tc>
        <w:tc>
          <w:tcPr>
            <w:tcW w:w="2856" w:type="dxa"/>
            <w:noWrap/>
            <w:vAlign w:val="center"/>
            <w:hideMark/>
          </w:tcPr>
          <w:p w14:paraId="0907AC7D" w14:textId="77777777" w:rsidR="00EE332A" w:rsidRPr="00EE332A" w:rsidRDefault="00EE332A" w:rsidP="00EE332A">
            <w:pPr>
              <w:rPr>
                <w:lang w:val="en-US"/>
              </w:rPr>
            </w:pPr>
            <w:r w:rsidRPr="00EE332A">
              <w:rPr>
                <w:lang w:val="en-US"/>
              </w:rPr>
              <w:t>10</w:t>
            </w:r>
            <w:r w:rsidRPr="00EE332A">
              <w:rPr>
                <w:rFonts w:hint="eastAsia"/>
                <w:lang w:val="en-US"/>
              </w:rPr>
              <w:t>(</w:t>
            </w:r>
            <w:r w:rsidRPr="00EE332A">
              <w:rPr>
                <w:lang w:val="en-US"/>
              </w:rPr>
              <w:t>52.6%</w:t>
            </w:r>
            <w:r w:rsidRPr="00EE332A">
              <w:rPr>
                <w:rFonts w:hint="eastAsia"/>
                <w:lang w:val="en-US"/>
              </w:rPr>
              <w:t>)</w:t>
            </w:r>
          </w:p>
        </w:tc>
      </w:tr>
      <w:tr w:rsidR="00EE332A" w:rsidRPr="00EE332A" w14:paraId="234A9B21" w14:textId="77777777" w:rsidTr="00EE332A">
        <w:trPr>
          <w:trHeight w:val="285"/>
          <w:jc w:val="center"/>
        </w:trPr>
        <w:tc>
          <w:tcPr>
            <w:tcW w:w="3402" w:type="dxa"/>
            <w:noWrap/>
            <w:vAlign w:val="center"/>
            <w:hideMark/>
          </w:tcPr>
          <w:p w14:paraId="32DEEFEF" w14:textId="77777777" w:rsidR="00EE332A" w:rsidRPr="00EE332A" w:rsidRDefault="00EE332A" w:rsidP="00EE332A">
            <w:pPr>
              <w:rPr>
                <w:lang w:val="en-US"/>
              </w:rPr>
            </w:pPr>
            <w:r w:rsidRPr="00EE332A">
              <w:rPr>
                <w:lang w:val="en-US"/>
              </w:rPr>
              <w:t>Intra - abdominal infection, N (%)</w:t>
            </w:r>
          </w:p>
        </w:tc>
        <w:tc>
          <w:tcPr>
            <w:tcW w:w="2450" w:type="dxa"/>
            <w:noWrap/>
            <w:vAlign w:val="center"/>
            <w:hideMark/>
          </w:tcPr>
          <w:p w14:paraId="2DA77439" w14:textId="77777777" w:rsidR="00EE332A" w:rsidRPr="00EE332A" w:rsidRDefault="00EE332A" w:rsidP="00EE332A">
            <w:pPr>
              <w:rPr>
                <w:lang w:val="en-US"/>
              </w:rPr>
            </w:pPr>
            <w:r w:rsidRPr="00EE332A">
              <w:rPr>
                <w:lang w:val="en-US"/>
              </w:rPr>
              <w:t>26</w:t>
            </w:r>
            <w:r w:rsidRPr="00EE332A">
              <w:rPr>
                <w:rFonts w:hint="eastAsia"/>
                <w:lang w:val="en-US"/>
              </w:rPr>
              <w:t>(</w:t>
            </w:r>
            <w:r w:rsidRPr="00EE332A">
              <w:rPr>
                <w:lang w:val="en-US"/>
              </w:rPr>
              <w:t>42.6%</w:t>
            </w:r>
            <w:r w:rsidRPr="00EE332A">
              <w:rPr>
                <w:rFonts w:hint="eastAsia"/>
                <w:lang w:val="en-US"/>
              </w:rPr>
              <w:t>)</w:t>
            </w:r>
          </w:p>
        </w:tc>
        <w:tc>
          <w:tcPr>
            <w:tcW w:w="2856" w:type="dxa"/>
            <w:noWrap/>
            <w:vAlign w:val="center"/>
            <w:hideMark/>
          </w:tcPr>
          <w:p w14:paraId="0C2284BA" w14:textId="77777777" w:rsidR="00EE332A" w:rsidRPr="00EE332A" w:rsidRDefault="00EE332A" w:rsidP="00EE332A">
            <w:pPr>
              <w:rPr>
                <w:lang w:val="en-US"/>
              </w:rPr>
            </w:pPr>
            <w:r w:rsidRPr="00EE332A">
              <w:rPr>
                <w:lang w:val="en-US"/>
              </w:rPr>
              <w:t>0(0.0%)</w:t>
            </w:r>
          </w:p>
        </w:tc>
      </w:tr>
      <w:tr w:rsidR="00EE332A" w:rsidRPr="00EE332A" w14:paraId="6463E8C2" w14:textId="77777777" w:rsidTr="00EE332A">
        <w:trPr>
          <w:trHeight w:val="285"/>
          <w:jc w:val="center"/>
        </w:trPr>
        <w:tc>
          <w:tcPr>
            <w:tcW w:w="3402" w:type="dxa"/>
            <w:noWrap/>
            <w:vAlign w:val="center"/>
            <w:hideMark/>
          </w:tcPr>
          <w:p w14:paraId="002E0660" w14:textId="77777777" w:rsidR="00EE332A" w:rsidRPr="00EE332A" w:rsidRDefault="00EE332A" w:rsidP="00EE332A">
            <w:pPr>
              <w:rPr>
                <w:lang w:val="en-US"/>
              </w:rPr>
            </w:pPr>
            <w:r w:rsidRPr="00EE332A">
              <w:rPr>
                <w:lang w:val="en-US"/>
              </w:rPr>
              <w:t>Bloodstream infection, N (%)</w:t>
            </w:r>
          </w:p>
        </w:tc>
        <w:tc>
          <w:tcPr>
            <w:tcW w:w="2450" w:type="dxa"/>
            <w:noWrap/>
            <w:vAlign w:val="center"/>
            <w:hideMark/>
          </w:tcPr>
          <w:p w14:paraId="00B74BFF" w14:textId="77777777" w:rsidR="00EE332A" w:rsidRPr="00EE332A" w:rsidRDefault="00EE332A" w:rsidP="00EE332A">
            <w:pPr>
              <w:rPr>
                <w:lang w:val="en-US"/>
              </w:rPr>
            </w:pPr>
            <w:r w:rsidRPr="00EE332A">
              <w:rPr>
                <w:lang w:val="en-US"/>
              </w:rPr>
              <w:t>1</w:t>
            </w:r>
            <w:r w:rsidRPr="00EE332A">
              <w:rPr>
                <w:rFonts w:hint="eastAsia"/>
                <w:lang w:val="en-US"/>
              </w:rPr>
              <w:t>(</w:t>
            </w:r>
            <w:r w:rsidRPr="00EE332A">
              <w:rPr>
                <w:lang w:val="en-US"/>
              </w:rPr>
              <w:t>1.6%</w:t>
            </w:r>
            <w:r w:rsidRPr="00EE332A">
              <w:rPr>
                <w:rFonts w:hint="eastAsia"/>
                <w:lang w:val="en-US"/>
              </w:rPr>
              <w:t>)</w:t>
            </w:r>
          </w:p>
        </w:tc>
        <w:tc>
          <w:tcPr>
            <w:tcW w:w="2856" w:type="dxa"/>
            <w:noWrap/>
            <w:vAlign w:val="center"/>
            <w:hideMark/>
          </w:tcPr>
          <w:p w14:paraId="12EB352E" w14:textId="77777777" w:rsidR="00EE332A" w:rsidRPr="00EE332A" w:rsidRDefault="00EE332A" w:rsidP="00EE332A">
            <w:pPr>
              <w:rPr>
                <w:lang w:val="en-US"/>
              </w:rPr>
            </w:pPr>
            <w:r w:rsidRPr="00EE332A">
              <w:rPr>
                <w:lang w:val="en-US"/>
              </w:rPr>
              <w:t>0(0.0%)</w:t>
            </w:r>
          </w:p>
        </w:tc>
      </w:tr>
      <w:tr w:rsidR="00EE332A" w:rsidRPr="00EE332A" w14:paraId="23B9155E" w14:textId="77777777" w:rsidTr="00EE332A">
        <w:trPr>
          <w:trHeight w:val="285"/>
          <w:jc w:val="center"/>
        </w:trPr>
        <w:tc>
          <w:tcPr>
            <w:tcW w:w="3402" w:type="dxa"/>
            <w:noWrap/>
            <w:vAlign w:val="center"/>
            <w:hideMark/>
          </w:tcPr>
          <w:p w14:paraId="67E53EBA" w14:textId="77777777" w:rsidR="00EE332A" w:rsidRPr="00EE332A" w:rsidRDefault="00EE332A" w:rsidP="00EE332A">
            <w:pPr>
              <w:rPr>
                <w:lang w:val="en-US"/>
              </w:rPr>
            </w:pPr>
            <w:r w:rsidRPr="00EE332A">
              <w:rPr>
                <w:lang w:val="en-US"/>
              </w:rPr>
              <w:t>Urinary tract infection, N (%)</w:t>
            </w:r>
          </w:p>
        </w:tc>
        <w:tc>
          <w:tcPr>
            <w:tcW w:w="2450" w:type="dxa"/>
            <w:noWrap/>
            <w:vAlign w:val="center"/>
            <w:hideMark/>
          </w:tcPr>
          <w:p w14:paraId="60A4671F" w14:textId="77777777" w:rsidR="00EE332A" w:rsidRPr="00EE332A" w:rsidRDefault="00EE332A" w:rsidP="00EE332A">
            <w:pPr>
              <w:rPr>
                <w:lang w:val="en-US"/>
              </w:rPr>
            </w:pPr>
            <w:r w:rsidRPr="00EE332A">
              <w:rPr>
                <w:lang w:val="en-US"/>
              </w:rPr>
              <w:t>2</w:t>
            </w:r>
            <w:r w:rsidRPr="00EE332A">
              <w:rPr>
                <w:rFonts w:hint="eastAsia"/>
                <w:lang w:val="en-US"/>
              </w:rPr>
              <w:t>(</w:t>
            </w:r>
            <w:r w:rsidRPr="00EE332A">
              <w:rPr>
                <w:lang w:val="en-US"/>
              </w:rPr>
              <w:t>3.3%</w:t>
            </w:r>
            <w:r w:rsidRPr="00EE332A">
              <w:rPr>
                <w:rFonts w:hint="eastAsia"/>
                <w:lang w:val="en-US"/>
              </w:rPr>
              <w:t>)</w:t>
            </w:r>
          </w:p>
        </w:tc>
        <w:tc>
          <w:tcPr>
            <w:tcW w:w="2856" w:type="dxa"/>
            <w:noWrap/>
            <w:vAlign w:val="center"/>
            <w:hideMark/>
          </w:tcPr>
          <w:p w14:paraId="1E14EC47" w14:textId="77777777" w:rsidR="00EE332A" w:rsidRPr="00EE332A" w:rsidRDefault="00EE332A" w:rsidP="00EE332A">
            <w:pPr>
              <w:rPr>
                <w:lang w:val="en-US"/>
              </w:rPr>
            </w:pPr>
            <w:r w:rsidRPr="00EE332A">
              <w:rPr>
                <w:lang w:val="en-US"/>
              </w:rPr>
              <w:t>0(0.0%)</w:t>
            </w:r>
          </w:p>
        </w:tc>
      </w:tr>
      <w:tr w:rsidR="00EE332A" w:rsidRPr="00EE332A" w14:paraId="7DE55B5C" w14:textId="77777777" w:rsidTr="00EE332A">
        <w:trPr>
          <w:trHeight w:val="285"/>
          <w:jc w:val="center"/>
        </w:trPr>
        <w:tc>
          <w:tcPr>
            <w:tcW w:w="3402" w:type="dxa"/>
            <w:noWrap/>
            <w:vAlign w:val="center"/>
            <w:hideMark/>
          </w:tcPr>
          <w:p w14:paraId="0E758C1F" w14:textId="77777777" w:rsidR="00EE332A" w:rsidRPr="00EE332A" w:rsidRDefault="00EE332A" w:rsidP="00EE332A">
            <w:pPr>
              <w:rPr>
                <w:lang w:val="en-US"/>
              </w:rPr>
            </w:pPr>
            <w:r w:rsidRPr="00EE332A">
              <w:rPr>
                <w:lang w:val="en-US"/>
              </w:rPr>
              <w:t>Multi - site infection, N (%)</w:t>
            </w:r>
          </w:p>
        </w:tc>
        <w:tc>
          <w:tcPr>
            <w:tcW w:w="2450" w:type="dxa"/>
            <w:noWrap/>
            <w:vAlign w:val="center"/>
            <w:hideMark/>
          </w:tcPr>
          <w:p w14:paraId="4E8D33FD" w14:textId="77777777" w:rsidR="00EE332A" w:rsidRPr="00EE332A" w:rsidRDefault="00EE332A" w:rsidP="00EE332A">
            <w:pPr>
              <w:rPr>
                <w:lang w:val="en-US"/>
              </w:rPr>
            </w:pPr>
            <w:r w:rsidRPr="00EE332A">
              <w:rPr>
                <w:lang w:val="en-US"/>
              </w:rPr>
              <w:t>23</w:t>
            </w:r>
            <w:r w:rsidRPr="00EE332A">
              <w:rPr>
                <w:rFonts w:hint="eastAsia"/>
                <w:lang w:val="en-US"/>
              </w:rPr>
              <w:t>(</w:t>
            </w:r>
            <w:r w:rsidRPr="00EE332A">
              <w:rPr>
                <w:lang w:val="en-US"/>
              </w:rPr>
              <w:t>37.7%</w:t>
            </w:r>
            <w:r w:rsidRPr="00EE332A">
              <w:rPr>
                <w:rFonts w:hint="eastAsia"/>
                <w:lang w:val="en-US"/>
              </w:rPr>
              <w:t>)</w:t>
            </w:r>
          </w:p>
        </w:tc>
        <w:tc>
          <w:tcPr>
            <w:tcW w:w="2856" w:type="dxa"/>
            <w:noWrap/>
            <w:vAlign w:val="center"/>
            <w:hideMark/>
          </w:tcPr>
          <w:p w14:paraId="1A1049A1" w14:textId="77777777" w:rsidR="00EE332A" w:rsidRPr="00EE332A" w:rsidRDefault="00EE332A" w:rsidP="00EE332A">
            <w:pPr>
              <w:rPr>
                <w:lang w:val="en-US"/>
              </w:rPr>
            </w:pPr>
            <w:r w:rsidRPr="00EE332A">
              <w:rPr>
                <w:lang w:val="en-US"/>
              </w:rPr>
              <w:t>9</w:t>
            </w:r>
            <w:r w:rsidRPr="00EE332A">
              <w:rPr>
                <w:rFonts w:hint="eastAsia"/>
                <w:lang w:val="en-US"/>
              </w:rPr>
              <w:t>(</w:t>
            </w:r>
            <w:r w:rsidRPr="00EE332A">
              <w:rPr>
                <w:lang w:val="en-US"/>
              </w:rPr>
              <w:t>47.4%</w:t>
            </w:r>
            <w:r w:rsidRPr="00EE332A">
              <w:rPr>
                <w:rFonts w:hint="eastAsia"/>
                <w:lang w:val="en-US"/>
              </w:rPr>
              <w:t>)</w:t>
            </w:r>
          </w:p>
        </w:tc>
      </w:tr>
      <w:tr w:rsidR="00EE332A" w:rsidRPr="00EE332A" w14:paraId="22651117" w14:textId="77777777" w:rsidTr="00EE332A">
        <w:trPr>
          <w:trHeight w:val="285"/>
          <w:jc w:val="center"/>
        </w:trPr>
        <w:tc>
          <w:tcPr>
            <w:tcW w:w="3402" w:type="dxa"/>
            <w:noWrap/>
            <w:vAlign w:val="center"/>
            <w:hideMark/>
          </w:tcPr>
          <w:p w14:paraId="62EEC943" w14:textId="77777777" w:rsidR="00EE332A" w:rsidRPr="00EE332A" w:rsidRDefault="00EE332A" w:rsidP="00EE332A">
            <w:pPr>
              <w:rPr>
                <w:lang w:val="en-US"/>
              </w:rPr>
            </w:pPr>
            <w:r w:rsidRPr="00EE332A">
              <w:rPr>
                <w:lang w:val="en-US"/>
              </w:rPr>
              <w:t xml:space="preserve">NA, </w:t>
            </w:r>
            <w:proofErr w:type="gramStart"/>
            <w:r w:rsidRPr="00EE332A">
              <w:rPr>
                <w:lang w:val="en-US"/>
              </w:rPr>
              <w:t>N(</w:t>
            </w:r>
            <w:proofErr w:type="gramEnd"/>
            <w:r w:rsidRPr="00EE332A">
              <w:rPr>
                <w:lang w:val="en-US"/>
              </w:rPr>
              <w:t>%)</w:t>
            </w:r>
          </w:p>
        </w:tc>
        <w:tc>
          <w:tcPr>
            <w:tcW w:w="2450" w:type="dxa"/>
            <w:noWrap/>
            <w:vAlign w:val="center"/>
            <w:hideMark/>
          </w:tcPr>
          <w:p w14:paraId="7DABFE74" w14:textId="77777777" w:rsidR="00EE332A" w:rsidRPr="00EE332A" w:rsidRDefault="00EE332A" w:rsidP="00EE332A">
            <w:pPr>
              <w:rPr>
                <w:lang w:val="en-US"/>
              </w:rPr>
            </w:pPr>
            <w:r w:rsidRPr="00EE332A">
              <w:rPr>
                <w:lang w:val="en-US"/>
              </w:rPr>
              <w:t>1</w:t>
            </w:r>
            <w:r w:rsidRPr="00EE332A">
              <w:rPr>
                <w:rFonts w:hint="eastAsia"/>
                <w:lang w:val="en-US"/>
              </w:rPr>
              <w:t>(</w:t>
            </w:r>
            <w:r w:rsidRPr="00EE332A">
              <w:rPr>
                <w:lang w:val="en-US"/>
              </w:rPr>
              <w:t>1.6%</w:t>
            </w:r>
            <w:r w:rsidRPr="00EE332A">
              <w:rPr>
                <w:rFonts w:hint="eastAsia"/>
                <w:lang w:val="en-US"/>
              </w:rPr>
              <w:t>)</w:t>
            </w:r>
          </w:p>
        </w:tc>
        <w:tc>
          <w:tcPr>
            <w:tcW w:w="2856" w:type="dxa"/>
            <w:noWrap/>
            <w:vAlign w:val="center"/>
            <w:hideMark/>
          </w:tcPr>
          <w:p w14:paraId="4A4DB6A7" w14:textId="77777777" w:rsidR="00EE332A" w:rsidRPr="00EE332A" w:rsidRDefault="00EE332A" w:rsidP="00EE332A">
            <w:pPr>
              <w:rPr>
                <w:lang w:val="en-US"/>
              </w:rPr>
            </w:pPr>
            <w:r w:rsidRPr="00EE332A">
              <w:rPr>
                <w:lang w:val="en-US"/>
              </w:rPr>
              <w:t>0(0.0%)</w:t>
            </w:r>
          </w:p>
        </w:tc>
      </w:tr>
      <w:tr w:rsidR="00EE332A" w:rsidRPr="00EE332A" w14:paraId="043F0858" w14:textId="77777777" w:rsidTr="00EE332A">
        <w:trPr>
          <w:trHeight w:val="300"/>
          <w:jc w:val="center"/>
        </w:trPr>
        <w:tc>
          <w:tcPr>
            <w:tcW w:w="3402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1A4D72D4" w14:textId="77777777" w:rsidR="00EE332A" w:rsidRPr="00EE332A" w:rsidRDefault="00EE332A" w:rsidP="00EE332A">
            <w:pPr>
              <w:rPr>
                <w:lang w:val="en-US"/>
              </w:rPr>
            </w:pPr>
            <w:r w:rsidRPr="00EE332A">
              <w:rPr>
                <w:lang w:val="en-US"/>
              </w:rPr>
              <w:t>28-day fatality rate, N (%)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283AEFD5" w14:textId="77777777" w:rsidR="00EE332A" w:rsidRPr="00EE332A" w:rsidRDefault="00EE332A" w:rsidP="00EE332A">
            <w:pPr>
              <w:rPr>
                <w:lang w:val="en-US"/>
              </w:rPr>
            </w:pPr>
            <w:r w:rsidRPr="00EE332A">
              <w:rPr>
                <w:lang w:val="en-US"/>
              </w:rPr>
              <w:t>24(39.3%)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780F766C" w14:textId="77777777" w:rsidR="00EE332A" w:rsidRPr="00EE332A" w:rsidRDefault="00EE332A" w:rsidP="00EE332A">
            <w:pPr>
              <w:rPr>
                <w:lang w:val="en-US"/>
              </w:rPr>
            </w:pPr>
            <w:r w:rsidRPr="00EE332A">
              <w:rPr>
                <w:lang w:val="en-US"/>
              </w:rPr>
              <w:t>8(42.1%)</w:t>
            </w:r>
          </w:p>
        </w:tc>
      </w:tr>
    </w:tbl>
    <w:p w14:paraId="012FDC3C" w14:textId="77777777" w:rsidR="00EE332A" w:rsidRPr="00EE332A" w:rsidRDefault="00EE332A" w:rsidP="00EE332A"/>
    <w:p w14:paraId="7346F5FD" w14:textId="77777777" w:rsidR="00EE332A" w:rsidRDefault="00EE332A"/>
    <w:sectPr w:rsidR="00EE332A">
      <w:footerReference w:type="even" r:id="rId6"/>
      <w:footerReference w:type="default" r:id="rId7"/>
      <w:footerReference w:type="firs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326044" w14:textId="77777777" w:rsidR="008F181C" w:rsidRDefault="008F181C" w:rsidP="00EE332A">
      <w:r>
        <w:separator/>
      </w:r>
    </w:p>
  </w:endnote>
  <w:endnote w:type="continuationSeparator" w:id="0">
    <w:p w14:paraId="07A32596" w14:textId="77777777" w:rsidR="008F181C" w:rsidRDefault="008F181C" w:rsidP="00EE3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ckwell">
    <w:altName w:val="Segoe Print"/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14FFF9" w14:textId="5A0BDA69" w:rsidR="00EE332A" w:rsidRDefault="00EE332A">
    <w:pPr>
      <w:pStyle w:val="Footer"/>
    </w:pPr>
    <w:r>
      <w:rPr>
        <w:noProof/>
        <w14:ligatures w14:val="none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3C6C477" wp14:editId="7FDD3AF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24485"/>
              <wp:effectExtent l="0" t="0" r="18415" b="0"/>
              <wp:wrapNone/>
              <wp:docPr id="1911334131" name="Text Box 2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FD49FF" w14:textId="260C6D18" w:rsidR="00EE332A" w:rsidRPr="00EE332A" w:rsidRDefault="00EE332A" w:rsidP="00EE332A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EE332A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C6C47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0;width:163.55pt;height:25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0EFD49FF" w14:textId="260C6D18" w:rsidR="00EE332A" w:rsidRPr="00EE332A" w:rsidRDefault="00EE332A" w:rsidP="00EE332A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EE332A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3FFE60" w14:textId="4809EBDF" w:rsidR="00EE332A" w:rsidRDefault="00EE332A">
    <w:pPr>
      <w:pStyle w:val="Footer"/>
    </w:pPr>
    <w:r>
      <w:rPr>
        <w:noProof/>
        <w14:ligatures w14:val="none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FAAB502" wp14:editId="1E9BCBD0">
              <wp:simplePos x="914400" y="677227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24485"/>
              <wp:effectExtent l="0" t="0" r="18415" b="0"/>
              <wp:wrapNone/>
              <wp:docPr id="2117319141" name="Text Box 3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767D4B" w14:textId="08B17141" w:rsidR="00EE332A" w:rsidRPr="00EE332A" w:rsidRDefault="00EE332A" w:rsidP="00EE332A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EE332A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AAB50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0;width:163.55pt;height:25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1C767D4B" w14:textId="08B17141" w:rsidR="00EE332A" w:rsidRPr="00EE332A" w:rsidRDefault="00EE332A" w:rsidP="00EE332A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EE332A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9264B" w14:textId="2A089F60" w:rsidR="00EE332A" w:rsidRDefault="00EE332A">
    <w:pPr>
      <w:pStyle w:val="Footer"/>
    </w:pPr>
    <w:r>
      <w:rPr>
        <w:noProof/>
        <w14:ligatures w14:val="none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7D6FDD8" wp14:editId="22879FA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24485"/>
              <wp:effectExtent l="0" t="0" r="18415" b="0"/>
              <wp:wrapNone/>
              <wp:docPr id="1508065022" name="Text Box 1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885D1C" w14:textId="7C68ABF2" w:rsidR="00EE332A" w:rsidRPr="00EE332A" w:rsidRDefault="00EE332A" w:rsidP="00EE332A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EE332A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D6FDD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0;width:163.55pt;height:25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1A885D1C" w14:textId="7C68ABF2" w:rsidR="00EE332A" w:rsidRPr="00EE332A" w:rsidRDefault="00EE332A" w:rsidP="00EE332A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EE332A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AB11C4" w14:textId="77777777" w:rsidR="008F181C" w:rsidRDefault="008F181C" w:rsidP="00EE332A">
      <w:r>
        <w:separator/>
      </w:r>
    </w:p>
  </w:footnote>
  <w:footnote w:type="continuationSeparator" w:id="0">
    <w:p w14:paraId="466ECE17" w14:textId="77777777" w:rsidR="008F181C" w:rsidRDefault="008F181C" w:rsidP="00EE33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c2NzllOWMzN2EyMTc0ZGY4MmM3MmFkZDAyNTBiZjMifQ=="/>
  </w:docVars>
  <w:rsids>
    <w:rsidRoot w:val="00707B86"/>
    <w:rsid w:val="001A152A"/>
    <w:rsid w:val="00455EB6"/>
    <w:rsid w:val="00707B86"/>
    <w:rsid w:val="008F181C"/>
    <w:rsid w:val="00AD305D"/>
    <w:rsid w:val="00D45D18"/>
    <w:rsid w:val="00EE332A"/>
    <w:rsid w:val="00F31A50"/>
    <w:rsid w:val="64D9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921A5"/>
  <w15:docId w15:val="{1AF82380-0313-46DC-9BC7-297930668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NZ" w:eastAsia="en-N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eastAsia="SimSun" w:hAnsi="Calibri" w:cs="Times New Roman"/>
      <w:kern w:val="2"/>
      <w:sz w:val="21"/>
      <w:szCs w:val="24"/>
      <w:lang w:val="en-GB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autoRedefine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:lang w:val="en-US"/>
      <w14:ligatures w14:val="standardContextual"/>
    </w:rPr>
  </w:style>
  <w:style w:type="paragraph" w:styleId="Header">
    <w:name w:val="header"/>
    <w:basedOn w:val="Normal"/>
    <w:link w:val="Header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val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4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晨溪 袁</dc:creator>
  <cp:lastModifiedBy>Thadani, Lavina</cp:lastModifiedBy>
  <cp:revision>5</cp:revision>
  <dcterms:created xsi:type="dcterms:W3CDTF">2024-04-29T03:19:00Z</dcterms:created>
  <dcterms:modified xsi:type="dcterms:W3CDTF">2025-01-28T22:24:00Z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96C346E491014C2F95E457BC7204F525_12</vt:lpwstr>
  </property>
  <property fmtid="{D5CDD505-2E9C-101B-9397-08002B2CF9AE}" pid="4" name="ClassificationContentMarkingFooterShapeIds">
    <vt:lpwstr>59e33efe,71eca4f3,7e33b9e5</vt:lpwstr>
  </property>
  <property fmtid="{D5CDD505-2E9C-101B-9397-08002B2CF9AE}" pid="5" name="ClassificationContentMarkingFooterFontProps">
    <vt:lpwstr>#0078d7,9,Rockwell</vt:lpwstr>
  </property>
  <property fmtid="{D5CDD505-2E9C-101B-9397-08002B2CF9AE}" pid="6" name="ClassificationContentMarkingFooterText">
    <vt:lpwstr>Information Classification: General</vt:lpwstr>
  </property>
  <property fmtid="{D5CDD505-2E9C-101B-9397-08002B2CF9AE}" pid="7" name="MSIP_Label_2bbab825-a111-45e4-86a1-18cee0005896_Enabled">
    <vt:lpwstr>true</vt:lpwstr>
  </property>
  <property fmtid="{D5CDD505-2E9C-101B-9397-08002B2CF9AE}" pid="8" name="MSIP_Label_2bbab825-a111-45e4-86a1-18cee0005896_SetDate">
    <vt:lpwstr>2025-01-28T22:24:36Z</vt:lpwstr>
  </property>
  <property fmtid="{D5CDD505-2E9C-101B-9397-08002B2CF9AE}" pid="9" name="MSIP_Label_2bbab825-a111-45e4-86a1-18cee0005896_Method">
    <vt:lpwstr>Standard</vt:lpwstr>
  </property>
  <property fmtid="{D5CDD505-2E9C-101B-9397-08002B2CF9AE}" pid="10" name="MSIP_Label_2bbab825-a111-45e4-86a1-18cee0005896_Name">
    <vt:lpwstr>2bbab825-a111-45e4-86a1-18cee0005896</vt:lpwstr>
  </property>
  <property fmtid="{D5CDD505-2E9C-101B-9397-08002B2CF9AE}" pid="11" name="MSIP_Label_2bbab825-a111-45e4-86a1-18cee0005896_SiteId">
    <vt:lpwstr>2567d566-604c-408a-8a60-55d0dc9d9d6b</vt:lpwstr>
  </property>
  <property fmtid="{D5CDD505-2E9C-101B-9397-08002B2CF9AE}" pid="12" name="MSIP_Label_2bbab825-a111-45e4-86a1-18cee0005896_ActionId">
    <vt:lpwstr>d5c87a56-f92d-4c66-b33b-fdd24f5f0c3e</vt:lpwstr>
  </property>
  <property fmtid="{D5CDD505-2E9C-101B-9397-08002B2CF9AE}" pid="13" name="MSIP_Label_2bbab825-a111-45e4-86a1-18cee0005896_ContentBits">
    <vt:lpwstr>2</vt:lpwstr>
  </property>
</Properties>
</file>