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ABF41" w14:textId="77777777" w:rsidR="00663019" w:rsidRPr="00A44687" w:rsidRDefault="00663019" w:rsidP="00A44687">
      <w:pPr>
        <w:jc w:val="left"/>
        <w:rPr>
          <w:rFonts w:ascii="Arial" w:hAnsi="Arial" w:cs="Arial"/>
          <w:sz w:val="24"/>
          <w:szCs w:val="24"/>
        </w:rPr>
      </w:pPr>
    </w:p>
    <w:p w14:paraId="7ACB2859" w14:textId="553B9667" w:rsidR="00557F61" w:rsidRPr="00A44687" w:rsidRDefault="00557F61" w:rsidP="00A44687">
      <w:pPr>
        <w:spacing w:line="360" w:lineRule="auto"/>
        <w:jc w:val="left"/>
        <w:rPr>
          <w:rFonts w:ascii="Arial" w:hAnsi="Arial" w:cs="Arial"/>
          <w:color w:val="000000" w:themeColor="text1"/>
          <w:sz w:val="24"/>
          <w:szCs w:val="24"/>
        </w:rPr>
      </w:pPr>
      <w:r w:rsidRPr="00A44687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F6AD763" wp14:editId="7F2D4A17">
            <wp:extent cx="5222306" cy="25200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1" t="9799" r="5562" b="13053"/>
                    <a:stretch/>
                  </pic:blipFill>
                  <pic:spPr bwMode="auto">
                    <a:xfrm>
                      <a:off x="0" y="0"/>
                      <a:ext cx="5222306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D7CEF3" w14:textId="77777777" w:rsidR="00557F61" w:rsidRPr="00A44687" w:rsidRDefault="00557F61" w:rsidP="00557F61">
      <w:pPr>
        <w:snapToGrid w:val="0"/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A44687">
        <w:rPr>
          <w:rFonts w:ascii="Arial" w:hAnsi="Arial" w:cs="Arial"/>
          <w:b/>
          <w:color w:val="000000" w:themeColor="text1"/>
          <w:sz w:val="24"/>
          <w:szCs w:val="24"/>
        </w:rPr>
        <w:t xml:space="preserve">Figure S1. </w:t>
      </w:r>
      <w:r w:rsidRPr="00A44687">
        <w:rPr>
          <w:rFonts w:ascii="Arial" w:hAnsi="Arial" w:cs="Arial"/>
          <w:color w:val="000000" w:themeColor="text1"/>
          <w:sz w:val="24"/>
          <w:szCs w:val="24"/>
        </w:rPr>
        <w:t>Video screenshots of LNCaP cells and T cells co-cultured for 16 h. (A) Co-culture only; (B) co-culture with a low concentration of BiPTE; and (C) co-culture with a high concentration of BiPTE.</w:t>
      </w:r>
    </w:p>
    <w:p w14:paraId="6F8654A4" w14:textId="698D615A" w:rsidR="00557F61" w:rsidRPr="00A44687" w:rsidRDefault="00557F61" w:rsidP="00A44687">
      <w:pPr>
        <w:widowControl/>
        <w:jc w:val="left"/>
        <w:rPr>
          <w:rFonts w:ascii="Arial" w:hAnsi="Arial" w:cs="Arial"/>
          <w:b/>
          <w:color w:val="000000" w:themeColor="text1"/>
          <w:sz w:val="24"/>
          <w:szCs w:val="24"/>
        </w:rPr>
      </w:pPr>
      <w:r w:rsidRPr="00A44687">
        <w:rPr>
          <w:rFonts w:ascii="Arial" w:hAnsi="Arial" w:cs="Arial"/>
          <w:b/>
          <w:color w:val="000000" w:themeColor="text1"/>
          <w:sz w:val="24"/>
          <w:szCs w:val="24"/>
        </w:rPr>
        <w:br w:type="page"/>
      </w:r>
    </w:p>
    <w:p w14:paraId="48A1420E" w14:textId="77777777" w:rsidR="00557F61" w:rsidRPr="00A44687" w:rsidRDefault="00557F61" w:rsidP="00557F61">
      <w:pPr>
        <w:widowControl/>
        <w:jc w:val="center"/>
        <w:rPr>
          <w:rFonts w:ascii="Arial" w:hAnsi="Arial" w:cs="Arial"/>
          <w:color w:val="000000"/>
          <w:sz w:val="24"/>
          <w:szCs w:val="24"/>
        </w:rPr>
      </w:pPr>
      <w:r w:rsidRPr="00A44687">
        <w:rPr>
          <w:rFonts w:ascii="Arial" w:eastAsia="Microsoft YaHei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719ED75D" wp14:editId="66DDE454">
            <wp:extent cx="5233699" cy="2520000"/>
            <wp:effectExtent l="0" t="0" r="508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1" t="9619" r="5366" b="13405"/>
                    <a:stretch/>
                  </pic:blipFill>
                  <pic:spPr bwMode="auto">
                    <a:xfrm>
                      <a:off x="0" y="0"/>
                      <a:ext cx="5233699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FDBFD" w14:textId="77777777" w:rsidR="00557F61" w:rsidRPr="00A44687" w:rsidRDefault="00557F61" w:rsidP="00557F61">
      <w:pPr>
        <w:rPr>
          <w:rFonts w:ascii="Arial" w:hAnsi="Arial" w:cs="Arial"/>
          <w:color w:val="000000"/>
          <w:sz w:val="24"/>
          <w:szCs w:val="24"/>
        </w:rPr>
      </w:pPr>
    </w:p>
    <w:p w14:paraId="77576EFE" w14:textId="77777777" w:rsidR="00557F61" w:rsidRPr="00A44687" w:rsidRDefault="00557F61" w:rsidP="00557F61">
      <w:pPr>
        <w:snapToGrid w:val="0"/>
        <w:spacing w:line="36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A44687">
        <w:rPr>
          <w:rFonts w:ascii="Arial" w:hAnsi="Arial" w:cs="Arial"/>
          <w:b/>
          <w:color w:val="000000" w:themeColor="text1"/>
          <w:sz w:val="24"/>
          <w:szCs w:val="24"/>
        </w:rPr>
        <w:t xml:space="preserve">Figure S2. </w:t>
      </w:r>
      <w:r w:rsidRPr="00A44687">
        <w:rPr>
          <w:rFonts w:ascii="Arial" w:hAnsi="Arial" w:cs="Arial"/>
          <w:color w:val="000000" w:themeColor="text1"/>
          <w:sz w:val="24"/>
          <w:szCs w:val="24"/>
        </w:rPr>
        <w:t>Video screenshots of PC3 cells and T cells co-cultured for 16 h. (A) Co-culture only; (B) co-culture with a low concentration of BiPTE; and (C) co-culture with a high concentration of BiPTE.</w:t>
      </w:r>
    </w:p>
    <w:p w14:paraId="704A10AA" w14:textId="0F69FE9C" w:rsidR="00557F61" w:rsidRPr="00A44687" w:rsidRDefault="00557F61">
      <w:pPr>
        <w:widowControl/>
        <w:jc w:val="left"/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sz w:val="24"/>
          <w:szCs w:val="24"/>
        </w:rPr>
        <w:br w:type="page"/>
      </w:r>
    </w:p>
    <w:p w14:paraId="705950DB" w14:textId="77777777" w:rsidR="00557F61" w:rsidRPr="00A44687" w:rsidRDefault="00557F61" w:rsidP="00557F61">
      <w:pPr>
        <w:widowControl/>
        <w:rPr>
          <w:rFonts w:ascii="Arial" w:hAnsi="Arial" w:cs="Arial"/>
          <w:sz w:val="24"/>
          <w:szCs w:val="24"/>
        </w:rPr>
      </w:pPr>
    </w:p>
    <w:p w14:paraId="646E367A" w14:textId="77777777" w:rsidR="00557F61" w:rsidRPr="00A44687" w:rsidRDefault="00557F61" w:rsidP="00557F61">
      <w:pPr>
        <w:jc w:val="center"/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49FD7D6" wp14:editId="1327FECB">
            <wp:extent cx="5269991" cy="3681412"/>
            <wp:effectExtent l="0" t="0" r="698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20" cy="3690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2CD5BC" w14:textId="77777777" w:rsidR="00557F61" w:rsidRPr="00A44687" w:rsidRDefault="00557F61" w:rsidP="00557F61">
      <w:pPr>
        <w:snapToGrid w:val="0"/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b/>
          <w:sz w:val="24"/>
          <w:szCs w:val="24"/>
        </w:rPr>
        <w:t xml:space="preserve">Figure S3. </w:t>
      </w:r>
      <w:r w:rsidRPr="00A44687">
        <w:rPr>
          <w:rFonts w:ascii="Arial" w:hAnsi="Arial" w:cs="Arial"/>
          <w:sz w:val="24"/>
          <w:szCs w:val="24"/>
        </w:rPr>
        <w:t xml:space="preserve">The </w:t>
      </w:r>
      <w:r w:rsidRPr="00A44687">
        <w:rPr>
          <w:rFonts w:ascii="Arial" w:hAnsi="Arial" w:cs="Arial"/>
          <w:sz w:val="24"/>
          <w:szCs w:val="24"/>
          <w:vertAlign w:val="superscript"/>
        </w:rPr>
        <w:t>1</w:t>
      </w:r>
      <w:r w:rsidRPr="00A44687">
        <w:rPr>
          <w:rFonts w:ascii="Arial" w:hAnsi="Arial" w:cs="Arial"/>
          <w:sz w:val="24"/>
          <w:szCs w:val="24"/>
        </w:rPr>
        <w:t>H-NMR spectrum of mPEG–PLGA (DP) and PLGA–PEG–PLGA (TP).</w:t>
      </w:r>
    </w:p>
    <w:p w14:paraId="1A109153" w14:textId="54796151" w:rsidR="00E61BD5" w:rsidRDefault="00E61BD5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F973206" w14:textId="058E5B86" w:rsidR="00557F61" w:rsidRDefault="00B5222A" w:rsidP="00557F61">
      <w:pPr>
        <w:widowControl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51A853C5" wp14:editId="5B1D13D3">
            <wp:extent cx="5381615" cy="639254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70" cy="641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9DD4D" w14:textId="31B9C747" w:rsidR="00892F2F" w:rsidRDefault="00B5222A" w:rsidP="00557F61">
      <w:pPr>
        <w:widowControl/>
        <w:rPr>
          <w:rFonts w:ascii="Arial" w:hAnsi="Arial" w:cs="Arial"/>
          <w:sz w:val="24"/>
          <w:szCs w:val="24"/>
        </w:rPr>
      </w:pPr>
      <w:r w:rsidRPr="004A1CE8">
        <w:rPr>
          <w:rFonts w:ascii="Arial" w:eastAsia="細明體" w:hAnsi="Arial" w:cs="Arial" w:hint="eastAsia"/>
          <w:b/>
          <w:sz w:val="24"/>
          <w:szCs w:val="24"/>
          <w:lang w:eastAsia="zh-TW"/>
        </w:rPr>
        <w:t>Fi</w:t>
      </w:r>
      <w:r w:rsidRPr="004A1CE8">
        <w:rPr>
          <w:rFonts w:ascii="Arial" w:eastAsia="細明體" w:hAnsi="Arial" w:cs="Arial"/>
          <w:b/>
          <w:sz w:val="24"/>
          <w:szCs w:val="24"/>
          <w:lang w:eastAsia="zh-TW"/>
        </w:rPr>
        <w:t>gure S4.</w:t>
      </w:r>
      <w:r>
        <w:rPr>
          <w:rFonts w:ascii="Arial" w:eastAsia="細明體" w:hAnsi="Arial" w:cs="Arial"/>
          <w:sz w:val="24"/>
          <w:szCs w:val="24"/>
          <w:lang w:eastAsia="zh-TW"/>
        </w:rPr>
        <w:t xml:space="preserve"> </w:t>
      </w:r>
      <w:r w:rsidR="0057551E">
        <w:rPr>
          <w:rFonts w:ascii="Arial" w:eastAsia="細明體" w:hAnsi="Arial" w:cs="Arial"/>
          <w:sz w:val="24"/>
          <w:szCs w:val="24"/>
          <w:lang w:eastAsia="zh-TW"/>
        </w:rPr>
        <w:t xml:space="preserve">The </w:t>
      </w:r>
      <w:r w:rsidR="00892F2F">
        <w:rPr>
          <w:rFonts w:ascii="Arial" w:eastAsia="細明體" w:hAnsi="Arial" w:cs="Arial"/>
          <w:sz w:val="24"/>
          <w:szCs w:val="24"/>
          <w:lang w:eastAsia="zh-TW"/>
        </w:rPr>
        <w:t xml:space="preserve">GPC analysis of </w:t>
      </w:r>
      <w:r w:rsidR="00892F2F" w:rsidRPr="00A44687">
        <w:rPr>
          <w:rFonts w:ascii="Arial" w:hAnsi="Arial" w:cs="Arial"/>
          <w:sz w:val="24"/>
          <w:szCs w:val="24"/>
        </w:rPr>
        <w:t>mPEG–PLGA (DP) and PLGA–PEG–PLGA (TP).</w:t>
      </w:r>
    </w:p>
    <w:p w14:paraId="3F1ECA6E" w14:textId="77777777" w:rsidR="00892F2F" w:rsidRDefault="00892F2F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408BA46" w14:textId="77777777" w:rsidR="00892F2F" w:rsidRDefault="00892F2F" w:rsidP="00892F2F">
      <w:pPr>
        <w:widowControl/>
        <w:jc w:val="center"/>
        <w:rPr>
          <w:rFonts w:ascii="Arial" w:eastAsia="細明體" w:hAnsi="Arial" w:cs="Arial"/>
          <w:sz w:val="24"/>
          <w:szCs w:val="24"/>
          <w:lang w:eastAsia="zh-TW"/>
        </w:rPr>
      </w:pPr>
      <w:r w:rsidRPr="000C4246">
        <w:rPr>
          <w:rFonts w:ascii="Arial" w:eastAsia="OpenSans-Light,Italic" w:hAnsi="Arial" w:cs="Arial"/>
          <w:iCs/>
          <w:noProof/>
          <w:color w:val="323232"/>
          <w:kern w:val="0"/>
        </w:rPr>
        <w:lastRenderedPageBreak/>
        <w:drawing>
          <wp:inline distT="0" distB="0" distL="0" distR="0" wp14:anchorId="40B72D75" wp14:editId="793B74DC">
            <wp:extent cx="1739735" cy="3035718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2" t="23481" r="55509" b="25126"/>
                    <a:stretch/>
                  </pic:blipFill>
                  <pic:spPr bwMode="auto">
                    <a:xfrm>
                      <a:off x="0" y="0"/>
                      <a:ext cx="1751791" cy="30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3679" w14:textId="7B6EA2DC" w:rsidR="00892F2F" w:rsidRDefault="00892F2F" w:rsidP="00892F2F">
      <w:pPr>
        <w:widowControl/>
        <w:jc w:val="center"/>
        <w:rPr>
          <w:rFonts w:ascii="Arial" w:eastAsia="細明體" w:hAnsi="Arial" w:cs="Arial"/>
          <w:sz w:val="24"/>
          <w:szCs w:val="24"/>
          <w:lang w:eastAsia="zh-TW"/>
        </w:rPr>
      </w:pPr>
      <w:r w:rsidRPr="004A1CE8">
        <w:rPr>
          <w:rFonts w:ascii="Arial" w:eastAsia="細明體" w:hAnsi="Arial" w:cs="Arial" w:hint="eastAsia"/>
          <w:b/>
          <w:sz w:val="24"/>
          <w:szCs w:val="24"/>
          <w:lang w:eastAsia="zh-TW"/>
        </w:rPr>
        <w:t>Fi</w:t>
      </w:r>
      <w:r w:rsidRPr="004A1CE8">
        <w:rPr>
          <w:rFonts w:ascii="Arial" w:eastAsia="細明體" w:hAnsi="Arial" w:cs="Arial"/>
          <w:b/>
          <w:sz w:val="24"/>
          <w:szCs w:val="24"/>
          <w:lang w:eastAsia="zh-TW"/>
        </w:rPr>
        <w:t>gure S5</w:t>
      </w:r>
      <w:r>
        <w:rPr>
          <w:rFonts w:ascii="Arial" w:eastAsia="細明體" w:hAnsi="Arial" w:cs="Arial"/>
          <w:sz w:val="24"/>
          <w:szCs w:val="24"/>
          <w:lang w:eastAsia="zh-TW"/>
        </w:rPr>
        <w:t xml:space="preserve">. Image </w:t>
      </w:r>
      <w:r w:rsidRPr="00892F2F">
        <w:rPr>
          <w:rFonts w:ascii="Arial" w:eastAsia="細明體" w:hAnsi="Arial" w:cs="Arial"/>
          <w:sz w:val="24"/>
          <w:szCs w:val="24"/>
          <w:lang w:eastAsia="zh-TW"/>
        </w:rPr>
        <w:t xml:space="preserve">of </w:t>
      </w:r>
      <w:r>
        <w:rPr>
          <w:rFonts w:ascii="Arial" w:eastAsia="細明體" w:hAnsi="Arial" w:cs="Arial"/>
          <w:sz w:val="24"/>
          <w:szCs w:val="24"/>
          <w:lang w:eastAsia="zh-TW"/>
        </w:rPr>
        <w:t xml:space="preserve">the </w:t>
      </w:r>
      <w:r w:rsidRPr="00892F2F">
        <w:rPr>
          <w:rFonts w:ascii="Arial" w:eastAsia="細明體" w:hAnsi="Arial" w:cs="Arial"/>
          <w:sz w:val="24"/>
          <w:szCs w:val="24"/>
          <w:lang w:eastAsia="zh-TW"/>
        </w:rPr>
        <w:t>sample in the gelling type after inversion.</w:t>
      </w:r>
      <w:r>
        <w:rPr>
          <w:rFonts w:ascii="Arial" w:eastAsia="細明體" w:hAnsi="Arial" w:cs="Arial"/>
          <w:sz w:val="24"/>
          <w:szCs w:val="24"/>
          <w:lang w:eastAsia="zh-TW"/>
        </w:rPr>
        <w:br w:type="page"/>
      </w:r>
    </w:p>
    <w:p w14:paraId="50979B72" w14:textId="77777777" w:rsidR="00B5222A" w:rsidRPr="00B5222A" w:rsidRDefault="00B5222A" w:rsidP="00557F61">
      <w:pPr>
        <w:widowControl/>
        <w:rPr>
          <w:rFonts w:ascii="Arial" w:eastAsia="細明體" w:hAnsi="Arial" w:cs="Arial"/>
          <w:sz w:val="24"/>
          <w:szCs w:val="24"/>
          <w:lang w:eastAsia="zh-TW"/>
        </w:rPr>
      </w:pPr>
    </w:p>
    <w:p w14:paraId="08A3D2BB" w14:textId="77777777" w:rsidR="00557F61" w:rsidRPr="00A44687" w:rsidRDefault="00557F61" w:rsidP="00557F61">
      <w:pPr>
        <w:jc w:val="center"/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sz w:val="24"/>
          <w:szCs w:val="24"/>
        </w:rPr>
        <w:object w:dxaOrig="8650" w:dyaOrig="9600" w14:anchorId="4BD30D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15pt;height:460.9pt" o:ole="">
            <v:imagedata r:id="rId11" o:title=""/>
          </v:shape>
          <o:OLEObject Type="Embed" ProgID="Prism10.Document" ShapeID="_x0000_i1025" DrawAspect="Content" ObjectID="_1799623547" r:id="rId12"/>
        </w:object>
      </w:r>
    </w:p>
    <w:p w14:paraId="0FD7FE8B" w14:textId="3FDFDAC0" w:rsidR="00557F61" w:rsidRPr="00A44687" w:rsidRDefault="00557F61" w:rsidP="00557F61">
      <w:pPr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b/>
          <w:sz w:val="24"/>
          <w:szCs w:val="24"/>
        </w:rPr>
        <w:t>Figure S</w:t>
      </w:r>
      <w:r w:rsidR="00892F2F">
        <w:rPr>
          <w:rFonts w:ascii="Arial" w:hAnsi="Arial" w:cs="Arial"/>
          <w:b/>
          <w:sz w:val="24"/>
          <w:szCs w:val="24"/>
        </w:rPr>
        <w:t>6</w:t>
      </w:r>
      <w:r w:rsidRPr="00A44687">
        <w:rPr>
          <w:rFonts w:ascii="Arial" w:hAnsi="Arial" w:cs="Arial"/>
          <w:sz w:val="24"/>
          <w:szCs w:val="24"/>
        </w:rPr>
        <w:t xml:space="preserve">. In the equation </w:t>
      </w:r>
      <m:oMath>
        <m:r>
          <w:rPr>
            <w:rFonts w:ascii="Cambria Math" w:hAnsi="Cambria Math" w:cs="Arial"/>
            <w:strike/>
            <w:sz w:val="24"/>
            <w:szCs w:val="24"/>
          </w:rPr>
          <m:t>l</m:t>
        </m:r>
        <m:r>
          <w:rPr>
            <w:rFonts w:ascii="Cambria Math" w:hAnsi="Cambria Math" w:cs="Arial"/>
            <w:sz w:val="24"/>
            <w:szCs w:val="24"/>
          </w:rPr>
          <m:t>n</m:t>
        </m:r>
        <m:f>
          <m:fPr>
            <m:type m:val="lin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[(1-M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Arial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 w:cs="Arial"/>
                <w:sz w:val="24"/>
                <w:szCs w:val="24"/>
              </w:rPr>
              <m:t>)/</m:t>
            </m:r>
            <m:f>
              <m:fPr>
                <m:type m:val="lin"/>
                <m:ctrlPr>
                  <w:rPr>
                    <w:rFonts w:ascii="Cambria Math" w:hAnsi="Cambria Math" w:cs="Arial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4"/>
                  </w:rPr>
                  <m:t>(8</m:t>
                </m:r>
              </m:num>
              <m:den>
                <m:sSup>
                  <m:sSupPr>
                    <m:ctrlPr>
                      <w:rPr>
                        <w:rFonts w:ascii="Cambria Math" w:hAnsi="Cambria Math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π</m:t>
                    </m:r>
                  </m:e>
                  <m:sup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)</m:t>
                </m:r>
              </m:den>
            </m:f>
            <m:r>
              <w:rPr>
                <w:rFonts w:ascii="Cambria Math" w:hAnsi="Cambria Math" w:cs="Arial"/>
                <w:sz w:val="24"/>
                <w:szCs w:val="24"/>
              </w:rPr>
              <m:t>]</m:t>
            </m:r>
          </m:den>
        </m:f>
        <m:r>
          <w:rPr>
            <w:rFonts w:ascii="Cambria Math" w:hAnsi="Cambria Math" w:cs="Arial"/>
            <w:sz w:val="24"/>
            <w:szCs w:val="24"/>
          </w:rPr>
          <m:t>=(-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π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D/</m:t>
        </m:r>
        <m:sSup>
          <m:sSup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l</m:t>
            </m:r>
          </m:e>
          <m:sup>
            <m:r>
              <w:rPr>
                <w:rFonts w:ascii="Cambria Math" w:hAnsi="Cambria Math" w:cs="Arial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Arial"/>
            <w:sz w:val="24"/>
            <w:szCs w:val="24"/>
          </w:rPr>
          <m:t>)t</m:t>
        </m:r>
      </m:oMath>
      <w:r w:rsidRPr="00A44687">
        <w:rPr>
          <w:rFonts w:ascii="Arial" w:hAnsi="Arial" w:cs="Arial"/>
          <w:sz w:val="24"/>
          <w:szCs w:val="24"/>
        </w:rPr>
        <w:t xml:space="preserve">, linear regression was performed for the release profiles of each nsTPPgel group. For each group, 4–6 time points were used to achieve the maximum </w:t>
      </w:r>
      <w:r w:rsidRPr="00A44687">
        <w:rPr>
          <w:rFonts w:ascii="Cambria Math" w:hAnsi="Cambria Math" w:cs="Cambria Math"/>
          <w:sz w:val="24"/>
          <w:szCs w:val="24"/>
        </w:rPr>
        <w:t>𝑅</w:t>
      </w:r>
      <w:r w:rsidRPr="00A44687">
        <w:rPr>
          <w:rFonts w:ascii="Arial" w:hAnsi="Arial" w:cs="Arial"/>
          <w:sz w:val="24"/>
          <w:szCs w:val="24"/>
          <w:vertAlign w:val="superscript"/>
        </w:rPr>
        <w:t>2</w:t>
      </w:r>
      <w:r w:rsidRPr="00A44687">
        <w:rPr>
          <w:rFonts w:ascii="Arial" w:hAnsi="Arial" w:cs="Arial"/>
          <w:sz w:val="24"/>
          <w:szCs w:val="24"/>
        </w:rPr>
        <w:t xml:space="preserve"> value.</w:t>
      </w:r>
    </w:p>
    <w:p w14:paraId="6C4CCD38" w14:textId="77777777" w:rsidR="00557F61" w:rsidRPr="00A44687" w:rsidRDefault="00557F61" w:rsidP="00557F61">
      <w:pPr>
        <w:widowControl/>
        <w:rPr>
          <w:rFonts w:ascii="Arial" w:hAnsi="Arial" w:cs="Arial"/>
          <w:sz w:val="24"/>
          <w:szCs w:val="24"/>
        </w:rPr>
      </w:pPr>
    </w:p>
    <w:p w14:paraId="5969DC6C" w14:textId="28DAF8CB" w:rsidR="00557F61" w:rsidRPr="00A44687" w:rsidRDefault="00557F61" w:rsidP="00557F61">
      <w:pPr>
        <w:jc w:val="center"/>
        <w:rPr>
          <w:rFonts w:ascii="Arial" w:hAnsi="Arial" w:cs="Arial"/>
          <w:sz w:val="24"/>
          <w:szCs w:val="24"/>
        </w:rPr>
      </w:pPr>
    </w:p>
    <w:p w14:paraId="4D39F778" w14:textId="34FB3D46" w:rsidR="00557F61" w:rsidRPr="00A44687" w:rsidRDefault="00A44687" w:rsidP="00557F61">
      <w:pPr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DE3D203" wp14:editId="67FC8552">
            <wp:extent cx="5262563" cy="3979532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33" cy="3989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57F61" w:rsidRPr="00A44687">
        <w:rPr>
          <w:rFonts w:ascii="Arial" w:hAnsi="Arial" w:cs="Arial"/>
          <w:b/>
          <w:sz w:val="24"/>
          <w:szCs w:val="24"/>
        </w:rPr>
        <w:t>Figure S</w:t>
      </w:r>
      <w:r w:rsidR="00892F2F">
        <w:rPr>
          <w:rFonts w:ascii="Arial" w:hAnsi="Arial" w:cs="Arial"/>
          <w:b/>
          <w:sz w:val="24"/>
          <w:szCs w:val="24"/>
        </w:rPr>
        <w:t>7</w:t>
      </w:r>
      <w:r w:rsidR="00557F61" w:rsidRPr="00A44687">
        <w:rPr>
          <w:rFonts w:ascii="Arial" w:hAnsi="Arial" w:cs="Arial"/>
          <w:b/>
          <w:sz w:val="24"/>
          <w:szCs w:val="24"/>
        </w:rPr>
        <w:t>.</w:t>
      </w:r>
      <w:r w:rsidR="00557F61" w:rsidRPr="00A44687">
        <w:rPr>
          <w:rFonts w:ascii="Arial" w:hAnsi="Arial" w:cs="Arial"/>
          <w:sz w:val="24"/>
          <w:szCs w:val="24"/>
        </w:rPr>
        <w:t xml:space="preserve"> </w:t>
      </w:r>
      <w:r w:rsidR="00557F61" w:rsidRPr="00A44687">
        <w:rPr>
          <w:rFonts w:ascii="Arial" w:hAnsi="Arial" w:cs="Arial"/>
          <w:iCs/>
          <w:sz w:val="24"/>
          <w:szCs w:val="24"/>
        </w:rPr>
        <w:t>In vivo</w:t>
      </w:r>
      <w:r w:rsidR="00557F61" w:rsidRPr="00A44687">
        <w:rPr>
          <w:rFonts w:ascii="Arial" w:hAnsi="Arial" w:cs="Arial"/>
          <w:sz w:val="24"/>
          <w:szCs w:val="24"/>
        </w:rPr>
        <w:t xml:space="preserve"> images of LNCaP-xenograft mice injected with DiR-labeled a-huPBMCs after being administrated </w:t>
      </w:r>
      <w:r w:rsidR="00557F61" w:rsidRPr="00A44687">
        <w:rPr>
          <w:rFonts w:ascii="Arial" w:eastAsia="Times" w:hAnsi="Arial" w:cs="Arial"/>
          <w:color w:val="000000" w:themeColor="text1"/>
          <w:sz w:val="24"/>
          <w:szCs w:val="24"/>
        </w:rPr>
        <w:t>intravenous (</w:t>
      </w:r>
      <w:r w:rsidR="00557F61" w:rsidRPr="00A44687">
        <w:rPr>
          <w:rFonts w:ascii="Arial" w:hAnsi="Arial" w:cs="Arial"/>
          <w:sz w:val="24"/>
          <w:szCs w:val="24"/>
        </w:rPr>
        <w:t xml:space="preserve">i.v.) BiPTE sol, </w:t>
      </w:r>
      <w:r w:rsidR="00557F61" w:rsidRPr="00A44687">
        <w:rPr>
          <w:rFonts w:ascii="Arial" w:eastAsia="Times New Roman" w:hAnsi="Arial" w:cs="Arial"/>
          <w:sz w:val="24"/>
          <w:szCs w:val="24"/>
        </w:rPr>
        <w:t>subcutaneous (</w:t>
      </w:r>
      <w:r w:rsidR="00557F61" w:rsidRPr="00A44687">
        <w:rPr>
          <w:rFonts w:ascii="Arial" w:hAnsi="Arial" w:cs="Arial"/>
          <w:sz w:val="24"/>
          <w:szCs w:val="24"/>
        </w:rPr>
        <w:t>s.c.) BiPTE sol, BiPTE/DTgel-2, BiPTE/DTgel-2S, and BiPTE/D</w:t>
      </w:r>
      <w:r w:rsidR="00557F61" w:rsidRPr="00A44687">
        <w:rPr>
          <w:rFonts w:ascii="Arial" w:hAnsi="Arial" w:cs="Arial"/>
          <w:sz w:val="24"/>
          <w:szCs w:val="24"/>
          <w:vertAlign w:val="subscript"/>
        </w:rPr>
        <w:t>2</w:t>
      </w:r>
      <w:r w:rsidR="00557F61" w:rsidRPr="00A44687">
        <w:rPr>
          <w:rFonts w:ascii="Arial" w:hAnsi="Arial" w:cs="Arial"/>
          <w:sz w:val="24"/>
          <w:szCs w:val="24"/>
        </w:rPr>
        <w:t>gel (at 5 mg/kg body weight) at 2, 6, 12, 24, 52, 72 and 96 h, obtained with an IVIS spectrum optical imaging system.</w:t>
      </w:r>
    </w:p>
    <w:p w14:paraId="43D7A770" w14:textId="77777777" w:rsidR="00557F61" w:rsidRPr="00A44687" w:rsidRDefault="00557F61" w:rsidP="00557F61">
      <w:pPr>
        <w:widowControl/>
        <w:rPr>
          <w:rFonts w:ascii="Arial" w:hAnsi="Arial" w:cs="Arial"/>
          <w:sz w:val="24"/>
          <w:szCs w:val="24"/>
        </w:rPr>
      </w:pPr>
    </w:p>
    <w:p w14:paraId="433F3C4B" w14:textId="7057CE5E" w:rsidR="00557F61" w:rsidRPr="00A44687" w:rsidRDefault="00557F61" w:rsidP="00557F61">
      <w:pPr>
        <w:widowControl/>
        <w:jc w:val="center"/>
        <w:rPr>
          <w:rFonts w:ascii="Arial" w:hAnsi="Arial" w:cs="Arial"/>
          <w:sz w:val="24"/>
          <w:szCs w:val="24"/>
        </w:rPr>
      </w:pPr>
    </w:p>
    <w:p w14:paraId="6BF8E375" w14:textId="00073CEB" w:rsidR="00557F61" w:rsidRPr="00A44687" w:rsidRDefault="00A44687" w:rsidP="00557F61">
      <w:pPr>
        <w:widowControl/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B803347" wp14:editId="003C277A">
            <wp:extent cx="5272860" cy="4810125"/>
            <wp:effectExtent l="0" t="0" r="444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6" r="4979"/>
                    <a:stretch/>
                  </pic:blipFill>
                  <pic:spPr bwMode="auto">
                    <a:xfrm>
                      <a:off x="0" y="0"/>
                      <a:ext cx="5279829" cy="48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7F61" w:rsidRPr="00A44687">
        <w:rPr>
          <w:rFonts w:ascii="Arial" w:hAnsi="Arial" w:cs="Arial"/>
          <w:b/>
          <w:sz w:val="24"/>
          <w:szCs w:val="24"/>
        </w:rPr>
        <w:t>Figure S</w:t>
      </w:r>
      <w:r w:rsidR="00892F2F">
        <w:rPr>
          <w:rFonts w:ascii="Arial" w:hAnsi="Arial" w:cs="Arial"/>
          <w:b/>
          <w:sz w:val="24"/>
          <w:szCs w:val="24"/>
        </w:rPr>
        <w:t>8</w:t>
      </w:r>
      <w:r w:rsidR="00557F61" w:rsidRPr="00A44687">
        <w:rPr>
          <w:rFonts w:ascii="Arial" w:hAnsi="Arial" w:cs="Arial"/>
          <w:b/>
          <w:sz w:val="24"/>
          <w:szCs w:val="24"/>
        </w:rPr>
        <w:t xml:space="preserve">. </w:t>
      </w:r>
      <w:r w:rsidR="00557F61" w:rsidRPr="00A44687">
        <w:rPr>
          <w:rFonts w:ascii="Arial" w:hAnsi="Arial" w:cs="Arial"/>
          <w:sz w:val="24"/>
          <w:szCs w:val="24"/>
        </w:rPr>
        <w:t>Average radiant efficiencies (ARE) of DiR-labeled a-huPBMCs in the injection site (</w:t>
      </w:r>
      <w:r w:rsidR="00557F61" w:rsidRPr="00A44687">
        <w:rPr>
          <w:rFonts w:ascii="Arial" w:hAnsi="Arial" w:cs="Arial"/>
          <w:b/>
          <w:sz w:val="24"/>
          <w:szCs w:val="24"/>
        </w:rPr>
        <w:t>a</w:t>
      </w:r>
      <w:r w:rsidR="00557F61" w:rsidRPr="00A44687">
        <w:rPr>
          <w:rFonts w:ascii="Arial" w:hAnsi="Arial" w:cs="Arial"/>
          <w:sz w:val="24"/>
          <w:szCs w:val="24"/>
        </w:rPr>
        <w:t>), tumor site (</w:t>
      </w:r>
      <w:r w:rsidR="00557F61" w:rsidRPr="00A44687">
        <w:rPr>
          <w:rFonts w:ascii="Arial" w:hAnsi="Arial" w:cs="Arial"/>
          <w:b/>
          <w:sz w:val="24"/>
          <w:szCs w:val="24"/>
        </w:rPr>
        <w:t>b</w:t>
      </w:r>
      <w:r w:rsidR="00557F61" w:rsidRPr="00A44687">
        <w:rPr>
          <w:rFonts w:ascii="Arial" w:hAnsi="Arial" w:cs="Arial"/>
          <w:sz w:val="24"/>
          <w:szCs w:val="24"/>
        </w:rPr>
        <w:t>), lymph nodes (</w:t>
      </w:r>
      <w:r w:rsidR="00557F61" w:rsidRPr="00A44687">
        <w:rPr>
          <w:rFonts w:ascii="Arial" w:hAnsi="Arial" w:cs="Arial"/>
          <w:b/>
          <w:sz w:val="24"/>
          <w:szCs w:val="24"/>
        </w:rPr>
        <w:t>c</w:t>
      </w:r>
      <w:r w:rsidR="00557F61" w:rsidRPr="00A44687">
        <w:rPr>
          <w:rFonts w:ascii="Arial" w:hAnsi="Arial" w:cs="Arial"/>
          <w:sz w:val="24"/>
          <w:szCs w:val="24"/>
        </w:rPr>
        <w:t>), and liver (</w:t>
      </w:r>
      <w:r w:rsidR="00557F61" w:rsidRPr="00A44687">
        <w:rPr>
          <w:rFonts w:ascii="Arial" w:hAnsi="Arial" w:cs="Arial"/>
          <w:b/>
          <w:sz w:val="24"/>
          <w:szCs w:val="24"/>
        </w:rPr>
        <w:t>d</w:t>
      </w:r>
      <w:r w:rsidR="00557F61" w:rsidRPr="00A44687">
        <w:rPr>
          <w:rFonts w:ascii="Arial" w:hAnsi="Arial" w:cs="Arial"/>
          <w:sz w:val="24"/>
          <w:szCs w:val="24"/>
        </w:rPr>
        <w:t>) at 2, 6, 12, 24, 52, 72, and 96 h. Data are expressed as mean ± standard deviation (n = 3).</w:t>
      </w:r>
      <w:r w:rsidR="00557F61" w:rsidRPr="00A44687">
        <w:rPr>
          <w:rFonts w:ascii="Arial" w:hAnsi="Arial" w:cs="Arial"/>
          <w:sz w:val="24"/>
          <w:szCs w:val="24"/>
        </w:rPr>
        <w:br w:type="page"/>
      </w:r>
    </w:p>
    <w:tbl>
      <w:tblPr>
        <w:tblpPr w:leftFromText="180" w:rightFromText="180" w:vertAnchor="page" w:horzAnchor="margin" w:tblpXSpec="center" w:tblpY="1998"/>
        <w:tblW w:w="9639" w:type="dxa"/>
        <w:tblLayout w:type="fixed"/>
        <w:tblLook w:val="04A0" w:firstRow="1" w:lastRow="0" w:firstColumn="1" w:lastColumn="0" w:noHBand="0" w:noVBand="1"/>
      </w:tblPr>
      <w:tblGrid>
        <w:gridCol w:w="1778"/>
        <w:gridCol w:w="1341"/>
        <w:gridCol w:w="1417"/>
        <w:gridCol w:w="1134"/>
        <w:gridCol w:w="1418"/>
        <w:gridCol w:w="1134"/>
        <w:gridCol w:w="1417"/>
      </w:tblGrid>
      <w:tr w:rsidR="00557F61" w:rsidRPr="00A44687" w14:paraId="5EB028AD" w14:textId="77777777" w:rsidTr="0048033C">
        <w:trPr>
          <w:trHeight w:val="284"/>
        </w:trPr>
        <w:tc>
          <w:tcPr>
            <w:tcW w:w="9639" w:type="dxa"/>
            <w:gridSpan w:val="7"/>
            <w:tcBorders>
              <w:left w:val="nil"/>
              <w:bottom w:val="single" w:sz="12" w:space="0" w:color="auto"/>
              <w:right w:val="nil"/>
            </w:tcBorders>
          </w:tcPr>
          <w:p w14:paraId="463AF404" w14:textId="307C3FC4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b/>
                <w:sz w:val="24"/>
                <w:szCs w:val="24"/>
              </w:rPr>
              <w:lastRenderedPageBreak/>
              <w:t>Table S1.</w:t>
            </w:r>
            <w:r w:rsidRPr="00A44687">
              <w:rPr>
                <w:rFonts w:ascii="Arial" w:hAnsi="Arial" w:cs="Arial"/>
                <w:sz w:val="24"/>
                <w:szCs w:val="24"/>
              </w:rPr>
              <w:t xml:space="preserve"> The formulations of 15% and 20% 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BSA</w:t>
            </w:r>
            <w:r w:rsidR="00837CBA">
              <w:rPr>
                <w:rFonts w:ascii="Arial" w:eastAsia="Times New Roman" w:hAnsi="Arial" w:cs="Arial"/>
                <w:sz w:val="24"/>
                <w:szCs w:val="24"/>
              </w:rPr>
              <w:t xml:space="preserve"> or 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/nsTPPgel</w:t>
            </w:r>
            <w:r w:rsidRPr="00A44687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557F61" w:rsidRPr="00A44687" w14:paraId="773A83F3" w14:textId="77777777" w:rsidTr="0048033C">
        <w:trPr>
          <w:trHeight w:val="454"/>
        </w:trPr>
        <w:tc>
          <w:tcPr>
            <w:tcW w:w="17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154BEB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Formulation</w:t>
            </w:r>
          </w:p>
        </w:tc>
        <w:tc>
          <w:tcPr>
            <w:tcW w:w="134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70E2C64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25% TP (µL)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C9F71B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25% DP (µL)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019AD89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 xml:space="preserve">PBS </w:t>
            </w:r>
          </w:p>
          <w:p w14:paraId="54233BCE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(µL)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6BA424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10× PBS (µL)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28D5B9D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 xml:space="preserve">BSA </w:t>
            </w:r>
          </w:p>
          <w:p w14:paraId="540043E4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(µg)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93961F6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 xml:space="preserve">BiPTE </w:t>
            </w:r>
          </w:p>
          <w:p w14:paraId="196FF5EF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(µg)</w:t>
            </w:r>
          </w:p>
        </w:tc>
      </w:tr>
      <w:tr w:rsidR="00557F61" w:rsidRPr="00A44687" w14:paraId="3E8E697D" w14:textId="77777777" w:rsidTr="0048033C">
        <w:trPr>
          <w:trHeight w:val="422"/>
        </w:trPr>
        <w:tc>
          <w:tcPr>
            <w:tcW w:w="17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AE4EEFA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20% DTgel-2</w:t>
            </w:r>
          </w:p>
        </w:tc>
        <w:tc>
          <w:tcPr>
            <w:tcW w:w="1341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B09D4C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18F5A75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38DF8EC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89334F9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26419FC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1417" w:type="dxa"/>
            <w:tcBorders>
              <w:top w:val="single" w:sz="12" w:space="0" w:color="auto"/>
              <w:left w:val="nil"/>
              <w:right w:val="nil"/>
            </w:tcBorders>
          </w:tcPr>
          <w:p w14:paraId="6545B71B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57F61" w:rsidRPr="00A44687" w14:paraId="1FCA77F6" w14:textId="77777777" w:rsidTr="0048033C">
        <w:trPr>
          <w:trHeight w:val="282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71C2B7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20% DTgel-2S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7CC4F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240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5C6D8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5A25A3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73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29788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</w:tcPr>
          <w:p w14:paraId="335C3AE3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744BECDB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57F61" w:rsidRPr="00A44687" w14:paraId="7682A6EE" w14:textId="77777777" w:rsidTr="0048033C">
        <w:trPr>
          <w:trHeight w:val="286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68C925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20% D</w:t>
            </w:r>
            <w:r w:rsidRPr="00A4468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44687">
              <w:rPr>
                <w:rFonts w:ascii="Arial" w:hAnsi="Arial" w:cs="Arial"/>
                <w:sz w:val="24"/>
                <w:szCs w:val="24"/>
              </w:rPr>
              <w:t>gel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F973CD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C2D67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C6AF84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858C3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</w:tcPr>
          <w:p w14:paraId="7B81E36A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40FE4AA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-</w:t>
            </w:r>
          </w:p>
        </w:tc>
      </w:tr>
      <w:tr w:rsidR="00557F61" w:rsidRPr="00A44687" w14:paraId="1B824318" w14:textId="77777777" w:rsidTr="0048033C">
        <w:trPr>
          <w:trHeight w:val="134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AF67E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15% DTgel-2</w:t>
            </w:r>
          </w:p>
        </w:tc>
        <w:tc>
          <w:tcPr>
            <w:tcW w:w="13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F0755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90D42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EA4D3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5F244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</w:tcPr>
          <w:p w14:paraId="419BFCB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183A9C13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557F61" w:rsidRPr="00A44687" w14:paraId="192A8739" w14:textId="77777777" w:rsidTr="0048033C">
        <w:trPr>
          <w:trHeight w:val="280"/>
        </w:trPr>
        <w:tc>
          <w:tcPr>
            <w:tcW w:w="1778" w:type="dxa"/>
            <w:tcBorders>
              <w:top w:val="nil"/>
              <w:left w:val="nil"/>
              <w:right w:val="nil"/>
            </w:tcBorders>
            <w:vAlign w:val="center"/>
          </w:tcPr>
          <w:p w14:paraId="6F54C06A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15% DTgel-2S</w:t>
            </w:r>
          </w:p>
        </w:tc>
        <w:tc>
          <w:tcPr>
            <w:tcW w:w="1341" w:type="dxa"/>
            <w:tcBorders>
              <w:top w:val="nil"/>
              <w:left w:val="nil"/>
              <w:right w:val="nil"/>
            </w:tcBorders>
            <w:vAlign w:val="center"/>
          </w:tcPr>
          <w:p w14:paraId="21669467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180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7757EA7D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vAlign w:val="center"/>
          </w:tcPr>
          <w:p w14:paraId="02CBAAA9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173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vAlign w:val="center"/>
          </w:tcPr>
          <w:p w14:paraId="5A5EC293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134" w:type="dxa"/>
            <w:vMerge/>
            <w:tcBorders>
              <w:left w:val="nil"/>
              <w:right w:val="nil"/>
            </w:tcBorders>
            <w:vAlign w:val="center"/>
          </w:tcPr>
          <w:p w14:paraId="005B6F8E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4ED33F2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557F61" w:rsidRPr="00A44687" w14:paraId="043AB11F" w14:textId="77777777" w:rsidTr="0048033C">
        <w:trPr>
          <w:trHeight w:val="297"/>
        </w:trPr>
        <w:tc>
          <w:tcPr>
            <w:tcW w:w="17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926595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15% D</w:t>
            </w:r>
            <w:r w:rsidRPr="00A4468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44687">
              <w:rPr>
                <w:rFonts w:ascii="Arial" w:hAnsi="Arial" w:cs="Arial"/>
                <w:sz w:val="24"/>
                <w:szCs w:val="24"/>
              </w:rPr>
              <w:t>gel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E4FD0BA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7077A5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ED1E5E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7B2CFEC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134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1DF470F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nil"/>
            </w:tcBorders>
          </w:tcPr>
          <w:p w14:paraId="3DB5D860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557F61" w:rsidRPr="00A44687" w14:paraId="39ACB0CE" w14:textId="77777777" w:rsidTr="0048033C">
        <w:trPr>
          <w:trHeight w:val="297"/>
        </w:trPr>
        <w:tc>
          <w:tcPr>
            <w:tcW w:w="9639" w:type="dxa"/>
            <w:gridSpan w:val="7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5AA9A85C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 xml:space="preserve">BiPTE, bispecific anti-PSMA Fab/anti-CD3 scFv T cell engager; BSA, bovine serum albumin; DP, diblock copolymer; PBS, phosphate-buffered saline; </w:t>
            </w:r>
            <w:r w:rsidRPr="00A44687">
              <w:rPr>
                <w:rFonts w:ascii="Arial" w:eastAsia="Times" w:hAnsi="Arial" w:cs="Arial"/>
                <w:color w:val="000000" w:themeColor="text1"/>
                <w:sz w:val="24"/>
                <w:szCs w:val="24"/>
              </w:rPr>
              <w:t>TP, triblock copolymer</w:t>
            </w:r>
          </w:p>
        </w:tc>
      </w:tr>
    </w:tbl>
    <w:p w14:paraId="19C9186C" w14:textId="77777777" w:rsidR="00557F61" w:rsidRPr="00A44687" w:rsidRDefault="00557F61">
      <w:pPr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sz w:val="24"/>
          <w:szCs w:val="24"/>
        </w:rPr>
        <w:br w:type="page"/>
      </w:r>
    </w:p>
    <w:p w14:paraId="46EF27AB" w14:textId="77777777" w:rsidR="00557F61" w:rsidRPr="00A44687" w:rsidRDefault="00557F61" w:rsidP="00557F61">
      <w:pPr>
        <w:widowControl/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page" w:horzAnchor="margin" w:tblpY="1809"/>
        <w:tblOverlap w:val="never"/>
        <w:tblW w:w="8364" w:type="dxa"/>
        <w:tblLayout w:type="fixed"/>
        <w:tblLook w:val="04A0" w:firstRow="1" w:lastRow="0" w:firstColumn="1" w:lastColumn="0" w:noHBand="0" w:noVBand="1"/>
      </w:tblPr>
      <w:tblGrid>
        <w:gridCol w:w="1778"/>
        <w:gridCol w:w="3293"/>
        <w:gridCol w:w="3293"/>
      </w:tblGrid>
      <w:tr w:rsidR="00557F61" w:rsidRPr="00A44687" w14:paraId="700CDBCA" w14:textId="77777777" w:rsidTr="0048033C">
        <w:trPr>
          <w:trHeight w:val="454"/>
        </w:trPr>
        <w:tc>
          <w:tcPr>
            <w:tcW w:w="8364" w:type="dxa"/>
            <w:gridSpan w:val="3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0DB81BC" w14:textId="77777777" w:rsidR="00557F61" w:rsidRPr="00A44687" w:rsidRDefault="00557F61" w:rsidP="0048033C">
            <w:pPr>
              <w:rPr>
                <w:rFonts w:ascii="Arial" w:hAnsi="Arial" w:cs="Arial"/>
                <w:iCs/>
                <w:sz w:val="24"/>
                <w:szCs w:val="24"/>
              </w:rPr>
            </w:pPr>
            <w:r w:rsidRPr="00A44687">
              <w:rPr>
                <w:rFonts w:ascii="Arial" w:hAnsi="Arial" w:cs="Arial"/>
                <w:b/>
                <w:sz w:val="24"/>
                <w:szCs w:val="24"/>
              </w:rPr>
              <w:t>Table S2.</w:t>
            </w:r>
            <w:r w:rsidRPr="00A44687">
              <w:rPr>
                <w:rFonts w:ascii="Arial" w:hAnsi="Arial" w:cs="Arial"/>
                <w:sz w:val="24"/>
                <w:szCs w:val="24"/>
              </w:rPr>
              <w:t xml:space="preserve"> The gelling temperature and storage modulus (G′) of each</w:t>
            </w:r>
            <w:r w:rsidRPr="00A44687">
              <w:rPr>
                <w:rFonts w:ascii="Arial" w:eastAsia="Times New Roman" w:hAnsi="Arial" w:cs="Arial"/>
                <w:bCs/>
                <w:i/>
                <w:color w:val="000000" w:themeColor="text1"/>
                <w:sz w:val="24"/>
                <w:szCs w:val="24"/>
              </w:rPr>
              <w:t xml:space="preserve"> nsTPPgel </w:t>
            </w:r>
            <w:r w:rsidRPr="00A44687">
              <w:rPr>
                <w:rFonts w:ascii="Arial" w:eastAsia="Times New Roman" w:hAnsi="Arial" w:cs="Arial"/>
                <w:bCs/>
                <w:iCs/>
                <w:color w:val="000000" w:themeColor="text1"/>
                <w:sz w:val="24"/>
                <w:szCs w:val="24"/>
              </w:rPr>
              <w:t>formulation.</w:t>
            </w:r>
          </w:p>
        </w:tc>
      </w:tr>
      <w:tr w:rsidR="00557F61" w:rsidRPr="00A44687" w14:paraId="7E8A611B" w14:textId="77777777" w:rsidTr="0048033C">
        <w:trPr>
          <w:trHeight w:val="454"/>
        </w:trPr>
        <w:tc>
          <w:tcPr>
            <w:tcW w:w="177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858D410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Formulation</w:t>
            </w:r>
          </w:p>
        </w:tc>
        <w:tc>
          <w:tcPr>
            <w:tcW w:w="32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2CC3112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Gelling temperature (°C)</w:t>
            </w:r>
          </w:p>
        </w:tc>
        <w:tc>
          <w:tcPr>
            <w:tcW w:w="329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E834F6A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G’ (Pa) at 37 °C</w:t>
            </w:r>
            <w:r w:rsidRPr="00A44687" w:rsidDel="001F4D7E">
              <w:rPr>
                <w:rFonts w:ascii="Arial" w:eastAsia="微軟正黑體" w:hAnsi="Arial" w:cs="Arial"/>
                <w:sz w:val="24"/>
                <w:szCs w:val="24"/>
              </w:rPr>
              <w:t xml:space="preserve"> </w:t>
            </w:r>
          </w:p>
        </w:tc>
      </w:tr>
      <w:tr w:rsidR="00557F61" w:rsidRPr="00A44687" w14:paraId="26662D40" w14:textId="77777777" w:rsidTr="0048033C">
        <w:trPr>
          <w:trHeight w:val="338"/>
        </w:trPr>
        <w:tc>
          <w:tcPr>
            <w:tcW w:w="177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DBC5394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20% DTgel-2</w:t>
            </w:r>
          </w:p>
        </w:tc>
        <w:tc>
          <w:tcPr>
            <w:tcW w:w="32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DF178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29.5</w:t>
            </w:r>
          </w:p>
        </w:tc>
        <w:tc>
          <w:tcPr>
            <w:tcW w:w="3293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59669CF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61.7</w:t>
            </w:r>
          </w:p>
        </w:tc>
      </w:tr>
      <w:tr w:rsidR="00557F61" w:rsidRPr="00A44687" w14:paraId="3C58A616" w14:textId="77777777" w:rsidTr="0048033C">
        <w:trPr>
          <w:trHeight w:val="282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E2BE40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20% DTgel-2S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97A75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22.3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BD93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185.2</w:t>
            </w:r>
          </w:p>
        </w:tc>
      </w:tr>
      <w:tr w:rsidR="00557F61" w:rsidRPr="00A44687" w14:paraId="6E5BF7CF" w14:textId="77777777" w:rsidTr="0048033C">
        <w:trPr>
          <w:trHeight w:val="286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8800C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20% D</w:t>
            </w:r>
            <w:r w:rsidRPr="00A4468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44687">
              <w:rPr>
                <w:rFonts w:ascii="Arial" w:hAnsi="Arial" w:cs="Arial"/>
                <w:sz w:val="24"/>
                <w:szCs w:val="24"/>
              </w:rPr>
              <w:t>gel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50EF9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21.2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9C2C4A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162.5</w:t>
            </w:r>
          </w:p>
        </w:tc>
      </w:tr>
      <w:tr w:rsidR="00557F61" w:rsidRPr="00A44687" w14:paraId="32C85720" w14:textId="77777777" w:rsidTr="0048033C">
        <w:trPr>
          <w:trHeight w:val="134"/>
        </w:trPr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EB3BD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15% DTgel-2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23718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30.5</w:t>
            </w: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8880F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51.8</w:t>
            </w:r>
          </w:p>
        </w:tc>
      </w:tr>
      <w:tr w:rsidR="00557F61" w:rsidRPr="00A44687" w14:paraId="2812675D" w14:textId="77777777" w:rsidTr="0048033C">
        <w:trPr>
          <w:trHeight w:val="280"/>
        </w:trPr>
        <w:tc>
          <w:tcPr>
            <w:tcW w:w="1778" w:type="dxa"/>
            <w:tcBorders>
              <w:top w:val="nil"/>
              <w:left w:val="nil"/>
              <w:right w:val="nil"/>
            </w:tcBorders>
            <w:vAlign w:val="center"/>
          </w:tcPr>
          <w:p w14:paraId="4AC346E8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15% DTgel-2S</w:t>
            </w:r>
          </w:p>
        </w:tc>
        <w:tc>
          <w:tcPr>
            <w:tcW w:w="3293" w:type="dxa"/>
            <w:tcBorders>
              <w:top w:val="nil"/>
              <w:left w:val="nil"/>
              <w:right w:val="nil"/>
            </w:tcBorders>
            <w:vAlign w:val="center"/>
          </w:tcPr>
          <w:p w14:paraId="40841BC8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30.5</w:t>
            </w:r>
          </w:p>
        </w:tc>
        <w:tc>
          <w:tcPr>
            <w:tcW w:w="3293" w:type="dxa"/>
            <w:tcBorders>
              <w:top w:val="nil"/>
              <w:left w:val="nil"/>
              <w:right w:val="nil"/>
            </w:tcBorders>
            <w:vAlign w:val="center"/>
          </w:tcPr>
          <w:p w14:paraId="272A97E8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52.0</w:t>
            </w:r>
          </w:p>
        </w:tc>
      </w:tr>
      <w:tr w:rsidR="00557F61" w:rsidRPr="00A44687" w14:paraId="3E9D478E" w14:textId="77777777" w:rsidTr="0048033C">
        <w:trPr>
          <w:trHeight w:val="297"/>
        </w:trPr>
        <w:tc>
          <w:tcPr>
            <w:tcW w:w="177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5142A95" w14:textId="77777777" w:rsidR="00557F61" w:rsidRPr="00A44687" w:rsidRDefault="00557F61" w:rsidP="0048033C">
            <w:pPr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15% D</w:t>
            </w:r>
            <w:r w:rsidRPr="00A4468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44687">
              <w:rPr>
                <w:rFonts w:ascii="Arial" w:hAnsi="Arial" w:cs="Arial"/>
                <w:sz w:val="24"/>
                <w:szCs w:val="24"/>
              </w:rPr>
              <w:t>gel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1B28120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29.5</w:t>
            </w:r>
          </w:p>
        </w:tc>
        <w:tc>
          <w:tcPr>
            <w:tcW w:w="3293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8109126" w14:textId="77777777" w:rsidR="00557F61" w:rsidRPr="00A44687" w:rsidRDefault="00557F61" w:rsidP="0048033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67.4</w:t>
            </w:r>
          </w:p>
        </w:tc>
      </w:tr>
    </w:tbl>
    <w:p w14:paraId="6BF76724" w14:textId="77777777" w:rsidR="00557F61" w:rsidRPr="00A44687" w:rsidRDefault="00557F61" w:rsidP="00557F61">
      <w:pPr>
        <w:widowControl/>
        <w:rPr>
          <w:rFonts w:ascii="Arial" w:hAnsi="Arial" w:cs="Arial"/>
          <w:sz w:val="24"/>
          <w:szCs w:val="24"/>
        </w:rPr>
      </w:pPr>
    </w:p>
    <w:p w14:paraId="5ABD0E3E" w14:textId="32687258" w:rsidR="00557F61" w:rsidRPr="00A44687" w:rsidRDefault="00557F61" w:rsidP="00557F61">
      <w:pPr>
        <w:widowControl/>
        <w:rPr>
          <w:rFonts w:ascii="Arial" w:hAnsi="Arial" w:cs="Arial"/>
          <w:sz w:val="24"/>
          <w:szCs w:val="24"/>
        </w:rPr>
      </w:pPr>
      <w:r w:rsidRPr="00A44687">
        <w:rPr>
          <w:rFonts w:ascii="Arial" w:hAnsi="Arial" w:cs="Arial"/>
          <w:sz w:val="24"/>
          <w:szCs w:val="24"/>
        </w:rPr>
        <w:br w:type="page"/>
      </w:r>
    </w:p>
    <w:tbl>
      <w:tblPr>
        <w:tblStyle w:val="1"/>
        <w:tblpPr w:leftFromText="180" w:rightFromText="180" w:vertAnchor="text" w:horzAnchor="margin" w:tblpXSpec="center" w:tblpY="212"/>
        <w:tblW w:w="9923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27"/>
        <w:gridCol w:w="2598"/>
        <w:gridCol w:w="2599"/>
        <w:gridCol w:w="2599"/>
      </w:tblGrid>
      <w:tr w:rsidR="00557F61" w:rsidRPr="00A44687" w14:paraId="026B8F1F" w14:textId="77777777" w:rsidTr="0048033C">
        <w:trPr>
          <w:trHeight w:val="454"/>
        </w:trPr>
        <w:tc>
          <w:tcPr>
            <w:tcW w:w="9923" w:type="dxa"/>
            <w:gridSpan w:val="4"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21D84F6B" w14:textId="354A22AA" w:rsidR="00557F61" w:rsidRPr="00A44687" w:rsidRDefault="00557F61" w:rsidP="0048033C">
            <w:pPr>
              <w:snapToGrid w:val="0"/>
              <w:rPr>
                <w:rFonts w:ascii="Arial" w:eastAsia="新細明體" w:hAnsi="Arial" w:cs="Arial"/>
                <w:sz w:val="24"/>
                <w:szCs w:val="24"/>
              </w:rPr>
            </w:pPr>
            <w:r w:rsidRPr="00A44687">
              <w:rPr>
                <w:rFonts w:ascii="Arial" w:eastAsia="新細明體" w:hAnsi="Arial" w:cs="Arial"/>
                <w:b/>
                <w:sz w:val="24"/>
                <w:szCs w:val="24"/>
              </w:rPr>
              <w:lastRenderedPageBreak/>
              <w:t>Table S3.</w:t>
            </w:r>
            <w:r w:rsidRPr="00A44687">
              <w:rPr>
                <w:rFonts w:ascii="Arial" w:eastAsia="新細明體" w:hAnsi="Arial" w:cs="Arial"/>
                <w:sz w:val="24"/>
                <w:szCs w:val="24"/>
              </w:rPr>
              <w:t xml:space="preserve"> The 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tumor volume of each group on day 0, day 14, and day 21</w:t>
            </w:r>
            <w:r w:rsidRPr="00A44687">
              <w:rPr>
                <w:rFonts w:ascii="Arial" w:eastAsia="新細明體" w:hAnsi="Arial" w:cs="Arial"/>
                <w:sz w:val="24"/>
                <w:szCs w:val="24"/>
              </w:rPr>
              <w:t xml:space="preserve">. 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Data are expressed as mean ± SD (n = 4)</w:t>
            </w:r>
            <w:r w:rsidR="00D03CD9">
              <w:rPr>
                <w:rFonts w:ascii="Arial" w:eastAsia="Times New Roman" w:hAnsi="Arial" w:cs="Arial"/>
                <w:sz w:val="24"/>
                <w:szCs w:val="24"/>
              </w:rPr>
              <w:t xml:space="preserve">. </w:t>
            </w:r>
            <w:r w:rsidR="00D03CD9" w:rsidRPr="00D03CD9">
              <w:rPr>
                <w:rFonts w:ascii="Arial" w:eastAsia="Times New Roman" w:hAnsi="Arial" w:cs="Arial"/>
                <w:sz w:val="24"/>
                <w:szCs w:val="24"/>
              </w:rPr>
              <w:t>The statistical differences were analyzed using one-way ANOVA followed by Tukey post hoc test for comparisons between groups.</w:t>
            </w:r>
          </w:p>
        </w:tc>
      </w:tr>
      <w:tr w:rsidR="00557F61" w:rsidRPr="00A44687" w14:paraId="6FE54A2A" w14:textId="77777777" w:rsidTr="0048033C">
        <w:trPr>
          <w:trHeight w:val="454"/>
        </w:trPr>
        <w:tc>
          <w:tcPr>
            <w:tcW w:w="2127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735E442B" w14:textId="77777777" w:rsidR="00557F61" w:rsidRPr="00A44687" w:rsidRDefault="00557F61" w:rsidP="0048033C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Group</w:t>
            </w:r>
          </w:p>
        </w:tc>
        <w:tc>
          <w:tcPr>
            <w:tcW w:w="259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026A1066" w14:textId="77777777" w:rsidR="00557F61" w:rsidRPr="00A44687" w:rsidRDefault="00557F61" w:rsidP="0048033C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Day 0 tumor volume (mm</w:t>
            </w:r>
            <w:r w:rsidRPr="00A44687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3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259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3A03DD51" w14:textId="77777777" w:rsidR="00557F61" w:rsidRPr="00A44687" w:rsidRDefault="00557F61" w:rsidP="0048033C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Day 14 tumor volume (mm</w:t>
            </w:r>
            <w:r w:rsidRPr="00A44687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3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2599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414E321D" w14:textId="77777777" w:rsidR="00557F61" w:rsidRPr="00A44687" w:rsidRDefault="00557F61" w:rsidP="0048033C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Day 21 tumor volume (mm</w:t>
            </w:r>
            <w:r w:rsidRPr="00A44687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3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</w:tr>
      <w:tr w:rsidR="00557F61" w:rsidRPr="00A44687" w14:paraId="5803C7D1" w14:textId="77777777" w:rsidTr="0048033C">
        <w:trPr>
          <w:trHeight w:val="220"/>
        </w:trPr>
        <w:tc>
          <w:tcPr>
            <w:tcW w:w="2127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4A5B1FF9" w14:textId="77777777" w:rsidR="00557F61" w:rsidRPr="00A44687" w:rsidRDefault="00557F61" w:rsidP="0048033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Control</w:t>
            </w:r>
          </w:p>
        </w:tc>
        <w:tc>
          <w:tcPr>
            <w:tcW w:w="2598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24E670E5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84.5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±38.6</w:t>
            </w:r>
          </w:p>
        </w:tc>
        <w:tc>
          <w:tcPr>
            <w:tcW w:w="25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785C813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243.3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±121.2</w:t>
            </w:r>
          </w:p>
        </w:tc>
        <w:tc>
          <w:tcPr>
            <w:tcW w:w="2599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2259544D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443.4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±145.1</w:t>
            </w:r>
          </w:p>
        </w:tc>
      </w:tr>
      <w:tr w:rsidR="00557F61" w:rsidRPr="00A44687" w14:paraId="5404B784" w14:textId="77777777" w:rsidTr="0048033C">
        <w:trPr>
          <w:trHeight w:val="239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57F75" w14:textId="77777777" w:rsidR="00557F61" w:rsidRPr="00A44687" w:rsidRDefault="00557F61" w:rsidP="0048033C">
            <w:pPr>
              <w:snapToGri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i.v. BiPTE solution</w:t>
            </w: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77FDF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82.5±33.2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17C14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233.4±132.3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204F3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309.2±117.7</w:t>
            </w:r>
          </w:p>
        </w:tc>
      </w:tr>
      <w:tr w:rsidR="00557F61" w:rsidRPr="00A44687" w14:paraId="1C225987" w14:textId="77777777" w:rsidTr="0048033C">
        <w:trPr>
          <w:trHeight w:val="24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01299B" w14:textId="77777777" w:rsidR="00557F61" w:rsidRPr="00A44687" w:rsidRDefault="00557F61" w:rsidP="0048033C">
            <w:pPr>
              <w:snapToGri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s.c. BiPTE solution</w:t>
            </w: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A5F34E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81.3±34.2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73C291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200.2±65.5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F63D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275.1±64.7</w:t>
            </w:r>
          </w:p>
        </w:tc>
      </w:tr>
      <w:tr w:rsidR="00557F61" w:rsidRPr="00A44687" w14:paraId="578C8117" w14:textId="77777777" w:rsidTr="0048033C">
        <w:trPr>
          <w:trHeight w:val="105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161F0" w14:textId="77777777" w:rsidR="00557F61" w:rsidRPr="00A44687" w:rsidRDefault="00557F61" w:rsidP="0048033C">
            <w:pPr>
              <w:snapToGri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BiPTE/DTgel-2</w:t>
            </w:r>
          </w:p>
        </w:tc>
        <w:tc>
          <w:tcPr>
            <w:tcW w:w="259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A7227C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80.6±23.4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E2B0E9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96.9±54.3</w:t>
            </w:r>
          </w:p>
        </w:tc>
        <w:tc>
          <w:tcPr>
            <w:tcW w:w="259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9A786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181.6±87.6*</w:t>
            </w:r>
          </w:p>
        </w:tc>
      </w:tr>
      <w:tr w:rsidR="00557F61" w:rsidRPr="00A44687" w14:paraId="16708DB6" w14:textId="77777777" w:rsidTr="0048033C">
        <w:trPr>
          <w:trHeight w:val="110"/>
        </w:trPr>
        <w:tc>
          <w:tcPr>
            <w:tcW w:w="2127" w:type="dxa"/>
            <w:tcBorders>
              <w:top w:val="nil"/>
              <w:left w:val="nil"/>
              <w:right w:val="nil"/>
            </w:tcBorders>
            <w:vAlign w:val="center"/>
          </w:tcPr>
          <w:p w14:paraId="44413F26" w14:textId="77777777" w:rsidR="00557F61" w:rsidRPr="00A44687" w:rsidRDefault="00557F61" w:rsidP="0048033C">
            <w:pPr>
              <w:snapToGrid w:val="0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BiPTE/DTgel-2S</w:t>
            </w:r>
          </w:p>
        </w:tc>
        <w:tc>
          <w:tcPr>
            <w:tcW w:w="2598" w:type="dxa"/>
            <w:tcBorders>
              <w:top w:val="nil"/>
              <w:left w:val="nil"/>
              <w:right w:val="nil"/>
            </w:tcBorders>
            <w:vAlign w:val="center"/>
          </w:tcPr>
          <w:p w14:paraId="16206EF2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77.0±24.5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  <w:vAlign w:val="center"/>
          </w:tcPr>
          <w:p w14:paraId="754D0118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39.4±16.8*</w:t>
            </w:r>
            <w:r w:rsidRPr="00A44687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, #</w:t>
            </w:r>
          </w:p>
        </w:tc>
        <w:tc>
          <w:tcPr>
            <w:tcW w:w="2599" w:type="dxa"/>
            <w:tcBorders>
              <w:top w:val="nil"/>
              <w:left w:val="nil"/>
              <w:right w:val="nil"/>
            </w:tcBorders>
            <w:vAlign w:val="center"/>
          </w:tcPr>
          <w:p w14:paraId="262FE4FD" w14:textId="77777777" w:rsidR="00557F61" w:rsidRPr="00A44687" w:rsidRDefault="00557F61" w:rsidP="0048033C">
            <w:pPr>
              <w:snapToGrid w:val="0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91.9±16.1**</w:t>
            </w:r>
          </w:p>
        </w:tc>
      </w:tr>
      <w:tr w:rsidR="00557F61" w:rsidRPr="00A44687" w14:paraId="4048D62F" w14:textId="77777777" w:rsidTr="0048033C">
        <w:trPr>
          <w:trHeight w:val="127"/>
        </w:trPr>
        <w:tc>
          <w:tcPr>
            <w:tcW w:w="212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6F943C0" w14:textId="77777777" w:rsidR="00557F61" w:rsidRPr="00A44687" w:rsidRDefault="00557F61" w:rsidP="0048033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BiPTE/</w:t>
            </w:r>
            <w:r w:rsidRPr="00A44687">
              <w:rPr>
                <w:rFonts w:ascii="Arial" w:hAnsi="Arial" w:cs="Arial"/>
                <w:sz w:val="24"/>
                <w:szCs w:val="24"/>
              </w:rPr>
              <w:t>D</w:t>
            </w:r>
            <w:r w:rsidRPr="00A44687">
              <w:rPr>
                <w:rFonts w:ascii="Arial" w:hAnsi="Arial" w:cs="Arial"/>
                <w:sz w:val="24"/>
                <w:szCs w:val="24"/>
                <w:vertAlign w:val="subscript"/>
              </w:rPr>
              <w:t>2</w:t>
            </w:r>
            <w:r w:rsidRPr="00A44687">
              <w:rPr>
                <w:rFonts w:ascii="Arial" w:hAnsi="Arial" w:cs="Arial"/>
                <w:sz w:val="24"/>
                <w:szCs w:val="24"/>
              </w:rPr>
              <w:t>gel</w:t>
            </w:r>
          </w:p>
        </w:tc>
        <w:tc>
          <w:tcPr>
            <w:tcW w:w="259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3A90546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79.4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±29.3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63C3742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29.4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±21.6*</w:t>
            </w:r>
            <w:r w:rsidRPr="00A44687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>, #</w:t>
            </w:r>
          </w:p>
        </w:tc>
        <w:tc>
          <w:tcPr>
            <w:tcW w:w="2599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2096E0" w14:textId="77777777" w:rsidR="00557F61" w:rsidRPr="00A44687" w:rsidRDefault="00557F61" w:rsidP="0048033C">
            <w:pPr>
              <w:snapToGrid w:val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hAnsi="Arial" w:cs="Arial"/>
                <w:sz w:val="24"/>
                <w:szCs w:val="24"/>
              </w:rPr>
              <w:t>32.5</w:t>
            </w:r>
            <w:r w:rsidRPr="00A44687">
              <w:rPr>
                <w:rFonts w:ascii="Arial" w:eastAsia="Times New Roman" w:hAnsi="Arial" w:cs="Arial"/>
                <w:sz w:val="24"/>
                <w:szCs w:val="24"/>
              </w:rPr>
              <w:t>±20.8***</w:t>
            </w:r>
            <w:r w:rsidRPr="00A44687">
              <w:rPr>
                <w:rFonts w:ascii="Arial" w:eastAsia="Times New Roman" w:hAnsi="Arial" w:cs="Arial"/>
                <w:sz w:val="24"/>
                <w:szCs w:val="24"/>
                <w:vertAlign w:val="superscript"/>
              </w:rPr>
              <w:t xml:space="preserve">, #, </w:t>
            </w:r>
            <w:r w:rsidRPr="00A44687">
              <w:rPr>
                <w:rFonts w:ascii="Arial" w:eastAsia="新細明體" w:hAnsi="Arial" w:cs="Arial"/>
                <w:sz w:val="24"/>
                <w:szCs w:val="24"/>
                <w:vertAlign w:val="superscript"/>
              </w:rPr>
              <w:t>†</w:t>
            </w:r>
          </w:p>
        </w:tc>
      </w:tr>
      <w:tr w:rsidR="00557F61" w:rsidRPr="00A44687" w14:paraId="487A25E0" w14:textId="77777777" w:rsidTr="0048033C">
        <w:trPr>
          <w:trHeight w:val="518"/>
        </w:trPr>
        <w:tc>
          <w:tcPr>
            <w:tcW w:w="9923" w:type="dxa"/>
            <w:gridSpan w:val="4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454D9580" w14:textId="77777777" w:rsidR="00557F61" w:rsidRPr="00A44687" w:rsidRDefault="00557F61" w:rsidP="0048033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eastAsia="新細明體" w:hAnsi="Arial" w:cs="Arial"/>
                <w:sz w:val="24"/>
                <w:szCs w:val="24"/>
              </w:rPr>
              <w:t xml:space="preserve">*p &lt; 0.05, **p &lt; 0.01, and ***p &lt; 0.001 compared to the </w:t>
            </w:r>
            <w:r w:rsidRPr="00A44687">
              <w:rPr>
                <w:rFonts w:ascii="Arial" w:hAnsi="Arial" w:cs="Arial"/>
                <w:sz w:val="24"/>
                <w:szCs w:val="24"/>
              </w:rPr>
              <w:t>control group in one-way ANOVA.</w:t>
            </w:r>
          </w:p>
          <w:p w14:paraId="4C6D33D4" w14:textId="77777777" w:rsidR="00557F61" w:rsidRPr="00A44687" w:rsidRDefault="00557F61" w:rsidP="0048033C">
            <w:pPr>
              <w:snapToGrid w:val="0"/>
              <w:rPr>
                <w:rFonts w:ascii="Arial" w:hAnsi="Arial" w:cs="Arial"/>
                <w:sz w:val="24"/>
                <w:szCs w:val="24"/>
              </w:rPr>
            </w:pPr>
            <w:r w:rsidRPr="00A44687">
              <w:rPr>
                <w:rFonts w:ascii="Arial" w:eastAsia="新細明體" w:hAnsi="Arial" w:cs="Arial"/>
                <w:sz w:val="24"/>
                <w:szCs w:val="24"/>
                <w:vertAlign w:val="superscript"/>
              </w:rPr>
              <w:t>#</w:t>
            </w:r>
            <w:r w:rsidRPr="00A44687">
              <w:rPr>
                <w:rFonts w:ascii="Arial" w:eastAsia="新細明體" w:hAnsi="Arial" w:cs="Arial"/>
                <w:sz w:val="24"/>
                <w:szCs w:val="24"/>
              </w:rPr>
              <w:t xml:space="preserve">p &lt; 0.05 compared to </w:t>
            </w:r>
            <w:r w:rsidRPr="00A44687">
              <w:rPr>
                <w:rFonts w:ascii="Arial" w:hAnsi="Arial" w:cs="Arial"/>
                <w:sz w:val="24"/>
                <w:szCs w:val="24"/>
              </w:rPr>
              <w:t>intravenous (i.v.) BiPTE solution group in one-way ANOVA.</w:t>
            </w:r>
          </w:p>
          <w:p w14:paraId="146A2E2D" w14:textId="77777777" w:rsidR="00557F61" w:rsidRPr="00A44687" w:rsidRDefault="00557F61" w:rsidP="0048033C">
            <w:pPr>
              <w:snapToGrid w:val="0"/>
              <w:rPr>
                <w:rFonts w:ascii="Arial" w:eastAsia="新細明體" w:hAnsi="Arial" w:cs="Arial"/>
                <w:sz w:val="24"/>
                <w:szCs w:val="24"/>
              </w:rPr>
            </w:pPr>
            <w:r w:rsidRPr="00A44687">
              <w:rPr>
                <w:rFonts w:ascii="Arial" w:eastAsia="新細明體" w:hAnsi="Arial" w:cs="Arial"/>
                <w:sz w:val="24"/>
                <w:szCs w:val="24"/>
                <w:vertAlign w:val="superscript"/>
              </w:rPr>
              <w:t>†</w:t>
            </w:r>
            <w:r w:rsidRPr="00A44687">
              <w:rPr>
                <w:rFonts w:ascii="Arial" w:eastAsia="新細明體" w:hAnsi="Arial" w:cs="Arial"/>
                <w:sz w:val="24"/>
                <w:szCs w:val="24"/>
              </w:rPr>
              <w:t xml:space="preserve">p &lt; 0.05 compared to </w:t>
            </w:r>
            <w:r w:rsidRPr="00A44687">
              <w:rPr>
                <w:rFonts w:ascii="Arial" w:hAnsi="Arial" w:cs="Arial"/>
                <w:sz w:val="24"/>
                <w:szCs w:val="24"/>
              </w:rPr>
              <w:t>subcutaneous (s.c.) BiPTE solution group in one-way ANOVA.</w:t>
            </w:r>
          </w:p>
        </w:tc>
      </w:tr>
    </w:tbl>
    <w:p w14:paraId="110BDEB1" w14:textId="77777777" w:rsidR="00557F61" w:rsidRPr="00920498" w:rsidRDefault="00557F61" w:rsidP="00557F61">
      <w:pPr>
        <w:rPr>
          <w:rFonts w:ascii="Arial" w:hAnsi="Arial" w:cs="Arial"/>
        </w:rPr>
      </w:pPr>
      <w:r w:rsidRPr="00920498">
        <w:rPr>
          <w:rFonts w:ascii="Arial" w:hAnsi="Arial" w:cs="Arial"/>
        </w:rPr>
        <w:fldChar w:fldCharType="begin"/>
      </w:r>
      <w:r w:rsidRPr="00920498">
        <w:rPr>
          <w:rFonts w:ascii="Arial" w:hAnsi="Arial" w:cs="Arial"/>
        </w:rPr>
        <w:instrText xml:space="preserve"> ADDIN </w:instrText>
      </w:r>
      <w:r w:rsidRPr="00920498">
        <w:rPr>
          <w:rFonts w:ascii="Arial" w:hAnsi="Arial" w:cs="Arial"/>
        </w:rPr>
        <w:fldChar w:fldCharType="end"/>
      </w:r>
    </w:p>
    <w:p w14:paraId="7A97D9B5" w14:textId="77777777" w:rsidR="00663019" w:rsidRPr="00920498" w:rsidRDefault="00663019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sectPr w:rsidR="00663019" w:rsidRPr="009204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34A10B" w14:textId="77777777" w:rsidR="00FE5501" w:rsidRDefault="00FE5501" w:rsidP="00374FDB">
      <w:r>
        <w:separator/>
      </w:r>
    </w:p>
  </w:endnote>
  <w:endnote w:type="continuationSeparator" w:id="0">
    <w:p w14:paraId="7B5DB0B4" w14:textId="77777777" w:rsidR="00FE5501" w:rsidRDefault="00FE5501" w:rsidP="00374F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OpenSans-Light,Itali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DE3D18" w14:textId="77777777" w:rsidR="00FE5501" w:rsidRDefault="00FE5501" w:rsidP="00374FDB">
      <w:r>
        <w:separator/>
      </w:r>
    </w:p>
  </w:footnote>
  <w:footnote w:type="continuationSeparator" w:id="0">
    <w:p w14:paraId="05C24C4C" w14:textId="77777777" w:rsidR="00FE5501" w:rsidRDefault="00FE5501" w:rsidP="00374F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GMyYzFhYWRjYjA3Nzk3Mjc2ZGVjZGYwZDc2NDI1MWYifQ=="/>
  </w:docVars>
  <w:rsids>
    <w:rsidRoot w:val="0088688B"/>
    <w:rsid w:val="000779C5"/>
    <w:rsid w:val="000F0D7E"/>
    <w:rsid w:val="00137124"/>
    <w:rsid w:val="00141196"/>
    <w:rsid w:val="001946E7"/>
    <w:rsid w:val="001C1128"/>
    <w:rsid w:val="001E4D2E"/>
    <w:rsid w:val="001F104D"/>
    <w:rsid w:val="00225090"/>
    <w:rsid w:val="002472FC"/>
    <w:rsid w:val="00275583"/>
    <w:rsid w:val="002918A9"/>
    <w:rsid w:val="002A086F"/>
    <w:rsid w:val="002E5752"/>
    <w:rsid w:val="00302231"/>
    <w:rsid w:val="003058A6"/>
    <w:rsid w:val="003214D8"/>
    <w:rsid w:val="00374FDB"/>
    <w:rsid w:val="00384527"/>
    <w:rsid w:val="003D7DD7"/>
    <w:rsid w:val="003E1BAD"/>
    <w:rsid w:val="00401FC7"/>
    <w:rsid w:val="00474A96"/>
    <w:rsid w:val="004A1CE8"/>
    <w:rsid w:val="004D3111"/>
    <w:rsid w:val="004E723B"/>
    <w:rsid w:val="004F1AEF"/>
    <w:rsid w:val="00531647"/>
    <w:rsid w:val="00557F61"/>
    <w:rsid w:val="00562753"/>
    <w:rsid w:val="0057551E"/>
    <w:rsid w:val="005B0860"/>
    <w:rsid w:val="005D684A"/>
    <w:rsid w:val="005D6B54"/>
    <w:rsid w:val="00600433"/>
    <w:rsid w:val="006130E6"/>
    <w:rsid w:val="00633772"/>
    <w:rsid w:val="00663019"/>
    <w:rsid w:val="006631FA"/>
    <w:rsid w:val="006C461E"/>
    <w:rsid w:val="006F7742"/>
    <w:rsid w:val="00745416"/>
    <w:rsid w:val="0077267C"/>
    <w:rsid w:val="00781205"/>
    <w:rsid w:val="007C34A1"/>
    <w:rsid w:val="008179F3"/>
    <w:rsid w:val="00837CBA"/>
    <w:rsid w:val="008616B2"/>
    <w:rsid w:val="00883655"/>
    <w:rsid w:val="0088688B"/>
    <w:rsid w:val="00892F2F"/>
    <w:rsid w:val="008A0BEB"/>
    <w:rsid w:val="00920498"/>
    <w:rsid w:val="00925DB3"/>
    <w:rsid w:val="00955467"/>
    <w:rsid w:val="00987E54"/>
    <w:rsid w:val="009B02E8"/>
    <w:rsid w:val="009B51A0"/>
    <w:rsid w:val="009C5AAF"/>
    <w:rsid w:val="009C6FDE"/>
    <w:rsid w:val="009F0B7E"/>
    <w:rsid w:val="00A0074A"/>
    <w:rsid w:val="00A16E58"/>
    <w:rsid w:val="00A25257"/>
    <w:rsid w:val="00A44687"/>
    <w:rsid w:val="00A5593F"/>
    <w:rsid w:val="00A62EF2"/>
    <w:rsid w:val="00A83E5D"/>
    <w:rsid w:val="00A92EC3"/>
    <w:rsid w:val="00AA3CB6"/>
    <w:rsid w:val="00B25119"/>
    <w:rsid w:val="00B36E58"/>
    <w:rsid w:val="00B5222A"/>
    <w:rsid w:val="00BA0AEF"/>
    <w:rsid w:val="00BC5B10"/>
    <w:rsid w:val="00BC6553"/>
    <w:rsid w:val="00BF249F"/>
    <w:rsid w:val="00BF55E4"/>
    <w:rsid w:val="00C071E6"/>
    <w:rsid w:val="00C14978"/>
    <w:rsid w:val="00C21842"/>
    <w:rsid w:val="00C31E58"/>
    <w:rsid w:val="00C35D41"/>
    <w:rsid w:val="00C51569"/>
    <w:rsid w:val="00C74BBF"/>
    <w:rsid w:val="00C97A48"/>
    <w:rsid w:val="00CC67F4"/>
    <w:rsid w:val="00CE645E"/>
    <w:rsid w:val="00D03CD9"/>
    <w:rsid w:val="00DA2169"/>
    <w:rsid w:val="00DE27A3"/>
    <w:rsid w:val="00DF43E3"/>
    <w:rsid w:val="00E359FD"/>
    <w:rsid w:val="00E4148D"/>
    <w:rsid w:val="00E42AED"/>
    <w:rsid w:val="00E61BD5"/>
    <w:rsid w:val="00ED6917"/>
    <w:rsid w:val="00EF4073"/>
    <w:rsid w:val="00F4570E"/>
    <w:rsid w:val="00F76CB6"/>
    <w:rsid w:val="00F7767D"/>
    <w:rsid w:val="00FB7A4E"/>
    <w:rsid w:val="00FE5501"/>
    <w:rsid w:val="00FF4008"/>
    <w:rsid w:val="07B53E34"/>
    <w:rsid w:val="2E6731FF"/>
    <w:rsid w:val="47313C3E"/>
    <w:rsid w:val="6454481E"/>
    <w:rsid w:val="77A77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7E3170C"/>
  <w15:docId w15:val="{518A8B67-B192-4235-8E8F-0687DBD8D4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頁首 字元"/>
    <w:basedOn w:val="a0"/>
    <w:link w:val="a5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頁尾 字元"/>
    <w:basedOn w:val="a0"/>
    <w:link w:val="a3"/>
    <w:uiPriority w:val="99"/>
    <w:rPr>
      <w:rFonts w:asciiTheme="minorHAnsi" w:eastAsiaTheme="minorEastAsia" w:hAnsiTheme="minorHAnsi" w:cstheme="minorBidi"/>
      <w:kern w:val="2"/>
      <w:sz w:val="18"/>
      <w:szCs w:val="18"/>
    </w:rPr>
  </w:style>
  <w:style w:type="table" w:customStyle="1" w:styleId="1">
    <w:name w:val="1"/>
    <w:basedOn w:val="a1"/>
    <w:rsid w:val="00BF249F"/>
    <w:pPr>
      <w:widowControl w:val="0"/>
    </w:pPr>
    <w:rPr>
      <w:rFonts w:ascii="Calibri" w:eastAsiaTheme="minorEastAsia" w:hAnsi="Calibri" w:cs="Calibri"/>
      <w:sz w:val="24"/>
      <w:szCs w:val="24"/>
      <w:lang w:eastAsia="zh-TW"/>
    </w:rPr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styleId="a8">
    <w:name w:val="Hyperlink"/>
    <w:basedOn w:val="a0"/>
    <w:uiPriority w:val="99"/>
    <w:unhideWhenUsed/>
    <w:rsid w:val="00A4468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941</TotalTime>
  <Pages>11</Pages>
  <Words>470</Words>
  <Characters>2698</Characters>
  <Application>Microsoft Office Word</Application>
  <DocSecurity>0</DocSecurity>
  <Lines>49</Lines>
  <Paragraphs>12</Paragraphs>
  <ScaleCrop>false</ScaleCrop>
  <Company/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Pu-Sheng Wei</dc:creator>
  <cp:lastModifiedBy>Pu-Sheng Wei</cp:lastModifiedBy>
  <cp:revision>27</cp:revision>
  <dcterms:created xsi:type="dcterms:W3CDTF">2024-05-10T00:54:00Z</dcterms:created>
  <dcterms:modified xsi:type="dcterms:W3CDTF">2025-01-29T07:39:00Z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7A75137301E446AB99F7D3590B93833D_12</vt:lpwstr>
  </property>
  <property fmtid="{D5CDD505-2E9C-101B-9397-08002B2CF9AE}" pid="4" name="GrammarlyDocumentId">
    <vt:lpwstr>72f760a2e6a177186112b50da9c22efdab14f9fda7c415fc61485d50555f651f</vt:lpwstr>
  </property>
</Properties>
</file>