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898F2" w14:textId="77777777" w:rsidR="00DF1A8A" w:rsidRPr="00DF1A8A" w:rsidRDefault="00DF1A8A" w:rsidP="00DF1A8A">
      <w:pPr>
        <w:spacing w:before="120" w:after="240" w:line="480" w:lineRule="auto"/>
        <w:outlineLvl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Supplementary material</w:t>
      </w:r>
    </w:p>
    <w:p w14:paraId="0BC03A42" w14:textId="77777777" w:rsidR="00DF1A8A" w:rsidRPr="00DF1A8A" w:rsidRDefault="00DF1A8A" w:rsidP="00DF1A8A">
      <w:pPr>
        <w:spacing w:before="120" w:after="240" w:line="48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bookmarkStart w:id="0" w:name="_Appendix_A:_List"/>
      <w:bookmarkEnd w:id="0"/>
      <w:r w:rsidRPr="00DF1A8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Supplementary Figure S1. </w:t>
      </w:r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Study design</w:t>
      </w:r>
    </w:p>
    <w:p w14:paraId="6887AE3F" w14:textId="77777777" w:rsidR="00DF1A8A" w:rsidRPr="00DF1A8A" w:rsidRDefault="00DF1A8A" w:rsidP="00DF1A8A">
      <w:pPr>
        <w:spacing w:before="120" w:after="120" w:line="36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F1A8A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</w:t>
      </w:r>
      <w:r w:rsidRPr="00DF1A8A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0F998B74" wp14:editId="1087A4CE">
            <wp:extent cx="5760720" cy="1967865"/>
            <wp:effectExtent l="0" t="0" r="0" b="0"/>
            <wp:docPr id="1476498454" name="Picture 1476498454" descr="A screenshot of a medical for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65B659B-7835-131F-D6D8-A4A09103C5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screenshot of a medical form&#10;&#10;Description automatically generated">
                      <a:extLst>
                        <a:ext uri="{FF2B5EF4-FFF2-40B4-BE49-F238E27FC236}">
                          <a16:creationId xmlns:a16="http://schemas.microsoft.com/office/drawing/2014/main" id="{965B659B-7835-131F-D6D8-A4A09103C5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9089" w14:textId="77777777" w:rsidR="00DF1A8A" w:rsidRPr="00DF1A8A" w:rsidRDefault="00DF1A8A" w:rsidP="00DF1A8A">
      <w:pPr>
        <w:spacing w:after="0" w:line="276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Notes</w:t>
      </w:r>
      <w:r w:rsidRPr="00DF1A8A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 xml:space="preserve">: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a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The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study index date was defined as the date of the first observed claim for a prescription of a CDK4/6i in first- or second-line settings during the patient selection window. The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preindex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period consisted of a 6-month period before the index date, and the follow-up period extended from the index date until the end of health or drug plan enrollment, death, </w:t>
      </w:r>
      <w:proofErr w:type="gram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or  end</w:t>
      </w:r>
      <w:proofErr w:type="gram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of  study period. For the evaluation of study outcomes, all patients were followed from the study index date to discontinuation of CDK4/6i, disenrollment from health or drug plan, </w:t>
      </w:r>
      <w:proofErr w:type="gram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or  end</w:t>
      </w:r>
      <w:proofErr w:type="gram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of study period, whichever occurred first.</w:t>
      </w:r>
    </w:p>
    <w:p w14:paraId="5399B5F4" w14:textId="77777777" w:rsidR="00DF1A8A" w:rsidRPr="00DF1A8A" w:rsidRDefault="00DF1A8A" w:rsidP="00DF1A8A">
      <w:pPr>
        <w:spacing w:after="0" w:line="276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b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Adult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patients with HR+/HER2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sym w:font="Symbol" w:char="F02D"/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mBC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who had ≥ 1 prescription claim for CDK4/6i therapy in the first- or second-line setting were included. Patients were required to have ≥ 2 claims containing ≥ 1 diagnosis codes for BC (International Classification of Diseases, Ninth Revision, Clinical Modification [ICD-9-CM] codes: 174.xx/175.x or International Classification of Diseases, Tenth Revision, Clinical Modification [ICD-10-CM] codes: C50.x1/C50.x2) ≥ 30 days apart but occurring within 1 year during the study period. To identify patients with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mBC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, they were required to have ≥ 2 claims after January 1, </w:t>
      </w:r>
      <w:proofErr w:type="gram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2015</w:t>
      </w:r>
      <w:proofErr w:type="gram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on distinct dates with a secondary malignancy diagnosis (ICD-9-CM codes 196.xx, 197.xx, 198.xx or ICD-10-CM codes C77.xx, C78.xx, and C79.xx). Incident diagnosis of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mBC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was defined as having no evidence of secondary malignancy during the 12 months before the first claim of secondary malignancy.</w:t>
      </w:r>
    </w:p>
    <w:p w14:paraId="4AE637D8" w14:textId="77777777" w:rsidR="00DF1A8A" w:rsidRPr="00DF1A8A" w:rsidRDefault="00DF1A8A" w:rsidP="00DF1A8A">
      <w:pPr>
        <w:spacing w:after="0" w:line="276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c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Follow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-up starts after the date of CDK4/6i initiation (i.e., study index date). </w:t>
      </w:r>
    </w:p>
    <w:p w14:paraId="7CF92A03" w14:textId="77777777" w:rsidR="00DF1A8A" w:rsidRPr="00DF1A8A" w:rsidRDefault="00DF1A8A" w:rsidP="00DF1A8A">
      <w:pPr>
        <w:spacing w:after="0" w:line="276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Abbreviations: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CDK4/6i, cyclin-dependent kinase 4/6 inhibitor; HER2, human epidermal growth factor receptor 2–negative; HR, hormone receptor;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mBC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, metastatic breast cancer.</w:t>
      </w:r>
      <w:r w:rsidRPr="00DF1A8A">
        <w:rPr>
          <w:rFonts w:ascii="Times New Roman" w:eastAsia="Calibri" w:hAnsi="Times New Roman" w:cs="Times New Roman"/>
          <w:kern w:val="0"/>
          <w:sz w:val="18"/>
          <w:szCs w:val="18"/>
          <w:vertAlign w:val="superscript"/>
          <w14:ligatures w14:val="none"/>
        </w:rPr>
        <w:br w:type="page"/>
      </w:r>
    </w:p>
    <w:p w14:paraId="7DCDBF67" w14:textId="77777777" w:rsidR="00DF1A8A" w:rsidRPr="00DF1A8A" w:rsidRDefault="00DF1A8A" w:rsidP="00DF1A8A">
      <w:pPr>
        <w:spacing w:before="120" w:after="240" w:line="48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 xml:space="preserve">Supplementary Table S1. </w:t>
      </w:r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List and Codes Used to Identify Metastatic Sites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978"/>
        <w:gridCol w:w="3259"/>
      </w:tblGrid>
      <w:tr w:rsidR="00DF1A8A" w:rsidRPr="00DF1A8A" w14:paraId="63C71B09" w14:textId="77777777" w:rsidTr="00DF1A8A">
        <w:trPr>
          <w:trHeight w:val="16"/>
          <w:tblHeader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hideMark/>
          </w:tcPr>
          <w:p w14:paraId="5934DE9C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bCs/>
                <w:color w:val="FFFFFF"/>
                <w:kern w:val="0"/>
                <w14:ligatures w14:val="none"/>
              </w:rPr>
              <w:t>Site(s) of metastatic disease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hideMark/>
          </w:tcPr>
          <w:p w14:paraId="5C4CDAD1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color w:val="FFFFFF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color w:val="FFFFFF"/>
                <w:kern w:val="0"/>
                <w14:ligatures w14:val="none"/>
              </w:rPr>
              <w:t>ICD-9-CM diagnosis codes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hideMark/>
          </w:tcPr>
          <w:p w14:paraId="0B735D18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color w:val="FFFFFF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color w:val="FFFFFF"/>
                <w:kern w:val="0"/>
                <w14:ligatures w14:val="none"/>
              </w:rPr>
              <w:t>ICD-10-CM diagnosis codes</w:t>
            </w:r>
          </w:p>
        </w:tc>
      </w:tr>
      <w:tr w:rsidR="00DF1A8A" w:rsidRPr="00DF1A8A" w14:paraId="23A5594D" w14:textId="77777777" w:rsidTr="00172592">
        <w:trPr>
          <w:trHeight w:val="233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526BF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Bone metastasis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C5E9B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kern w:val="0"/>
                <w14:ligatures w14:val="none"/>
              </w:rPr>
              <w:t>198.5, 209.73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62565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kern w:val="0"/>
                <w14:ligatures w14:val="none"/>
              </w:rPr>
              <w:t>C79.5x, C7B03</w:t>
            </w:r>
          </w:p>
        </w:tc>
      </w:tr>
      <w:tr w:rsidR="00DF1A8A" w:rsidRPr="00DF1A8A" w14:paraId="7887AB3E" w14:textId="77777777" w:rsidTr="00172592">
        <w:trPr>
          <w:trHeight w:val="16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AF00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Visceral disease 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462E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kern w:val="0"/>
                <w14:ligatures w14:val="none"/>
              </w:rPr>
              <w:t>197.0, 197.1,</w:t>
            </w:r>
          </w:p>
          <w:p w14:paraId="72960882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kern w:val="0"/>
                <w14:ligatures w14:val="none"/>
              </w:rPr>
              <w:t>197.2, 197.3, 197.4, 197.5, 197.6, 197.7, 197.8, 198.0, 198.1, 198.6, 198.7, 198.82, 209.72, 209.74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4D1B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kern w:val="0"/>
                <w14:ligatures w14:val="none"/>
              </w:rPr>
              <w:t>C78.0x, C78.1, C78.2, C78.3x, C78.4, C78.5, C78.6, C78.7, C78.8, C79.0x, C79.1x, C79.6x, C79.7x, C79.82, C7B02, C7B04</w:t>
            </w:r>
          </w:p>
        </w:tc>
      </w:tr>
      <w:tr w:rsidR="00DF1A8A" w:rsidRPr="00DF1A8A" w14:paraId="7CF07240" w14:textId="77777777" w:rsidTr="00172592">
        <w:trPr>
          <w:trHeight w:val="16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70B3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kern w:val="0"/>
                <w14:ligatures w14:val="none"/>
              </w:rPr>
              <w:t>Brain/CNS metastasis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35C2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kern w:val="0"/>
                <w14:ligatures w14:val="none"/>
              </w:rPr>
              <w:t>198.3, 198.4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05D4" w14:textId="77777777" w:rsidR="00DF1A8A" w:rsidRPr="00DF1A8A" w:rsidRDefault="00DF1A8A" w:rsidP="00DF1A8A">
            <w:pPr>
              <w:spacing w:before="120"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1A8A">
              <w:rPr>
                <w:rFonts w:ascii="Times New Roman" w:eastAsia="Calibri" w:hAnsi="Times New Roman" w:cs="Times New Roman"/>
                <w:kern w:val="0"/>
                <w14:ligatures w14:val="none"/>
              </w:rPr>
              <w:t>C79.3x, C79.4x</w:t>
            </w:r>
          </w:p>
        </w:tc>
      </w:tr>
    </w:tbl>
    <w:p w14:paraId="2F5BF218" w14:textId="77777777" w:rsidR="00DF1A8A" w:rsidRPr="00DF1A8A" w:rsidRDefault="00DF1A8A" w:rsidP="00DF1A8A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bookmarkStart w:id="1" w:name="_Appendix_AB:_Phase"/>
      <w:bookmarkEnd w:id="1"/>
      <w:r w:rsidRPr="00DF1A8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Abbreviations: 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CNS, central nervous system; ICD-9/10-CM, International Classification of Diseases, Ninth/Tenth Revision, Clinical Modification.</w:t>
      </w:r>
      <w:r w:rsidRPr="00DF1A8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75634B79" w14:textId="77777777" w:rsidR="00DF1A8A" w:rsidRPr="00DF1A8A" w:rsidRDefault="00DF1A8A" w:rsidP="00DF1A8A">
      <w:pPr>
        <w:spacing w:before="120" w:after="240" w:line="48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>Supplementary Figure S2</w:t>
      </w:r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. Phase of care approach for medical costs.</w:t>
      </w:r>
    </w:p>
    <w:p w14:paraId="7D53491B" w14:textId="77777777" w:rsidR="00DF1A8A" w:rsidRPr="00DF1A8A" w:rsidRDefault="00DF1A8A" w:rsidP="00DF1A8A">
      <w:pPr>
        <w:spacing w:before="120" w:after="240" w:line="48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F1A8A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3ECA2723" wp14:editId="6C4C3B4F">
            <wp:extent cx="5760720" cy="1880235"/>
            <wp:effectExtent l="0" t="0" r="0" b="5715"/>
            <wp:docPr id="7" name="Picture 6" descr="A diagram of a patient's health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633A3771-3FA5-AE60-35C4-2FF1315D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diagram of a patient's health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633A3771-3FA5-AE60-35C4-2FF1315D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87D3A" w14:textId="77777777" w:rsidR="00DF1A8A" w:rsidRPr="00DF1A8A" w:rsidRDefault="00DF1A8A" w:rsidP="00DF1A8A">
      <w:pPr>
        <w:spacing w:before="120" w:after="12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Notes: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Compared with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Yabroff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et al, 2007,</w:t>
      </w:r>
      <w:r w:rsidRPr="00DF1A8A">
        <w:rPr>
          <w:rFonts w:ascii="Arial" w:eastAsia="Calibri" w:hAnsi="Arial" w:cs="Arial"/>
          <w:noProof/>
          <w:kern w:val="0"/>
          <w:sz w:val="18"/>
          <w:szCs w:val="18"/>
          <w:vertAlign w:val="superscript"/>
          <w14:ligatures w14:val="none"/>
        </w:rPr>
        <w:t>38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the phase analysis periods were divided differently in our study due to only looking at CDK4/6i use. For patients with enough follow-up, the first 3 months are allocated to the initial phase by both studies. However, when the follow-up data are limited,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Yabroff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et al, 2007 prioritized the terminal phase over the initial phase, whereas we prioritize the initial 3 months.</w:t>
      </w:r>
    </w:p>
    <w:p w14:paraId="4F5913FA" w14:textId="77777777" w:rsidR="00DF1A8A" w:rsidRPr="00DF1A8A" w:rsidRDefault="00DF1A8A" w:rsidP="00DF1A8A">
      <w:pPr>
        <w:spacing w:before="120" w:after="12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Abbreviations: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CDK4/6i, cyclin-dependent kinase 4/6 inhibitor. </w:t>
      </w:r>
    </w:p>
    <w:p w14:paraId="27604C0B" w14:textId="77777777" w:rsidR="00DF1A8A" w:rsidRPr="00DF1A8A" w:rsidRDefault="00DF1A8A" w:rsidP="00DF1A8A">
      <w:pPr>
        <w:spacing w:before="120" w:after="120" w:line="48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sectPr w:rsidR="00DF1A8A" w:rsidRPr="00DF1A8A" w:rsidSect="00DF1A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51FCE4" w14:textId="77777777" w:rsidR="00DF1A8A" w:rsidRPr="00DF1A8A" w:rsidRDefault="00DF1A8A" w:rsidP="00DF1A8A">
      <w:pPr>
        <w:spacing w:before="120" w:after="240" w:line="48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bookmarkStart w:id="2" w:name="_Ref138058599"/>
      <w:r w:rsidRPr="00DF1A8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 xml:space="preserve">Supplementary Figure </w:t>
      </w:r>
      <w:bookmarkEnd w:id="2"/>
      <w:r w:rsidRPr="00DF1A8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S3. </w:t>
      </w:r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Mean PPPM HCRU in patients treated with </w:t>
      </w:r>
      <w:proofErr w:type="spellStart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abemaciclib</w:t>
      </w:r>
      <w:proofErr w:type="spellEnd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</w:t>
      </w:r>
      <w:proofErr w:type="spellStart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ribociclib</w:t>
      </w:r>
      <w:proofErr w:type="spellEnd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compared to palbociclib.</w:t>
      </w:r>
      <w:r w:rsidRPr="00DF1A8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485F87D3" w14:textId="77777777" w:rsidR="00DF1A8A" w:rsidRPr="00DF1A8A" w:rsidRDefault="00DF1A8A" w:rsidP="00DF1A8A">
      <w:pPr>
        <w:spacing w:after="120" w:line="48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F1A8A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438C3E7C" wp14:editId="7645ED64">
            <wp:extent cx="8892540" cy="4643755"/>
            <wp:effectExtent l="0" t="0" r="3810" b="4445"/>
            <wp:docPr id="3" name="Picture 2" descr="A graph of a number of patients with canc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639FDEFF-FB37-0951-CBD2-5FF6087467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aph of a number of patients with canc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639FDEFF-FB37-0951-CBD2-5FF6087467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64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A910E" w14:textId="77777777" w:rsidR="00DF1A8A" w:rsidRPr="00DF1A8A" w:rsidRDefault="00DF1A8A" w:rsidP="00DF1A8A">
      <w:pPr>
        <w:spacing w:before="120" w:after="240" w:line="48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Abbreviations: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ED, emergency department; HCRU, healthcare resource utilization; IP, inpatient; PPPM, per patient per month; SD, standard deviation;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sIPTW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, stabilized inverse probability treatment weighting.</w:t>
      </w:r>
    </w:p>
    <w:p w14:paraId="28CB930A" w14:textId="77777777" w:rsidR="00DF1A8A" w:rsidRPr="00DF1A8A" w:rsidRDefault="00DF1A8A" w:rsidP="00DF1A8A">
      <w:pPr>
        <w:spacing w:before="120" w:after="240" w:line="480" w:lineRule="auto"/>
        <w:rPr>
          <w:rFonts w:ascii="Times New Roman" w:eastAsia="Calibri" w:hAnsi="Times New Roman" w:cs="Times New Roman"/>
          <w:kern w:val="0"/>
          <w14:ligatures w14:val="none"/>
        </w:rPr>
        <w:sectPr w:rsidR="00DF1A8A" w:rsidRPr="00DF1A8A" w:rsidSect="00DF1A8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4D4AF04" w14:textId="77777777" w:rsidR="00DF1A8A" w:rsidRPr="00DF1A8A" w:rsidRDefault="00DF1A8A" w:rsidP="00DF1A8A">
      <w:pPr>
        <w:spacing w:before="120" w:after="240" w:line="48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3" w:name="_Ref138056251"/>
      <w:bookmarkStart w:id="4" w:name="_Ref138056235"/>
      <w:r w:rsidRPr="00DF1A8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>Supplementary Figure S</w:t>
      </w:r>
      <w:bookmarkEnd w:id="3"/>
      <w:r w:rsidRPr="00DF1A8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4. </w:t>
      </w:r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Mean all-cause PPPM healthcare costs in patients treated with palbociclib, </w:t>
      </w:r>
      <w:proofErr w:type="spellStart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abemaciclib</w:t>
      </w:r>
      <w:proofErr w:type="spellEnd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or </w:t>
      </w:r>
      <w:proofErr w:type="spellStart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ribociclib</w:t>
      </w:r>
      <w:proofErr w:type="spellEnd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aged ≥ 65 years and enrolled in Medicare Advantage</w:t>
      </w:r>
      <w:bookmarkEnd w:id="4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0E4AF1C4" w14:textId="77777777" w:rsidR="00DF1A8A" w:rsidRPr="00DF1A8A" w:rsidRDefault="00DF1A8A" w:rsidP="00DF1A8A">
      <w:pPr>
        <w:spacing w:before="120" w:after="240" w:line="48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C29A05A" w14:textId="77777777" w:rsidR="00DF1A8A" w:rsidRPr="00DF1A8A" w:rsidRDefault="00DF1A8A" w:rsidP="00DF1A8A">
      <w:pPr>
        <w:spacing w:before="120" w:after="240" w:line="48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F1A8A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73B10711" wp14:editId="69690D30">
            <wp:extent cx="8169910" cy="4084955"/>
            <wp:effectExtent l="0" t="0" r="2540" b="0"/>
            <wp:docPr id="1480880356" name="Picture 1480880356" descr="A graph of different colored bar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7F26CDA-6E9E-5DC6-005A-C87E6349CF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80356" name="Picture 1480880356" descr="A graph of different colored bar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7F26CDA-6E9E-5DC6-005A-C87E6349CF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816991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986B9" w14:textId="77777777" w:rsidR="00DF1A8A" w:rsidRPr="00DF1A8A" w:rsidRDefault="00DF1A8A" w:rsidP="00DF1A8A">
      <w:pPr>
        <w:spacing w:before="120" w:after="240" w:line="276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lastRenderedPageBreak/>
        <w:t>Notes</w:t>
      </w:r>
      <w:r w:rsidRPr="00DF1A8A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 xml:space="preserve">: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a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Wholesale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acquisition costs for CDK4/6i accounting for dose adjustments and wastage.</w:t>
      </w:r>
    </w:p>
    <w:p w14:paraId="66B21B94" w14:textId="77777777" w:rsidR="00DF1A8A" w:rsidRPr="00DF1A8A" w:rsidRDefault="00DF1A8A" w:rsidP="00DF1A8A">
      <w:pPr>
        <w:spacing w:before="120" w:after="240" w:line="276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Abbreviations: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CDK4/6i, cyclin-dependent kinase 4/6 inhibitor; ED, emergency department; IP, inpatient; PPPM, per patient per month.</w:t>
      </w:r>
    </w:p>
    <w:p w14:paraId="59D8FBB1" w14:textId="77777777" w:rsidR="00DF1A8A" w:rsidRPr="00DF1A8A" w:rsidRDefault="00DF1A8A" w:rsidP="00DF1A8A">
      <w:pPr>
        <w:spacing w:before="120" w:after="240" w:line="48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  <w:sectPr w:rsidR="00DF1A8A" w:rsidRPr="00DF1A8A" w:rsidSect="00DF1A8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5" w:name="_Ref138056243"/>
    </w:p>
    <w:p w14:paraId="743CA9F6" w14:textId="77777777" w:rsidR="00DF1A8A" w:rsidRPr="00DF1A8A" w:rsidRDefault="00DF1A8A" w:rsidP="00DF1A8A">
      <w:pPr>
        <w:spacing w:before="120" w:after="240" w:line="48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 xml:space="preserve">Supplementary Figure </w:t>
      </w:r>
      <w:bookmarkEnd w:id="5"/>
      <w:r w:rsidRPr="00DF1A8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S5. </w:t>
      </w:r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Incremental mean all-cause PPPM costs among patients aged ≥ 65 years and enrolled in Medicare Advantage treated with </w:t>
      </w:r>
      <w:proofErr w:type="spellStart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abemaciclib</w:t>
      </w:r>
      <w:proofErr w:type="spellEnd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or </w:t>
      </w:r>
      <w:proofErr w:type="spellStart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ribociclib</w:t>
      </w:r>
      <w:proofErr w:type="spellEnd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compared with </w:t>
      </w:r>
      <w:proofErr w:type="spellStart"/>
      <w:proofErr w:type="gramStart"/>
      <w:r w:rsidRPr="00DF1A8A">
        <w:rPr>
          <w:rFonts w:ascii="Arial" w:eastAsia="Calibri" w:hAnsi="Arial" w:cs="Arial"/>
          <w:kern w:val="0"/>
          <w:sz w:val="20"/>
          <w:szCs w:val="20"/>
          <w14:ligatures w14:val="none"/>
        </w:rPr>
        <w:t>palbociclib.</w:t>
      </w:r>
      <w:r w:rsidRPr="00DF1A8A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a</w:t>
      </w:r>
      <w:proofErr w:type="spellEnd"/>
      <w:proofErr w:type="gramEnd"/>
    </w:p>
    <w:p w14:paraId="56513B73" w14:textId="77777777" w:rsidR="00DF1A8A" w:rsidRPr="00DF1A8A" w:rsidRDefault="00DF1A8A" w:rsidP="00DF1A8A">
      <w:pPr>
        <w:spacing w:before="120" w:after="240" w:line="276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F1A8A">
        <w:rPr>
          <w:rFonts w:ascii="Times New Roman" w:eastAsia="Calibri" w:hAnsi="Times New Roman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7E2BC792" wp14:editId="709423C6">
            <wp:extent cx="5760720" cy="4608830"/>
            <wp:effectExtent l="0" t="0" r="0" b="1270"/>
            <wp:docPr id="1531710328" name="Picture 1531710328" descr="A graph showing the cost of medical cos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B741E1F-0D92-FD50-C763-CD7452FAD0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10328" name="Picture 1531710328" descr="A graph showing the cost of medical costs&#10;&#10;Description automatically generated">
                      <a:extLst>
                        <a:ext uri="{FF2B5EF4-FFF2-40B4-BE49-F238E27FC236}">
                          <a16:creationId xmlns:a16="http://schemas.microsoft.com/office/drawing/2014/main" id="{3B741E1F-0D92-FD50-C763-CD7452FAD0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9900" w14:textId="77777777" w:rsidR="00DF1A8A" w:rsidRPr="00DF1A8A" w:rsidRDefault="00DF1A8A" w:rsidP="00DF1A8A">
      <w:pPr>
        <w:spacing w:before="120" w:after="240" w:line="48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F1A8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Notes:</w:t>
      </w:r>
      <w:r w:rsidRPr="00DF1A8A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 xml:space="preserve"> </w:t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a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The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incremental costs were computed using regression analysis, which adjusted for factors that remained imbalanced between the cohorts.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br/>
      </w:r>
      <w:proofErr w:type="spellStart"/>
      <w:r w:rsidRPr="00DF1A8A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b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>Wholesale</w:t>
      </w:r>
      <w:proofErr w:type="spellEnd"/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acquisition costs for CDK4/6i accounting for dose adjustments and wastage.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br/>
        <w:t>*</w:t>
      </w:r>
      <w:r w:rsidRPr="00DF1A8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P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&lt; 0.05.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br/>
      </w:r>
      <w:r w:rsidRPr="00DF1A8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Abbreviations:</w:t>
      </w:r>
      <w:r w:rsidRPr="00DF1A8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CDK4/6i, cyclin-dependent kinase 4/6 inhibitor; ED, emergency department; IP, inpatient; PPPM, per patient per month</w:t>
      </w:r>
      <w:r w:rsidRPr="00DF1A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.</w:t>
      </w:r>
    </w:p>
    <w:p w14:paraId="32944FE5" w14:textId="77777777" w:rsidR="00DF1A8A" w:rsidRPr="00DF1A8A" w:rsidRDefault="00DF1A8A" w:rsidP="00DF1A8A">
      <w:pPr>
        <w:spacing w:before="120" w:after="240" w:line="276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EC9D52F" w14:textId="77777777" w:rsidR="00DF1A8A" w:rsidRPr="00DF1A8A" w:rsidRDefault="00DF1A8A" w:rsidP="00DF1A8A">
      <w:pPr>
        <w:spacing w:before="120" w:after="240" w:line="276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00479D7" w14:textId="77777777" w:rsidR="00DF1A8A" w:rsidRPr="00DF1A8A" w:rsidRDefault="00DF1A8A" w:rsidP="00DF1A8A">
      <w:pPr>
        <w:spacing w:before="120" w:after="0" w:line="240" w:lineRule="auto"/>
        <w:rPr>
          <w:rFonts w:ascii="Times New Roman" w:eastAsia="Calibri" w:hAnsi="Times New Roman" w:cs="Times New Roman"/>
          <w:noProof/>
          <w:color w:val="FF0000"/>
          <w:kern w:val="0"/>
          <w14:ligatures w14:val="none"/>
        </w:rPr>
      </w:pPr>
    </w:p>
    <w:p w14:paraId="66C2FA0E" w14:textId="77777777" w:rsidR="00DF1A8A" w:rsidRPr="00DF1A8A" w:rsidRDefault="00DF1A8A" w:rsidP="00DF1A8A">
      <w:pPr>
        <w:spacing w:before="120" w:after="0" w:line="240" w:lineRule="auto"/>
        <w:ind w:left="720" w:hanging="720"/>
        <w:rPr>
          <w:rFonts w:ascii="Times New Roman" w:eastAsia="Calibri" w:hAnsi="Times New Roman" w:cs="Times New Roman"/>
          <w:noProof/>
          <w:color w:val="FF0000"/>
          <w:kern w:val="0"/>
          <w14:ligatures w14:val="none"/>
        </w:rPr>
      </w:pPr>
    </w:p>
    <w:p w14:paraId="60FFD9D4" w14:textId="77777777" w:rsidR="00DF1A8A" w:rsidRPr="00DF1A8A" w:rsidRDefault="00DF1A8A" w:rsidP="00DF1A8A">
      <w:pPr>
        <w:spacing w:before="120" w:after="0" w:line="240" w:lineRule="auto"/>
        <w:ind w:left="720" w:hanging="720"/>
        <w:rPr>
          <w:rFonts w:ascii="Times New Roman" w:eastAsia="Calibri" w:hAnsi="Times New Roman" w:cs="Times New Roman"/>
          <w:noProof/>
          <w:color w:val="FF0000"/>
          <w:kern w:val="0"/>
          <w14:ligatures w14:val="none"/>
        </w:rPr>
      </w:pPr>
    </w:p>
    <w:p w14:paraId="2F6EDB50" w14:textId="40DB52CF" w:rsidR="0073033B" w:rsidRPr="00DF1A8A" w:rsidRDefault="00DF1A8A" w:rsidP="00DF1A8A">
      <w:pPr>
        <w:spacing w:before="120" w:after="240" w:line="276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F1A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fldChar w:fldCharType="begin"/>
      </w:r>
      <w:r w:rsidRPr="00DF1A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instrText xml:space="preserve"> ADDIN EN.REFLIST </w:instrText>
      </w:r>
      <w:r w:rsidRPr="00DF1A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fldChar w:fldCharType="separate"/>
      </w:r>
      <w:r w:rsidRPr="00DF1A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fldChar w:fldCharType="end"/>
      </w:r>
    </w:p>
    <w:sectPr w:rsidR="0073033B" w:rsidRPr="00DF1A8A" w:rsidSect="00DF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3B"/>
    <w:rsid w:val="0073033B"/>
    <w:rsid w:val="008B0E17"/>
    <w:rsid w:val="00D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38CA"/>
  <w15:chartTrackingRefBased/>
  <w15:docId w15:val="{723F1D72-F1EB-4469-AA79-8C3ABD3B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OxPG</dc:creator>
  <cp:keywords/>
  <dc:description/>
  <cp:lastModifiedBy>OxPG</cp:lastModifiedBy>
  <cp:revision>2</cp:revision>
  <dcterms:created xsi:type="dcterms:W3CDTF">2024-09-12T13:18:00Z</dcterms:created>
  <dcterms:modified xsi:type="dcterms:W3CDTF">2024-09-12T13:19:00Z</dcterms:modified>
</cp:coreProperties>
</file>