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90A8">
      <w:pPr>
        <w:pStyle w:val="5"/>
        <w:spacing w:line="480" w:lineRule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Material</w:t>
      </w:r>
    </w:p>
    <w:p w14:paraId="586A82B5">
      <w:pPr>
        <w:spacing w:line="480" w:lineRule="auto"/>
        <w:rPr>
          <w:rFonts w:hint="default" w:ascii="Times New Roman" w:hAnsi="Times New Roman" w:eastAsia="Swiss721BT-BoldCondensed" w:cs="Times New Roman"/>
          <w:b/>
          <w:bCs/>
          <w:color w:val="231F20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Swiss721BT-BoldCondensed" w:cs="Times New Roman"/>
          <w:b/>
          <w:bCs/>
          <w:color w:val="231F20"/>
          <w:kern w:val="0"/>
          <w:sz w:val="24"/>
          <w:szCs w:val="24"/>
          <w:lang w:bidi="ar"/>
        </w:rPr>
        <w:t>Supplementary Figures</w:t>
      </w:r>
    </w:p>
    <w:p w14:paraId="7AD87423">
      <w:pPr>
        <w:spacing w:line="48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Hlk168341732"/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</w:t>
      </w:r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figure 1.</w:t>
      </w:r>
    </w:p>
    <w:p w14:paraId="438BF63F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  <w:t xml:space="preserve">Results of the Bootstrap internal validation of Clinical-SIRI model(AUC=0.788 95%CI:0.738-0.838). </w:t>
      </w:r>
    </w:p>
    <w:p w14:paraId="2E44138B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  <w:t xml:space="preserve">SIRI, Systemic inflammation response index; AUC, area under the curve; CI, confidence interval </w:t>
      </w:r>
    </w:p>
    <w:p w14:paraId="7C395F04">
      <w:pPr>
        <w:spacing w:line="48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drawing>
          <wp:inline distT="0" distB="0" distL="114300" distR="114300">
            <wp:extent cx="5285105" cy="4949825"/>
            <wp:effectExtent l="0" t="0" r="1270" b="317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49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C1EB8"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</w:pPr>
    </w:p>
    <w:p w14:paraId="71434EEF">
      <w:p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</w:pPr>
    </w:p>
    <w:p w14:paraId="23187F78">
      <w:pPr>
        <w:spacing w:line="48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eastAsia="zh-CN"/>
        </w:rPr>
      </w:pPr>
    </w:p>
    <w:p w14:paraId="247FF792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eastAsia="zh-CN"/>
        </w:rPr>
        <w:t xml:space="preserve">Supplemental Figure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  <w:t xml:space="preserve"> CIC of the Clinical-SIRI model. The two horizontal axes depict this correspondence. The solid red lines indicate the total number of high-risk patients for each risk threshold out of a sample size of 1,000 patients. The dashed blue line represents the number of actual positive events that occur in high-risk patients. </w:t>
      </w:r>
    </w:p>
    <w:p w14:paraId="1B90DA0E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  <w:t>CIC, clinical impact curves, SIRI, systemic inflammation response index.</w:t>
      </w:r>
    </w:p>
    <w:p w14:paraId="3E381BB6">
      <w:pPr>
        <w:spacing w:line="48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zh-CN"/>
        </w:rPr>
        <w:drawing>
          <wp:inline distT="0" distB="0" distL="114300" distR="114300">
            <wp:extent cx="4638675" cy="4638675"/>
            <wp:effectExtent l="0" t="0" r="0" b="0"/>
            <wp:docPr id="9" name="图片 9" descr="C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1852"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</w:p>
    <w:p w14:paraId="4215291D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wiss721BT-BoldCondens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ODcwZTY2NWE2NzMxMWMyMGVhMTM5ZmZjM2Y5MjgifQ=="/>
  </w:docVars>
  <w:rsids>
    <w:rsidRoot w:val="54C64CA1"/>
    <w:rsid w:val="018F6A3E"/>
    <w:rsid w:val="04D95FDD"/>
    <w:rsid w:val="1D97029A"/>
    <w:rsid w:val="412F0B5D"/>
    <w:rsid w:val="54C64CA1"/>
    <w:rsid w:val="5D7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">
    <w:name w:val="Supplementary Material"/>
    <w:basedOn w:val="2"/>
    <w:next w:val="2"/>
    <w:qFormat/>
    <w:uiPriority w:val="0"/>
    <w:pPr>
      <w:suppressLineNumbers/>
      <w:spacing w:after="120"/>
      <w:outlineLvl w:val="9"/>
    </w:pPr>
    <w:rPr>
      <w:rFonts w:cs="Times New Roman" w:asciiTheme="minorHAnsi" w:hAnsiTheme="minorHAnsi" w:eastAsiaTheme="minorEastAsia"/>
      <w:bCs w:val="0"/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965</Characters>
  <Lines>0</Lines>
  <Paragraphs>0</Paragraphs>
  <TotalTime>4</TotalTime>
  <ScaleCrop>false</ScaleCrop>
  <LinksUpToDate>false</LinksUpToDate>
  <CharactersWithSpaces>1115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2024-09-06T09:14:00Z</dcterms:created>
  <dc:creator>王亚松</dc:creator>
  <cp:lastModifiedBy>王亚松</cp:lastModifiedBy>
  <dcterms:modified xsi:type="dcterms:W3CDTF">2024-10-08T10:02:21Z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84C9948F83DE4C03AAE6742387B07C2E_13</vt:lpwstr>
  </property>
</Properties>
</file>