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68"/>
        <w:gridCol w:w="1260"/>
        <w:gridCol w:w="1200"/>
        <w:gridCol w:w="1442"/>
        <w:gridCol w:w="1098"/>
        <w:gridCol w:w="770"/>
        <w:gridCol w:w="1568"/>
      </w:tblGrid>
      <w:tr w14:paraId="30F6B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 w:hRule="atLeast"/>
        </w:trPr>
        <w:tc>
          <w:tcPr>
            <w:tcW w:w="968" w:type="dxa"/>
            <w:tcBorders>
              <w:top w:val="single" w:color="000000" w:sz="4" w:space="0"/>
              <w:bottom w:val="single" w:color="000000" w:sz="4" w:space="0"/>
            </w:tcBorders>
            <w:shd w:val="clear" w:color="auto" w:fill="auto"/>
            <w:vAlign w:val="center"/>
          </w:tcPr>
          <w:p w14:paraId="6B6A9E66">
            <w:pPr>
              <w:pStyle w:val="2"/>
              <w:keepNext w:val="0"/>
              <w:keepLines w:val="0"/>
              <w:widowControl/>
              <w:suppressLineNumbers w:val="0"/>
              <w:jc w:val="center"/>
              <w:rPr>
                <w:rFonts w:hint="default" w:ascii="Arial" w:hAnsi="Arial" w:cs="Arial"/>
                <w:b/>
                <w:bCs/>
                <w:sz w:val="20"/>
                <w:szCs w:val="20"/>
              </w:rPr>
            </w:pPr>
            <w:r>
              <w:rPr>
                <w:rFonts w:hint="default" w:ascii="Arial" w:hAnsi="Arial" w:cs="Arial"/>
                <w:b/>
                <w:bCs/>
                <w:color w:val="000000"/>
                <w:sz w:val="20"/>
                <w:szCs w:val="20"/>
              </w:rPr>
              <w:t>Antibody</w:t>
            </w:r>
          </w:p>
        </w:tc>
        <w:tc>
          <w:tcPr>
            <w:tcW w:w="1260" w:type="dxa"/>
            <w:tcBorders>
              <w:top w:val="single" w:color="000000" w:sz="4" w:space="0"/>
              <w:bottom w:val="single" w:color="000000" w:sz="4" w:space="0"/>
            </w:tcBorders>
            <w:shd w:val="clear" w:color="auto" w:fill="auto"/>
            <w:tcMar>
              <w:top w:w="20" w:type="dxa"/>
              <w:left w:w="20" w:type="dxa"/>
              <w:bottom w:w="72" w:type="dxa"/>
              <w:right w:w="20" w:type="dxa"/>
            </w:tcMar>
            <w:vAlign w:val="center"/>
          </w:tcPr>
          <w:p w14:paraId="67DE679B">
            <w:pPr>
              <w:pStyle w:val="2"/>
              <w:keepNext w:val="0"/>
              <w:keepLines w:val="0"/>
              <w:widowControl/>
              <w:suppressLineNumbers w:val="0"/>
              <w:jc w:val="center"/>
              <w:rPr>
                <w:rFonts w:hint="default" w:ascii="Arial" w:hAnsi="Arial" w:cs="Arial"/>
                <w:b/>
                <w:bCs/>
                <w:sz w:val="20"/>
                <w:szCs w:val="20"/>
              </w:rPr>
            </w:pPr>
            <w:r>
              <w:rPr>
                <w:rFonts w:hint="default" w:ascii="Arial" w:hAnsi="Arial" w:cs="Arial"/>
                <w:b/>
                <w:bCs/>
                <w:color w:val="000000"/>
                <w:sz w:val="20"/>
                <w:szCs w:val="20"/>
              </w:rPr>
              <w:t>Expression quantity</w:t>
            </w:r>
            <w:r>
              <w:rPr>
                <w:rFonts w:hint="eastAsia" w:ascii="Arial" w:hAnsi="Arial" w:cs="Arial"/>
                <w:b/>
                <w:bCs/>
                <w:color w:val="000000"/>
                <w:sz w:val="20"/>
                <w:szCs w:val="20"/>
                <w:lang w:val="en-US" w:eastAsia="zh-CN"/>
              </w:rPr>
              <w:t xml:space="preserve"> </w:t>
            </w:r>
            <w:r>
              <w:rPr>
                <w:rFonts w:hint="default" w:ascii="Arial" w:hAnsi="Arial" w:cs="Arial"/>
                <w:b/>
                <w:bCs/>
                <w:color w:val="000000"/>
                <w:sz w:val="20"/>
                <w:szCs w:val="20"/>
              </w:rPr>
              <w:t>(mg/L)</w:t>
            </w:r>
          </w:p>
        </w:tc>
        <w:tc>
          <w:tcPr>
            <w:tcW w:w="1200" w:type="dxa"/>
            <w:tcBorders>
              <w:top w:val="single" w:color="000000" w:sz="4" w:space="0"/>
              <w:bottom w:val="single" w:color="000000" w:sz="4" w:space="0"/>
            </w:tcBorders>
            <w:shd w:val="clear" w:color="auto" w:fill="auto"/>
            <w:tcMar>
              <w:top w:w="20" w:type="dxa"/>
              <w:left w:w="20" w:type="dxa"/>
              <w:bottom w:w="72" w:type="dxa"/>
              <w:right w:w="20" w:type="dxa"/>
            </w:tcMar>
            <w:vAlign w:val="center"/>
          </w:tcPr>
          <w:p w14:paraId="494AA09F">
            <w:pPr>
              <w:pStyle w:val="2"/>
              <w:keepNext w:val="0"/>
              <w:keepLines w:val="0"/>
              <w:widowControl/>
              <w:suppressLineNumbers w:val="0"/>
              <w:jc w:val="center"/>
              <w:rPr>
                <w:rFonts w:hint="default" w:ascii="Arial" w:hAnsi="Arial" w:cs="Arial"/>
                <w:b/>
                <w:bCs/>
                <w:sz w:val="20"/>
                <w:szCs w:val="20"/>
              </w:rPr>
            </w:pPr>
            <w:r>
              <w:rPr>
                <w:rFonts w:hint="default" w:ascii="Arial" w:hAnsi="Arial" w:cs="Arial"/>
                <w:b/>
                <w:bCs/>
                <w:color w:val="000000"/>
                <w:sz w:val="20"/>
                <w:szCs w:val="20"/>
              </w:rPr>
              <w:t>Purification（SEC，280nm）%</w:t>
            </w:r>
          </w:p>
        </w:tc>
        <w:tc>
          <w:tcPr>
            <w:tcW w:w="1442" w:type="dxa"/>
            <w:tcBorders>
              <w:top w:val="single" w:color="000000" w:sz="4" w:space="0"/>
              <w:bottom w:val="single" w:color="000000" w:sz="4" w:space="0"/>
            </w:tcBorders>
            <w:shd w:val="clear" w:color="auto" w:fill="auto"/>
            <w:tcMar>
              <w:top w:w="20" w:type="dxa"/>
              <w:left w:w="20" w:type="dxa"/>
              <w:bottom w:w="72" w:type="dxa"/>
              <w:right w:w="20" w:type="dxa"/>
            </w:tcMar>
            <w:vAlign w:val="center"/>
          </w:tcPr>
          <w:p w14:paraId="2B2EACAB">
            <w:pPr>
              <w:pStyle w:val="2"/>
              <w:keepNext w:val="0"/>
              <w:keepLines w:val="0"/>
              <w:widowControl/>
              <w:suppressLineNumbers w:val="0"/>
              <w:jc w:val="center"/>
              <w:rPr>
                <w:rFonts w:hint="default" w:ascii="Arial" w:hAnsi="Arial" w:cs="Arial"/>
                <w:b/>
                <w:bCs/>
                <w:sz w:val="20"/>
                <w:szCs w:val="20"/>
              </w:rPr>
            </w:pPr>
            <w:r>
              <w:rPr>
                <w:rFonts w:hint="default" w:ascii="Arial" w:hAnsi="Arial" w:cs="Arial"/>
                <w:b/>
                <w:bCs/>
                <w:color w:val="000000"/>
                <w:sz w:val="20"/>
                <w:szCs w:val="20"/>
              </w:rPr>
              <w:t>Purification（SDS-PAGE）%</w:t>
            </w:r>
          </w:p>
        </w:tc>
        <w:tc>
          <w:tcPr>
            <w:tcW w:w="1098" w:type="dxa"/>
            <w:tcBorders>
              <w:top w:val="single" w:color="000000" w:sz="4" w:space="0"/>
              <w:bottom w:val="single" w:color="000000" w:sz="4" w:space="0"/>
            </w:tcBorders>
            <w:shd w:val="clear" w:color="auto" w:fill="auto"/>
            <w:vAlign w:val="center"/>
          </w:tcPr>
          <w:p w14:paraId="7C4CE370">
            <w:pPr>
              <w:pStyle w:val="2"/>
              <w:keepNext w:val="0"/>
              <w:keepLines w:val="0"/>
              <w:widowControl/>
              <w:suppressLineNumbers w:val="0"/>
              <w:jc w:val="center"/>
              <w:rPr>
                <w:rFonts w:hint="default" w:ascii="Arial" w:hAnsi="Arial" w:cs="Arial"/>
                <w:b/>
                <w:bCs/>
                <w:sz w:val="20"/>
                <w:szCs w:val="20"/>
              </w:rPr>
            </w:pPr>
            <w:r>
              <w:rPr>
                <w:rFonts w:hint="default" w:ascii="Arial" w:hAnsi="Arial" w:cs="Arial"/>
                <w:b/>
                <w:bCs/>
                <w:color w:val="000000"/>
                <w:sz w:val="20"/>
                <w:szCs w:val="20"/>
              </w:rPr>
              <w:t>Z-Ave. Dia. (nm)</w:t>
            </w:r>
          </w:p>
        </w:tc>
        <w:tc>
          <w:tcPr>
            <w:tcW w:w="770" w:type="dxa"/>
            <w:tcBorders>
              <w:top w:val="single" w:color="000000" w:sz="4" w:space="0"/>
              <w:bottom w:val="single" w:color="000000" w:sz="4" w:space="0"/>
            </w:tcBorders>
            <w:shd w:val="clear" w:color="auto" w:fill="auto"/>
            <w:vAlign w:val="center"/>
          </w:tcPr>
          <w:p w14:paraId="4B2C7BCE">
            <w:pPr>
              <w:pStyle w:val="2"/>
              <w:keepNext w:val="0"/>
              <w:keepLines w:val="0"/>
              <w:widowControl/>
              <w:suppressLineNumbers w:val="0"/>
              <w:jc w:val="center"/>
              <w:rPr>
                <w:rFonts w:hint="default" w:ascii="Arial" w:hAnsi="Arial" w:cs="Arial"/>
                <w:b/>
                <w:bCs/>
                <w:sz w:val="20"/>
                <w:szCs w:val="20"/>
              </w:rPr>
            </w:pPr>
            <w:r>
              <w:rPr>
                <w:rFonts w:hint="default" w:ascii="Arial" w:hAnsi="Arial" w:cs="Arial"/>
                <w:b/>
                <w:bCs/>
                <w:color w:val="000000"/>
                <w:sz w:val="20"/>
                <w:szCs w:val="20"/>
              </w:rPr>
              <w:t>PDI</w:t>
            </w:r>
          </w:p>
        </w:tc>
        <w:tc>
          <w:tcPr>
            <w:tcW w:w="1568" w:type="dxa"/>
            <w:tcBorders>
              <w:top w:val="single" w:color="000000" w:sz="4" w:space="0"/>
              <w:bottom w:val="single" w:color="000000" w:sz="4" w:space="0"/>
            </w:tcBorders>
            <w:shd w:val="clear" w:color="auto" w:fill="auto"/>
            <w:vAlign w:val="center"/>
          </w:tcPr>
          <w:p w14:paraId="206414C7">
            <w:pPr>
              <w:pStyle w:val="2"/>
              <w:keepNext w:val="0"/>
              <w:keepLines w:val="0"/>
              <w:widowControl/>
              <w:suppressLineNumbers w:val="0"/>
              <w:jc w:val="center"/>
              <w:rPr>
                <w:rFonts w:hint="default" w:ascii="Arial" w:hAnsi="Arial" w:cs="Arial"/>
                <w:b/>
                <w:bCs/>
                <w:sz w:val="20"/>
                <w:szCs w:val="20"/>
              </w:rPr>
            </w:pPr>
            <w:r>
              <w:rPr>
                <w:rFonts w:hint="default" w:ascii="Arial" w:hAnsi="Arial" w:cs="Arial"/>
                <w:b/>
                <w:bCs/>
                <w:color w:val="000000"/>
                <w:sz w:val="20"/>
                <w:szCs w:val="20"/>
              </w:rPr>
              <w:t>Pk 1 Mode Dia.  (nm)</w:t>
            </w:r>
          </w:p>
        </w:tc>
      </w:tr>
      <w:tr w14:paraId="394CE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 w:hRule="atLeast"/>
        </w:trPr>
        <w:tc>
          <w:tcPr>
            <w:tcW w:w="968" w:type="dxa"/>
            <w:tcBorders>
              <w:top w:val="single" w:color="000000" w:sz="4" w:space="0"/>
              <w:bottom w:val="single" w:color="000000" w:sz="4" w:space="0"/>
            </w:tcBorders>
            <w:shd w:val="clear" w:color="auto" w:fill="auto"/>
            <w:vAlign w:val="center"/>
          </w:tcPr>
          <w:p w14:paraId="7A67095B">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4A7</w:t>
            </w:r>
          </w:p>
        </w:tc>
        <w:tc>
          <w:tcPr>
            <w:tcW w:w="1260" w:type="dxa"/>
            <w:tcBorders>
              <w:top w:val="single" w:color="000000" w:sz="4" w:space="0"/>
              <w:bottom w:val="single" w:color="000000" w:sz="4" w:space="0"/>
            </w:tcBorders>
            <w:shd w:val="clear" w:color="auto" w:fill="auto"/>
            <w:tcMar>
              <w:top w:w="20" w:type="dxa"/>
              <w:left w:w="20" w:type="dxa"/>
              <w:bottom w:w="72" w:type="dxa"/>
              <w:right w:w="20" w:type="dxa"/>
            </w:tcMar>
            <w:vAlign w:val="center"/>
          </w:tcPr>
          <w:p w14:paraId="2018EEA4">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212.8</w:t>
            </w:r>
          </w:p>
        </w:tc>
        <w:tc>
          <w:tcPr>
            <w:tcW w:w="1200" w:type="dxa"/>
            <w:tcBorders>
              <w:top w:val="single" w:color="000000" w:sz="4" w:space="0"/>
              <w:bottom w:val="single" w:color="000000" w:sz="4" w:space="0"/>
            </w:tcBorders>
            <w:shd w:val="clear" w:color="auto" w:fill="auto"/>
            <w:tcMar>
              <w:top w:w="20" w:type="dxa"/>
              <w:left w:w="20" w:type="dxa"/>
              <w:bottom w:w="72" w:type="dxa"/>
              <w:right w:w="20" w:type="dxa"/>
            </w:tcMar>
            <w:vAlign w:val="center"/>
          </w:tcPr>
          <w:p w14:paraId="16AC67CB">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98.995</w:t>
            </w:r>
          </w:p>
        </w:tc>
        <w:tc>
          <w:tcPr>
            <w:tcW w:w="1442" w:type="dxa"/>
            <w:tcBorders>
              <w:top w:val="single" w:color="000000" w:sz="4" w:space="0"/>
              <w:bottom w:val="single" w:color="000000" w:sz="4" w:space="0"/>
            </w:tcBorders>
            <w:shd w:val="clear" w:color="auto" w:fill="auto"/>
            <w:tcMar>
              <w:top w:w="20" w:type="dxa"/>
              <w:left w:w="20" w:type="dxa"/>
              <w:bottom w:w="72" w:type="dxa"/>
              <w:right w:w="20" w:type="dxa"/>
            </w:tcMar>
            <w:vAlign w:val="center"/>
          </w:tcPr>
          <w:p w14:paraId="529D2F19">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&gt;95</w:t>
            </w:r>
          </w:p>
        </w:tc>
        <w:tc>
          <w:tcPr>
            <w:tcW w:w="1098" w:type="dxa"/>
            <w:tcBorders>
              <w:top w:val="single" w:color="000000" w:sz="4" w:space="0"/>
              <w:bottom w:val="single" w:color="000000" w:sz="4" w:space="0"/>
            </w:tcBorders>
            <w:shd w:val="clear" w:color="auto" w:fill="auto"/>
            <w:vAlign w:val="center"/>
          </w:tcPr>
          <w:p w14:paraId="07640546">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10.71</w:t>
            </w:r>
          </w:p>
        </w:tc>
        <w:tc>
          <w:tcPr>
            <w:tcW w:w="770" w:type="dxa"/>
            <w:tcBorders>
              <w:top w:val="single" w:color="000000" w:sz="4" w:space="0"/>
              <w:bottom w:val="single" w:color="000000" w:sz="4" w:space="0"/>
            </w:tcBorders>
            <w:shd w:val="clear" w:color="auto" w:fill="auto"/>
            <w:vAlign w:val="center"/>
          </w:tcPr>
          <w:p w14:paraId="0F84B0A6">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0.034</w:t>
            </w:r>
          </w:p>
        </w:tc>
        <w:tc>
          <w:tcPr>
            <w:tcW w:w="1568" w:type="dxa"/>
            <w:tcBorders>
              <w:top w:val="single" w:color="000000" w:sz="4" w:space="0"/>
              <w:bottom w:val="single" w:color="000000" w:sz="4" w:space="0"/>
            </w:tcBorders>
            <w:shd w:val="clear" w:color="auto" w:fill="auto"/>
            <w:vAlign w:val="center"/>
          </w:tcPr>
          <w:p w14:paraId="7B0A2B48">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11.26</w:t>
            </w:r>
          </w:p>
        </w:tc>
      </w:tr>
      <w:tr w14:paraId="0C75C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 w:hRule="atLeast"/>
        </w:trPr>
        <w:tc>
          <w:tcPr>
            <w:tcW w:w="968" w:type="dxa"/>
            <w:tcBorders>
              <w:top w:val="single" w:color="000000" w:sz="4" w:space="0"/>
              <w:bottom w:val="single" w:color="000000" w:sz="4" w:space="0"/>
            </w:tcBorders>
            <w:shd w:val="clear" w:color="auto" w:fill="auto"/>
            <w:vAlign w:val="center"/>
          </w:tcPr>
          <w:p w14:paraId="07E1704B">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2H9</w:t>
            </w:r>
          </w:p>
        </w:tc>
        <w:tc>
          <w:tcPr>
            <w:tcW w:w="1260" w:type="dxa"/>
            <w:tcBorders>
              <w:top w:val="single" w:color="000000" w:sz="4" w:space="0"/>
              <w:bottom w:val="single" w:color="000000" w:sz="4" w:space="0"/>
            </w:tcBorders>
            <w:shd w:val="clear" w:color="auto" w:fill="auto"/>
            <w:tcMar>
              <w:top w:w="20" w:type="dxa"/>
              <w:left w:w="20" w:type="dxa"/>
              <w:bottom w:w="72" w:type="dxa"/>
              <w:right w:w="20" w:type="dxa"/>
            </w:tcMar>
            <w:vAlign w:val="center"/>
          </w:tcPr>
          <w:p w14:paraId="28F4DB61">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93.3</w:t>
            </w:r>
          </w:p>
        </w:tc>
        <w:tc>
          <w:tcPr>
            <w:tcW w:w="1200" w:type="dxa"/>
            <w:tcBorders>
              <w:top w:val="single" w:color="000000" w:sz="4" w:space="0"/>
              <w:bottom w:val="single" w:color="000000" w:sz="4" w:space="0"/>
            </w:tcBorders>
            <w:shd w:val="clear" w:color="auto" w:fill="auto"/>
            <w:tcMar>
              <w:top w:w="20" w:type="dxa"/>
              <w:left w:w="20" w:type="dxa"/>
              <w:bottom w:w="72" w:type="dxa"/>
              <w:right w:w="20" w:type="dxa"/>
            </w:tcMar>
            <w:vAlign w:val="center"/>
          </w:tcPr>
          <w:p w14:paraId="5F7ED41D">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81.644</w:t>
            </w:r>
          </w:p>
        </w:tc>
        <w:tc>
          <w:tcPr>
            <w:tcW w:w="1442" w:type="dxa"/>
            <w:tcBorders>
              <w:top w:val="single" w:color="000000" w:sz="4" w:space="0"/>
              <w:bottom w:val="single" w:color="000000" w:sz="4" w:space="0"/>
            </w:tcBorders>
            <w:shd w:val="clear" w:color="auto" w:fill="auto"/>
            <w:tcMar>
              <w:top w:w="20" w:type="dxa"/>
              <w:left w:w="20" w:type="dxa"/>
              <w:bottom w:w="72" w:type="dxa"/>
              <w:right w:w="20" w:type="dxa"/>
            </w:tcMar>
            <w:vAlign w:val="center"/>
          </w:tcPr>
          <w:p w14:paraId="2A89FE03">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&gt;95</w:t>
            </w:r>
          </w:p>
        </w:tc>
        <w:tc>
          <w:tcPr>
            <w:tcW w:w="1098" w:type="dxa"/>
            <w:tcBorders>
              <w:top w:val="single" w:color="000000" w:sz="4" w:space="0"/>
              <w:bottom w:val="single" w:color="000000" w:sz="4" w:space="0"/>
            </w:tcBorders>
            <w:shd w:val="clear" w:color="auto" w:fill="auto"/>
            <w:vAlign w:val="center"/>
          </w:tcPr>
          <w:p w14:paraId="2B0D9E47">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13.80</w:t>
            </w:r>
          </w:p>
        </w:tc>
        <w:tc>
          <w:tcPr>
            <w:tcW w:w="770" w:type="dxa"/>
            <w:tcBorders>
              <w:top w:val="single" w:color="000000" w:sz="4" w:space="0"/>
              <w:bottom w:val="single" w:color="000000" w:sz="4" w:space="0"/>
            </w:tcBorders>
            <w:shd w:val="clear" w:color="auto" w:fill="auto"/>
            <w:vAlign w:val="center"/>
          </w:tcPr>
          <w:p w14:paraId="5C44B5C4">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0.192</w:t>
            </w:r>
          </w:p>
        </w:tc>
        <w:tc>
          <w:tcPr>
            <w:tcW w:w="1568" w:type="dxa"/>
            <w:tcBorders>
              <w:top w:val="single" w:color="000000" w:sz="4" w:space="0"/>
              <w:bottom w:val="single" w:color="000000" w:sz="4" w:space="0"/>
            </w:tcBorders>
            <w:shd w:val="clear" w:color="auto" w:fill="auto"/>
            <w:vAlign w:val="center"/>
          </w:tcPr>
          <w:p w14:paraId="59704017">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11.26</w:t>
            </w:r>
          </w:p>
        </w:tc>
      </w:tr>
      <w:tr w14:paraId="50989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 w:hRule="atLeast"/>
        </w:trPr>
        <w:tc>
          <w:tcPr>
            <w:tcW w:w="968" w:type="dxa"/>
            <w:tcBorders>
              <w:top w:val="single" w:color="000000" w:sz="4" w:space="0"/>
              <w:bottom w:val="single" w:color="000000" w:sz="4" w:space="0"/>
            </w:tcBorders>
            <w:shd w:val="clear" w:color="auto" w:fill="auto"/>
            <w:vAlign w:val="center"/>
          </w:tcPr>
          <w:p w14:paraId="3EF0D5CC">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4A8</w:t>
            </w:r>
          </w:p>
        </w:tc>
        <w:tc>
          <w:tcPr>
            <w:tcW w:w="1260" w:type="dxa"/>
            <w:tcBorders>
              <w:top w:val="single" w:color="000000" w:sz="4" w:space="0"/>
              <w:bottom w:val="single" w:color="000000" w:sz="4" w:space="0"/>
            </w:tcBorders>
            <w:shd w:val="clear" w:color="auto" w:fill="auto"/>
            <w:tcMar>
              <w:top w:w="12" w:type="dxa"/>
              <w:left w:w="12" w:type="dxa"/>
              <w:right w:w="12" w:type="dxa"/>
            </w:tcMar>
            <w:vAlign w:val="center"/>
          </w:tcPr>
          <w:p w14:paraId="19D4D75A">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184.6</w:t>
            </w:r>
          </w:p>
        </w:tc>
        <w:tc>
          <w:tcPr>
            <w:tcW w:w="1200" w:type="dxa"/>
            <w:tcBorders>
              <w:top w:val="single" w:color="000000" w:sz="4" w:space="0"/>
              <w:bottom w:val="single" w:color="000000" w:sz="4" w:space="0"/>
            </w:tcBorders>
            <w:shd w:val="clear" w:color="auto" w:fill="auto"/>
            <w:tcMar>
              <w:top w:w="12" w:type="dxa"/>
              <w:left w:w="12" w:type="dxa"/>
              <w:right w:w="12" w:type="dxa"/>
            </w:tcMar>
            <w:vAlign w:val="center"/>
          </w:tcPr>
          <w:p w14:paraId="14596ED5">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98.621</w:t>
            </w:r>
          </w:p>
        </w:tc>
        <w:tc>
          <w:tcPr>
            <w:tcW w:w="1442" w:type="dxa"/>
            <w:tcBorders>
              <w:top w:val="single" w:color="000000" w:sz="4" w:space="0"/>
              <w:bottom w:val="single" w:color="000000" w:sz="4" w:space="0"/>
            </w:tcBorders>
            <w:shd w:val="clear" w:color="auto" w:fill="auto"/>
            <w:tcMar>
              <w:top w:w="12" w:type="dxa"/>
              <w:left w:w="12" w:type="dxa"/>
              <w:right w:w="12" w:type="dxa"/>
            </w:tcMar>
            <w:vAlign w:val="center"/>
          </w:tcPr>
          <w:p w14:paraId="6D50AEB8">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&gt;95</w:t>
            </w:r>
          </w:p>
        </w:tc>
        <w:tc>
          <w:tcPr>
            <w:tcW w:w="1098" w:type="dxa"/>
            <w:tcBorders>
              <w:top w:val="single" w:color="000000" w:sz="4" w:space="0"/>
              <w:bottom w:val="single" w:color="000000" w:sz="4" w:space="0"/>
            </w:tcBorders>
            <w:shd w:val="clear" w:color="auto" w:fill="auto"/>
            <w:vAlign w:val="center"/>
          </w:tcPr>
          <w:p w14:paraId="1714D479">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14.46</w:t>
            </w:r>
          </w:p>
        </w:tc>
        <w:tc>
          <w:tcPr>
            <w:tcW w:w="770" w:type="dxa"/>
            <w:tcBorders>
              <w:top w:val="single" w:color="000000" w:sz="4" w:space="0"/>
              <w:bottom w:val="single" w:color="000000" w:sz="4" w:space="0"/>
            </w:tcBorders>
            <w:shd w:val="clear" w:color="auto" w:fill="auto"/>
            <w:vAlign w:val="center"/>
          </w:tcPr>
          <w:p w14:paraId="3205BA3E">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0.090</w:t>
            </w:r>
          </w:p>
        </w:tc>
        <w:tc>
          <w:tcPr>
            <w:tcW w:w="1568" w:type="dxa"/>
            <w:tcBorders>
              <w:top w:val="single" w:color="000000" w:sz="4" w:space="0"/>
              <w:bottom w:val="single" w:color="000000" w:sz="4" w:space="0"/>
            </w:tcBorders>
            <w:shd w:val="clear" w:color="auto" w:fill="auto"/>
            <w:vAlign w:val="center"/>
          </w:tcPr>
          <w:p w14:paraId="3E8811A0">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14.25</w:t>
            </w:r>
          </w:p>
        </w:tc>
      </w:tr>
      <w:tr w14:paraId="72C81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 w:hRule="atLeast"/>
        </w:trPr>
        <w:tc>
          <w:tcPr>
            <w:tcW w:w="968" w:type="dxa"/>
            <w:tcBorders>
              <w:top w:val="single" w:color="000000" w:sz="4" w:space="0"/>
              <w:bottom w:val="single" w:color="000000" w:sz="4" w:space="0"/>
            </w:tcBorders>
            <w:shd w:val="clear" w:color="auto" w:fill="auto"/>
            <w:vAlign w:val="center"/>
          </w:tcPr>
          <w:p w14:paraId="0B6588C6">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2D2</w:t>
            </w:r>
          </w:p>
        </w:tc>
        <w:tc>
          <w:tcPr>
            <w:tcW w:w="1260" w:type="dxa"/>
            <w:tcBorders>
              <w:top w:val="single" w:color="000000" w:sz="4" w:space="0"/>
              <w:bottom w:val="single" w:color="000000" w:sz="4" w:space="0"/>
            </w:tcBorders>
            <w:shd w:val="clear" w:color="auto" w:fill="auto"/>
            <w:tcMar>
              <w:top w:w="12" w:type="dxa"/>
              <w:left w:w="12" w:type="dxa"/>
              <w:right w:w="12" w:type="dxa"/>
            </w:tcMar>
            <w:vAlign w:val="center"/>
          </w:tcPr>
          <w:p w14:paraId="4DA36BA4">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162.7</w:t>
            </w:r>
          </w:p>
        </w:tc>
        <w:tc>
          <w:tcPr>
            <w:tcW w:w="1200" w:type="dxa"/>
            <w:tcBorders>
              <w:top w:val="single" w:color="000000" w:sz="4" w:space="0"/>
              <w:bottom w:val="single" w:color="000000" w:sz="4" w:space="0"/>
            </w:tcBorders>
            <w:shd w:val="clear" w:color="auto" w:fill="auto"/>
            <w:tcMar>
              <w:top w:w="12" w:type="dxa"/>
              <w:left w:w="12" w:type="dxa"/>
              <w:right w:w="12" w:type="dxa"/>
            </w:tcMar>
            <w:vAlign w:val="center"/>
          </w:tcPr>
          <w:p w14:paraId="03CAA519">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99.192</w:t>
            </w:r>
          </w:p>
        </w:tc>
        <w:tc>
          <w:tcPr>
            <w:tcW w:w="1442" w:type="dxa"/>
            <w:tcBorders>
              <w:top w:val="single" w:color="000000" w:sz="4" w:space="0"/>
              <w:bottom w:val="single" w:color="000000" w:sz="4" w:space="0"/>
            </w:tcBorders>
            <w:shd w:val="clear" w:color="auto" w:fill="auto"/>
            <w:tcMar>
              <w:top w:w="12" w:type="dxa"/>
              <w:left w:w="12" w:type="dxa"/>
              <w:right w:w="12" w:type="dxa"/>
            </w:tcMar>
            <w:vAlign w:val="center"/>
          </w:tcPr>
          <w:p w14:paraId="6F88B18C">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&gt;95</w:t>
            </w:r>
          </w:p>
        </w:tc>
        <w:tc>
          <w:tcPr>
            <w:tcW w:w="1098" w:type="dxa"/>
            <w:tcBorders>
              <w:top w:val="single" w:color="000000" w:sz="4" w:space="0"/>
              <w:bottom w:val="single" w:color="000000" w:sz="4" w:space="0"/>
            </w:tcBorders>
            <w:shd w:val="clear" w:color="auto" w:fill="auto"/>
            <w:vAlign w:val="center"/>
          </w:tcPr>
          <w:p w14:paraId="1DA90DF3">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11.23</w:t>
            </w:r>
          </w:p>
        </w:tc>
        <w:tc>
          <w:tcPr>
            <w:tcW w:w="770" w:type="dxa"/>
            <w:tcBorders>
              <w:top w:val="single" w:color="000000" w:sz="4" w:space="0"/>
              <w:bottom w:val="single" w:color="000000" w:sz="4" w:space="0"/>
            </w:tcBorders>
            <w:shd w:val="clear" w:color="auto" w:fill="auto"/>
            <w:vAlign w:val="center"/>
          </w:tcPr>
          <w:p w14:paraId="47C7C039">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0.095</w:t>
            </w:r>
          </w:p>
        </w:tc>
        <w:tc>
          <w:tcPr>
            <w:tcW w:w="1568" w:type="dxa"/>
            <w:tcBorders>
              <w:top w:val="single" w:color="000000" w:sz="4" w:space="0"/>
              <w:bottom w:val="single" w:color="000000" w:sz="4" w:space="0"/>
            </w:tcBorders>
            <w:shd w:val="clear" w:color="auto" w:fill="auto"/>
            <w:vAlign w:val="center"/>
          </w:tcPr>
          <w:p w14:paraId="2DA66E5D">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12.18</w:t>
            </w:r>
          </w:p>
        </w:tc>
      </w:tr>
      <w:tr w14:paraId="62486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 w:hRule="atLeast"/>
        </w:trPr>
        <w:tc>
          <w:tcPr>
            <w:tcW w:w="968" w:type="dxa"/>
            <w:tcBorders>
              <w:top w:val="single" w:color="000000" w:sz="4" w:space="0"/>
              <w:bottom w:val="single" w:color="000000" w:sz="4" w:space="0"/>
            </w:tcBorders>
            <w:shd w:val="clear" w:color="auto" w:fill="auto"/>
            <w:vAlign w:val="center"/>
          </w:tcPr>
          <w:p w14:paraId="080BDA86">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IMAB362</w:t>
            </w:r>
          </w:p>
        </w:tc>
        <w:tc>
          <w:tcPr>
            <w:tcW w:w="1260" w:type="dxa"/>
            <w:tcBorders>
              <w:top w:val="single" w:color="000000" w:sz="4" w:space="0"/>
              <w:bottom w:val="single" w:color="000000" w:sz="4" w:space="0"/>
            </w:tcBorders>
            <w:shd w:val="clear" w:color="auto" w:fill="auto"/>
            <w:vAlign w:val="center"/>
          </w:tcPr>
          <w:p w14:paraId="3DD343F0">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165.2</w:t>
            </w:r>
          </w:p>
        </w:tc>
        <w:tc>
          <w:tcPr>
            <w:tcW w:w="1200" w:type="dxa"/>
            <w:tcBorders>
              <w:top w:val="single" w:color="000000" w:sz="4" w:space="0"/>
              <w:bottom w:val="single" w:color="000000" w:sz="4" w:space="0"/>
            </w:tcBorders>
            <w:shd w:val="clear" w:color="auto" w:fill="auto"/>
            <w:vAlign w:val="center"/>
          </w:tcPr>
          <w:p w14:paraId="3FBA5EA6">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100</w:t>
            </w:r>
          </w:p>
        </w:tc>
        <w:tc>
          <w:tcPr>
            <w:tcW w:w="1442" w:type="dxa"/>
            <w:tcBorders>
              <w:top w:val="single" w:color="000000" w:sz="4" w:space="0"/>
              <w:bottom w:val="single" w:color="000000" w:sz="4" w:space="0"/>
            </w:tcBorders>
            <w:shd w:val="clear" w:color="auto" w:fill="auto"/>
            <w:vAlign w:val="center"/>
          </w:tcPr>
          <w:p w14:paraId="2F3B8C6F">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&gt;95</w:t>
            </w:r>
          </w:p>
        </w:tc>
        <w:tc>
          <w:tcPr>
            <w:tcW w:w="1098" w:type="dxa"/>
            <w:tcBorders>
              <w:top w:val="single" w:color="000000" w:sz="4" w:space="0"/>
              <w:bottom w:val="single" w:color="000000" w:sz="4" w:space="0"/>
            </w:tcBorders>
            <w:shd w:val="clear" w:color="auto" w:fill="auto"/>
            <w:vAlign w:val="center"/>
          </w:tcPr>
          <w:p w14:paraId="786B87A6">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12.00</w:t>
            </w:r>
          </w:p>
        </w:tc>
        <w:tc>
          <w:tcPr>
            <w:tcW w:w="770" w:type="dxa"/>
            <w:tcBorders>
              <w:top w:val="single" w:color="000000" w:sz="4" w:space="0"/>
              <w:bottom w:val="single" w:color="000000" w:sz="4" w:space="0"/>
            </w:tcBorders>
            <w:shd w:val="clear" w:color="auto" w:fill="auto"/>
            <w:vAlign w:val="center"/>
          </w:tcPr>
          <w:p w14:paraId="257AC5AB">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0.083</w:t>
            </w:r>
          </w:p>
        </w:tc>
        <w:tc>
          <w:tcPr>
            <w:tcW w:w="1568" w:type="dxa"/>
            <w:tcBorders>
              <w:top w:val="single" w:color="000000" w:sz="4" w:space="0"/>
              <w:bottom w:val="single" w:color="000000" w:sz="4" w:space="0"/>
            </w:tcBorders>
            <w:shd w:val="clear" w:color="auto" w:fill="auto"/>
            <w:vAlign w:val="center"/>
          </w:tcPr>
          <w:p w14:paraId="01B57BE9">
            <w:pPr>
              <w:pStyle w:val="2"/>
              <w:keepNext w:val="0"/>
              <w:keepLines w:val="0"/>
              <w:widowControl/>
              <w:suppressLineNumbers w:val="0"/>
              <w:jc w:val="center"/>
              <w:rPr>
                <w:rFonts w:hint="default" w:ascii="Arial" w:hAnsi="Arial" w:cs="Arial"/>
                <w:sz w:val="20"/>
                <w:szCs w:val="20"/>
              </w:rPr>
            </w:pPr>
            <w:r>
              <w:rPr>
                <w:rFonts w:hint="default" w:ascii="Arial" w:hAnsi="Arial" w:cs="Arial"/>
                <w:color w:val="000000"/>
                <w:sz w:val="20"/>
                <w:szCs w:val="20"/>
              </w:rPr>
              <w:t>12.18</w:t>
            </w:r>
          </w:p>
        </w:tc>
      </w:tr>
    </w:tbl>
    <w:p w14:paraId="687A13BD">
      <w:pPr>
        <w:keepNext w:val="0"/>
        <w:keepLines w:val="0"/>
        <w:widowControl w:val="0"/>
        <w:suppressLineNumbers w:val="0"/>
        <w:spacing w:before="0" w:beforeAutospacing="0" w:after="0" w:afterAutospacing="0"/>
        <w:ind w:left="0" w:right="0"/>
        <w:jc w:val="both"/>
        <w:rPr>
          <w:rFonts w:hint="eastAsia" w:ascii="Times New Roman" w:hAnsi="Times New Roman" w:cs="Times New Roman" w:eastAsiaTheme="minorEastAsia"/>
          <w:lang w:val="en-US" w:eastAsia="zh-CN"/>
        </w:rPr>
      </w:pPr>
    </w:p>
    <w:p w14:paraId="096BA937">
      <w:pPr>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rPr>
      </w:pPr>
      <w:bookmarkStart w:id="0" w:name="OLE_LINK2"/>
      <w:r>
        <w:rPr>
          <w:rFonts w:hint="default" w:ascii="Arial" w:hAnsi="Arial" w:eastAsia="等线" w:cs="Arial"/>
          <w:b/>
          <w:bCs/>
          <w:kern w:val="2"/>
          <w:sz w:val="20"/>
          <w:szCs w:val="20"/>
          <w:lang w:val="en-US" w:eastAsia="zh-CN" w:bidi="ar"/>
        </w:rPr>
        <w:t xml:space="preserve">Supplementary Table </w:t>
      </w:r>
      <w:bookmarkEnd w:id="0"/>
      <w:r>
        <w:rPr>
          <w:rFonts w:hint="eastAsia" w:ascii="Arial" w:hAnsi="Arial" w:eastAsia="等线" w:cs="Arial"/>
          <w:b/>
          <w:bCs/>
          <w:kern w:val="2"/>
          <w:sz w:val="20"/>
          <w:szCs w:val="20"/>
          <w:lang w:val="en-US" w:eastAsia="zh-CN" w:bidi="ar"/>
        </w:rPr>
        <w:t>1</w:t>
      </w:r>
      <w:r>
        <w:rPr>
          <w:rFonts w:hint="default" w:ascii="Arial" w:hAnsi="Arial" w:eastAsia="等线" w:cs="Arial"/>
          <w:b/>
          <w:bCs/>
          <w:kern w:val="2"/>
          <w:sz w:val="20"/>
          <w:szCs w:val="20"/>
          <w:lang w:val="en-US" w:eastAsia="zh-CN" w:bidi="ar"/>
        </w:rPr>
        <w:t xml:space="preserve">. </w:t>
      </w:r>
      <w:r>
        <w:rPr>
          <w:rFonts w:hint="default" w:ascii="Arial" w:hAnsi="Arial" w:eastAsia="等线" w:cs="Arial"/>
          <w:kern w:val="2"/>
          <w:sz w:val="20"/>
          <w:szCs w:val="20"/>
          <w:lang w:val="en-US" w:eastAsia="zh-CN" w:bidi="ar"/>
        </w:rPr>
        <w:t xml:space="preserve">The expression quality, purity and the molecular size of the four clones. Z-Ave.Dia reflects the average particle size, Pk1 Mode Dia represents the main peak value of particle size (usually around 10 nm for proteins), and PDI indicates the uniformity of the solution, with values below 0.2 indicating relatively uniform particle size. </w:t>
      </w:r>
      <w:r>
        <w:rPr>
          <w:rFonts w:hint="eastAsia" w:ascii="Times New Roman" w:hAnsi="Times New Roman" w:eastAsia="等线" w:cs="Times New Roman"/>
          <w:kern w:val="2"/>
          <w:sz w:val="21"/>
          <w:szCs w:val="22"/>
          <w:lang w:val="en-US" w:eastAsia="zh-CN" w:bidi="ar"/>
        </w:rPr>
        <w:t xml:space="preserve"> </w:t>
      </w:r>
    </w:p>
    <w:p w14:paraId="6FE9C615">
      <w:pPr>
        <w:rPr>
          <w:rFonts w:hint="eastAsia" w:eastAsia="宋体"/>
          <w:lang w:eastAsia="zh-CN"/>
        </w:rPr>
      </w:pPr>
    </w:p>
    <w:p w14:paraId="7B78C579">
      <w:pPr>
        <w:rPr>
          <w:rFonts w:hint="eastAsia" w:eastAsia="宋体"/>
          <w:lang w:eastAsia="zh-CN"/>
        </w:rPr>
      </w:pPr>
    </w:p>
    <w:tbl>
      <w:tblPr>
        <w:tblStyle w:val="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47"/>
        <w:gridCol w:w="826"/>
        <w:gridCol w:w="819"/>
        <w:gridCol w:w="819"/>
        <w:gridCol w:w="819"/>
        <w:gridCol w:w="819"/>
        <w:gridCol w:w="819"/>
        <w:gridCol w:w="819"/>
        <w:gridCol w:w="832"/>
      </w:tblGrid>
      <w:tr w14:paraId="6BD09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restart"/>
            <w:tcBorders>
              <w:top w:val="single" w:color="000000" w:sz="4" w:space="0"/>
              <w:left w:val="single" w:color="000000" w:sz="4" w:space="0"/>
              <w:bottom w:val="single" w:color="000000" w:sz="4" w:space="0"/>
              <w:right w:val="single" w:color="000000" w:sz="4" w:space="0"/>
              <w:tl2br w:val="nil"/>
            </w:tcBorders>
            <w:shd w:val="clear" w:color="auto" w:fill="FFFFFF"/>
            <w:noWrap/>
            <w:vAlign w:val="center"/>
          </w:tcPr>
          <w:p w14:paraId="562CEB79">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Groups</w:t>
            </w:r>
          </w:p>
        </w:tc>
        <w:tc>
          <w:tcPr>
            <w:tcW w:w="433"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6D5CD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Animal ID</w:t>
            </w:r>
          </w:p>
        </w:tc>
        <w:tc>
          <w:tcPr>
            <w:tcW w:w="3416" w:type="pct"/>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7FF3236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lang w:val="en-US"/>
              </w:rPr>
            </w:pPr>
            <w:r>
              <w:rPr>
                <w:rFonts w:hint="default" w:eastAsia="宋体" w:cs="Times New Roman" w:asciiTheme="minorAscii" w:hAnsiTheme="minorAscii"/>
                <w:b/>
                <w:bCs w:val="0"/>
                <w:i w:val="0"/>
                <w:iCs w:val="0"/>
                <w:color w:val="000000"/>
                <w:kern w:val="0"/>
                <w:sz w:val="15"/>
                <w:szCs w:val="15"/>
                <w:u w:val="none"/>
                <w:lang w:val="en-US" w:eastAsia="zh-CN" w:bidi="ar"/>
              </w:rPr>
              <w:t>Days post inoculation / tumor volume(mm</w:t>
            </w:r>
            <w:r>
              <w:rPr>
                <w:rFonts w:hint="default" w:eastAsia="宋体" w:cs="Times New Roman" w:asciiTheme="minorAscii" w:hAnsiTheme="minorAscii"/>
                <w:b/>
                <w:bCs w:val="0"/>
                <w:i w:val="0"/>
                <w:iCs w:val="0"/>
                <w:color w:val="000000"/>
                <w:kern w:val="0"/>
                <w:sz w:val="15"/>
                <w:szCs w:val="15"/>
                <w:u w:val="none"/>
                <w:vertAlign w:val="superscript"/>
                <w:lang w:val="en-US" w:eastAsia="zh-CN" w:bidi="ar"/>
              </w:rPr>
              <w:t>3</w:t>
            </w:r>
            <w:r>
              <w:rPr>
                <w:rFonts w:hint="default" w:eastAsia="宋体" w:cs="Times New Roman" w:asciiTheme="minorAscii" w:hAnsiTheme="minorAscii"/>
                <w:b/>
                <w:bCs w:val="0"/>
                <w:i w:val="0"/>
                <w:iCs w:val="0"/>
                <w:color w:val="000000"/>
                <w:kern w:val="0"/>
                <w:sz w:val="15"/>
                <w:szCs w:val="15"/>
                <w:u w:val="none"/>
                <w:lang w:val="en-US" w:eastAsia="zh-CN" w:bidi="ar"/>
              </w:rPr>
              <w:t>)</w:t>
            </w:r>
          </w:p>
        </w:tc>
      </w:tr>
      <w:tr w14:paraId="3D44D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A0EE14">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22B881">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61AF3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0</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FDB40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3</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44973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7</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204CF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10</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B5193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14</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2B1E0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17</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FFC375">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21</w:t>
            </w:r>
          </w:p>
        </w:tc>
      </w:tr>
      <w:tr w14:paraId="29BE6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E12B95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Vehicle</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9F900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28</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1E8C83">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79.40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1EF7D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207.00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C41714">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313.10 </w:t>
            </w:r>
          </w:p>
        </w:tc>
        <w:tc>
          <w:tcPr>
            <w:tcW w:w="4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C4BC1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666.23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0BEF05">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1407.24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34CAE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1265.98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14105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2234.61 </w:t>
            </w:r>
          </w:p>
        </w:tc>
      </w:tr>
      <w:tr w14:paraId="63DB3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191E22">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311CD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27</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077634">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92.87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AC361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217.60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52047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295.90 </w:t>
            </w:r>
          </w:p>
        </w:tc>
        <w:tc>
          <w:tcPr>
            <w:tcW w:w="4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719A6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440.15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9B903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960.61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528C83">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1440.59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E07DD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1886.76 </w:t>
            </w:r>
          </w:p>
        </w:tc>
      </w:tr>
      <w:tr w14:paraId="2BD71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F9ED89">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CDE91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41</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61304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103.15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75B5F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230.72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D9240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489.52 </w:t>
            </w:r>
          </w:p>
        </w:tc>
        <w:tc>
          <w:tcPr>
            <w:tcW w:w="4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9DFA5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937.20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AC08A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1844.79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EB066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2640.36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FD07D6">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i w:val="0"/>
                <w:iCs w:val="0"/>
                <w:color w:val="000000"/>
                <w:sz w:val="15"/>
                <w:szCs w:val="15"/>
                <w:u w:val="none"/>
              </w:rPr>
            </w:pPr>
          </w:p>
        </w:tc>
      </w:tr>
      <w:tr w14:paraId="406DE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1D13A7">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2CDE1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29</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8BB25F">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115.39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327F1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254.29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110DD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324.67 </w:t>
            </w:r>
          </w:p>
        </w:tc>
        <w:tc>
          <w:tcPr>
            <w:tcW w:w="4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A3AB0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463.36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C8D86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934.51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7FFCD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1377.89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0DBBB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2438.63 </w:t>
            </w:r>
          </w:p>
        </w:tc>
      </w:tr>
      <w:tr w14:paraId="220D8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63F867">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B2EEF3">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14</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DB6FEF">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137.62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CCE9A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208.29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8EDA1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253.37 </w:t>
            </w:r>
          </w:p>
        </w:tc>
        <w:tc>
          <w:tcPr>
            <w:tcW w:w="4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11C29F">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263.13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05393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452.72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0F0F5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818.51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4816D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1588.11 </w:t>
            </w:r>
          </w:p>
        </w:tc>
      </w:tr>
      <w:tr w14:paraId="21BBA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65A4D2">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44D0C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Mean</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CB945F">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105.68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46F894">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223.58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B54CB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335.31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CBB2C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554.01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BA624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1119.97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734E9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1508.66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03806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2037.03 </w:t>
            </w:r>
          </w:p>
        </w:tc>
      </w:tr>
      <w:tr w14:paraId="4074C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18B347">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970DFF">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SEM</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0A817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9.94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3E167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8.77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E29E2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40.41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4DD5BF">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115.16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AB7F14">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235.89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430418">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303.12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C3C055">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r>
      <w:tr w14:paraId="56E4F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DD1FB3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IMAB362, 10 mg/kg</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FAE7C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8</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7B9C1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67.42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9F777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173.35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7793A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316.64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3014B4">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737.53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AD2C1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1234.92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F995F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1893.85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E5948F">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i w:val="0"/>
                <w:iCs w:val="0"/>
                <w:color w:val="000000"/>
                <w:sz w:val="15"/>
                <w:szCs w:val="15"/>
                <w:u w:val="none"/>
              </w:rPr>
            </w:pPr>
          </w:p>
        </w:tc>
      </w:tr>
      <w:tr w14:paraId="0A2C6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A46DFA">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12818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4</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905FB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95.38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4F694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129.31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FDE89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208.62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6558D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441.92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FD99C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783.43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443E2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1124.18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0A0404">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1943.79 </w:t>
            </w:r>
          </w:p>
        </w:tc>
      </w:tr>
      <w:tr w14:paraId="473D9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C97286">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FEFE0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45</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A2769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113.23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A3E09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235.38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32FD73">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479.89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4DC389">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1083.40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FC7F6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1765.69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48D94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2432.02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2574FB">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i w:val="0"/>
                <w:iCs w:val="0"/>
                <w:color w:val="000000"/>
                <w:sz w:val="15"/>
                <w:szCs w:val="15"/>
                <w:u w:val="none"/>
              </w:rPr>
            </w:pPr>
          </w:p>
        </w:tc>
      </w:tr>
      <w:tr w14:paraId="25859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78C0AE">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6962B3">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25</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917CE9">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116.30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246FD8">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253.21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8AF293">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380.93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25BCB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508.34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E8C5F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785.05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58F1B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1155.79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A23C83">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i w:val="0"/>
                <w:iCs w:val="0"/>
                <w:color w:val="000000"/>
                <w:sz w:val="15"/>
                <w:szCs w:val="15"/>
                <w:u w:val="none"/>
              </w:rPr>
            </w:pPr>
          </w:p>
        </w:tc>
      </w:tr>
      <w:tr w14:paraId="0800E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16EBBD">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CE85EF">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18</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480B3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132.55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1E581F">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316.49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478E8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51.87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5E437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19.58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41E38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12.49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FD170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10.09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D6EBA8">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i w:val="0"/>
                <w:iCs w:val="0"/>
                <w:color w:val="000000"/>
                <w:sz w:val="15"/>
                <w:szCs w:val="15"/>
                <w:u w:val="none"/>
              </w:rPr>
            </w:pPr>
          </w:p>
        </w:tc>
      </w:tr>
      <w:tr w14:paraId="2B0E6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17893A">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6694E3">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Mean</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EE37C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104.98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684DA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221.55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1DC94">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287.59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DC02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558.15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0B3A03">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916.32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2C82EF">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1323.19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570ED4">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r>
      <w:tr w14:paraId="37965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35C6FD">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179AB9">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SEM</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CC93D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11.09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5E969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32.43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E379A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73.60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581AB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175.23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004299">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289.37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944C3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409.08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E45E5">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r>
      <w:tr w14:paraId="7EAE1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AFED74">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641F5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TGI</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ADACED">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033885">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0.91%</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5E291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14.23%</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EF4F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-0.75%</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2A2089">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18.18%</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BAD09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12.29%</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521050">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r>
      <w:tr w14:paraId="66AE3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BB22F9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4A7, 10 mg/kg</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8D81A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32</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36BD2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73.53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9386B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117.13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15AB7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141.52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8D0D99">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274.96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A9BA0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554.36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A962E5">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i w:val="0"/>
                <w:iCs w:val="0"/>
                <w:color w:val="000000"/>
                <w:sz w:val="15"/>
                <w:szCs w:val="15"/>
                <w:u w:val="none"/>
              </w:rPr>
            </w:pP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F5E93A">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i w:val="0"/>
                <w:iCs w:val="0"/>
                <w:color w:val="000000"/>
                <w:sz w:val="15"/>
                <w:szCs w:val="15"/>
                <w:u w:val="none"/>
              </w:rPr>
            </w:pPr>
          </w:p>
        </w:tc>
      </w:tr>
      <w:tr w14:paraId="5BB85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243248">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E97A6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33</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4804A5">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97.27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62A83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358.99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6FF23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603.22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EF773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1408.24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6646D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2560.53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D926FF">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i w:val="0"/>
                <w:iCs w:val="0"/>
                <w:color w:val="000000"/>
                <w:sz w:val="15"/>
                <w:szCs w:val="15"/>
                <w:u w:val="none"/>
              </w:rPr>
            </w:pP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0E790E">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i w:val="0"/>
                <w:iCs w:val="0"/>
                <w:color w:val="000000"/>
                <w:sz w:val="15"/>
                <w:szCs w:val="15"/>
                <w:u w:val="none"/>
              </w:rPr>
            </w:pPr>
          </w:p>
        </w:tc>
      </w:tr>
      <w:tr w14:paraId="5D3FB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3A0AC9">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A7A40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5</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17BFF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109.03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F8079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257.26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4FF92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395.46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743C7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728.86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79182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1375.28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5BB11C">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i w:val="0"/>
                <w:iCs w:val="0"/>
                <w:color w:val="000000"/>
                <w:sz w:val="15"/>
                <w:szCs w:val="15"/>
                <w:u w:val="none"/>
              </w:rPr>
            </w:pP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180E59">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i w:val="0"/>
                <w:iCs w:val="0"/>
                <w:color w:val="000000"/>
                <w:sz w:val="15"/>
                <w:szCs w:val="15"/>
                <w:u w:val="none"/>
              </w:rPr>
            </w:pPr>
          </w:p>
        </w:tc>
      </w:tr>
      <w:tr w14:paraId="59FBD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5D6E6E">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D2780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34</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74BCA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116.80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3CC1A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331.92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3BB01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696.19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8D8A9F">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1127.34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610929">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2107.63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489E21">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i w:val="0"/>
                <w:iCs w:val="0"/>
                <w:color w:val="000000"/>
                <w:sz w:val="15"/>
                <w:szCs w:val="15"/>
                <w:u w:val="none"/>
              </w:rPr>
            </w:pP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904175">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i w:val="0"/>
                <w:iCs w:val="0"/>
                <w:color w:val="000000"/>
                <w:sz w:val="15"/>
                <w:szCs w:val="15"/>
                <w:u w:val="none"/>
              </w:rPr>
            </w:pPr>
          </w:p>
        </w:tc>
      </w:tr>
      <w:tr w14:paraId="1E7F6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CBD34E">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792F68">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3</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31167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129.84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F1E49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302.01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0363D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128.25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F73BD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60.77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33601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41.05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1C2254">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i w:val="0"/>
                <w:iCs w:val="0"/>
                <w:color w:val="000000"/>
                <w:sz w:val="15"/>
                <w:szCs w:val="15"/>
                <w:u w:val="none"/>
              </w:rPr>
            </w:pP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7A30AE">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i w:val="0"/>
                <w:iCs w:val="0"/>
                <w:color w:val="000000"/>
                <w:sz w:val="15"/>
                <w:szCs w:val="15"/>
                <w:u w:val="none"/>
              </w:rPr>
            </w:pPr>
          </w:p>
        </w:tc>
      </w:tr>
      <w:tr w14:paraId="434E5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6BA0D8">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8EA62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Mean</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18FF03">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105.29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93F339">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273.46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617A2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392.93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11D1D3">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720.04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D3309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1327.77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9D5D0B">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C2FD1C">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r>
      <w:tr w14:paraId="1BF49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E18513">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0D2A79">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SEM</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78EA2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9.55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56546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42.57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50E4E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116.07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4ECA3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252.22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FD8ADF">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468.19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F567FD">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E1B7CC">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r>
      <w:tr w14:paraId="266F8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3C0C02">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D50EA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TGI</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436C13">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5F3B68">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-22.31%</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D4AC1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-17.18%</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DF42C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-29.97%</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C8C37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-18.55%</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623722">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77CF60">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r>
      <w:tr w14:paraId="34679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24CEE8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anti-mPD-1, 3 mg/kg</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E7A12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12</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2A163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97.94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3D74F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203.03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3DFE33">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210.16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94D7DF">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318.91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E6A94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516.79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A977E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899.46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DFAF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1891.78 </w:t>
            </w:r>
          </w:p>
        </w:tc>
      </w:tr>
      <w:tr w14:paraId="1860A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D2E740">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FB4C6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6</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E90DA9">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104.04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68C29F">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140.43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381F5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131.21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F77AA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141.62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81363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231.33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058398">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416.84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8A132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803.17 </w:t>
            </w:r>
          </w:p>
        </w:tc>
      </w:tr>
      <w:tr w14:paraId="05306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B97C27">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5D30F3">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22</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C3A68">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117.57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68184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232.56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4F03F8">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234.42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B1867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355.66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039EF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244.62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941BE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336.60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840F7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589.15 </w:t>
            </w:r>
          </w:p>
        </w:tc>
      </w:tr>
      <w:tr w14:paraId="1F123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F9A672">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CFC578">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10</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B9A4A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128.74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4912F3">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330.97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EE251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299.10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A6132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404.33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BC1EF9">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567.29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1C6594">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1004.65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CE9E6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1661.47 </w:t>
            </w:r>
          </w:p>
        </w:tc>
      </w:tr>
      <w:tr w14:paraId="3FD51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530B41">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18D0E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Mean</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310CC3">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104.04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5750B4">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229.47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FE9B8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231.79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713B9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331.54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2D5A19">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407.99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9C40CF">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651.18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307E7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1269.40 </w:t>
            </w:r>
          </w:p>
        </w:tc>
      </w:tr>
      <w:tr w14:paraId="56C13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96141D">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BEF483">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SEM</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42A6F4">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9.65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17BF0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30.87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FE674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29.88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9F1FA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51.61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B5EF6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70.81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414AF4">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131.01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D686A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248.86 </w:t>
            </w:r>
          </w:p>
        </w:tc>
      </w:tr>
      <w:tr w14:paraId="2E735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2A7361">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BDB28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TGI</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8BF2B5">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752A4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-2.64%</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945015">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30.87%</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431D2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40.16%</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73107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63.57%</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FCD49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56.84%</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9A908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37.68%</w:t>
            </w:r>
          </w:p>
        </w:tc>
      </w:tr>
      <w:tr w14:paraId="6F4AC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DF2C3C9">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anti-mPD-1+IMAB362, 3 mg/kg+10mg/kg</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E17C6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11</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CE3833">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74.08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C6CC5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136.29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82FCE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46.31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00873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14.29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7CF31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11.72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DA6F3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18.55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9C0588">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23.91 </w:t>
            </w:r>
          </w:p>
        </w:tc>
      </w:tr>
      <w:tr w14:paraId="43A5B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C84E62">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bCs/>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E5EF1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35</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FE20D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98.32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1A313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310.39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0C44F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501.64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6DBB0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619.65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7E60A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806.93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7DE8E9">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1135.22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F00B29">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2043.17 </w:t>
            </w:r>
          </w:p>
        </w:tc>
      </w:tr>
      <w:tr w14:paraId="3C0CD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59970A">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bCs/>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265D6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23</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8FD594">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103.57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053D99">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191.96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DD043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337.38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458D8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619.00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D8099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1038.60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70014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1797.92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9FC1B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3617.09 </w:t>
            </w:r>
          </w:p>
        </w:tc>
      </w:tr>
      <w:tr w14:paraId="067DD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198486">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bCs/>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B2BEE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38</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7E88E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120.84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B1463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325.49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52AB9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322.59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7282F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158.16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7A604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54.20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88ED04">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21.28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3B7853">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24.83 </w:t>
            </w:r>
          </w:p>
        </w:tc>
      </w:tr>
      <w:tr w14:paraId="4B5D1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1D5EB7">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bCs/>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2ACE0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40</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C2EE0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125.06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1842D9">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268.93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E643C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331.71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AB7E0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447.01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96EDE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506.24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C972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870.41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8D2A08">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1748.91 </w:t>
            </w:r>
          </w:p>
        </w:tc>
      </w:tr>
      <w:tr w14:paraId="519EA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8B5E76">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bCs/>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72E42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Mean</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F9D98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104.38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54CC8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246.61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E287A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307.93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9F037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371.62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90F43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483.54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542AC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768.68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875DD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1491.58 </w:t>
            </w:r>
          </w:p>
        </w:tc>
      </w:tr>
      <w:tr w14:paraId="68C91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0DB0B3">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bCs/>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820AE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SEM</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EA0979">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9.09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C20A6F">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36.02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F261F3">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73.35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AF2FB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122.81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0B3B3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202.50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7D237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340.98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599C2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678.00 </w:t>
            </w:r>
          </w:p>
        </w:tc>
      </w:tr>
      <w:tr w14:paraId="3D1E5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BFD48E">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bCs/>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3D80C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TGI</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3093D4">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6BE3C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-10.30%</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73E25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8.17%</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AC2CB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32.92%</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6E7CE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56.83%</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D4D8A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49.05%</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88691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26.78%</w:t>
            </w:r>
          </w:p>
        </w:tc>
      </w:tr>
      <w:tr w14:paraId="7C384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775CD9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anti-mPD-1+4A7, 3 mg/kg+10 mg/kg</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DADFF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21</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3BE9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63.89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B2F224">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122.54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FD720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162.31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1ACB05">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251.45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FF8C6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426.69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794F8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732.65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DE0C1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1575.30 </w:t>
            </w:r>
          </w:p>
        </w:tc>
      </w:tr>
      <w:tr w14:paraId="0FD41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B113E2">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bCs/>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3576C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30</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2CF85F">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101.59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98730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191.39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C71655">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22.70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D726B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0.00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5D5F6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0.00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4F68C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0.00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F34974">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0.00 </w:t>
            </w:r>
          </w:p>
        </w:tc>
      </w:tr>
      <w:tr w14:paraId="54CA4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9CD933">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bCs/>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626A0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7</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242DB4">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113.77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CCAC7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261.18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DCB5B3">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256.01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9293C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121.19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4D193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39.08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90E5EE">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18.38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3053E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24.31 </w:t>
            </w:r>
          </w:p>
        </w:tc>
      </w:tr>
      <w:tr w14:paraId="0693A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751240">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bCs/>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7E8C68">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1</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02A48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122.06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298BC6">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252.27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61628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42.18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5E0EA8">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17.88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F8DEF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8.05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BAD265">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5.72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F3B18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0.00 </w:t>
            </w:r>
          </w:p>
        </w:tc>
      </w:tr>
      <w:tr w14:paraId="328A9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614217">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bCs/>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C4EB48">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bCs/>
                <w:i w:val="0"/>
                <w:iCs w:val="0"/>
                <w:color w:val="000000"/>
                <w:sz w:val="13"/>
                <w:szCs w:val="13"/>
                <w:u w:val="none"/>
              </w:rPr>
            </w:pPr>
            <w:r>
              <w:rPr>
                <w:rFonts w:hint="default" w:eastAsia="宋体" w:cs="Times New Roman" w:asciiTheme="minorAscii" w:hAnsiTheme="minorAscii"/>
                <w:b w:val="0"/>
                <w:bCs/>
                <w:i w:val="0"/>
                <w:iCs w:val="0"/>
                <w:color w:val="000000"/>
                <w:kern w:val="0"/>
                <w:sz w:val="13"/>
                <w:szCs w:val="13"/>
                <w:u w:val="none"/>
                <w:lang w:val="en-US" w:eastAsia="zh-CN" w:bidi="ar"/>
              </w:rPr>
              <w:t>39</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FDA3F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123.70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5036C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271.28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F1DDB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550.48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01DE2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657.25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7FD29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245.88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F284FD">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111.52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A94B0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val="0"/>
                <w:i w:val="0"/>
                <w:iCs w:val="0"/>
                <w:color w:val="000000"/>
                <w:sz w:val="15"/>
                <w:szCs w:val="15"/>
                <w:u w:val="none"/>
              </w:rPr>
            </w:pPr>
            <w:r>
              <w:rPr>
                <w:rFonts w:hint="default" w:eastAsia="宋体" w:cs="Times New Roman" w:asciiTheme="minorAscii" w:hAnsiTheme="minorAscii"/>
                <w:b w:val="0"/>
                <w:i w:val="0"/>
                <w:iCs w:val="0"/>
                <w:color w:val="000000"/>
                <w:kern w:val="0"/>
                <w:sz w:val="15"/>
                <w:szCs w:val="15"/>
                <w:u w:val="none"/>
                <w:lang w:val="en-US" w:eastAsia="zh-CN" w:bidi="ar"/>
              </w:rPr>
              <w:t xml:space="preserve">62.50 </w:t>
            </w:r>
          </w:p>
        </w:tc>
      </w:tr>
      <w:tr w14:paraId="053ED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E3C222">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bCs/>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80606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Mean</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21ED5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105.00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7B6179">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219.73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52073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206.74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3A45C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209.55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B85105">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143.94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680B2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173.65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EAE64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332.42 </w:t>
            </w:r>
          </w:p>
        </w:tc>
      </w:tr>
      <w:tr w14:paraId="0FF7C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4F04CA">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bCs/>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BF5FE4">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SEM</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73E25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11.00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9689DA">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28.00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EC9C21">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95.79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D52AB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120.55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4D5FC0">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83.82 </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816F9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141.21 </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A89E0B">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 xml:space="preserve">310.93 </w:t>
            </w:r>
          </w:p>
        </w:tc>
      </w:tr>
      <w:tr w14:paraId="53EEF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1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49B109">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val="0"/>
                <w:bCs/>
                <w:i w:val="0"/>
                <w:iCs w:val="0"/>
                <w:color w:val="000000"/>
                <w:sz w:val="15"/>
                <w:szCs w:val="15"/>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58A364">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TGI</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D9CA3C">
            <w:pPr>
              <w:keepNext w:val="0"/>
              <w:keepLines w:val="0"/>
              <w:pageBreakBefore w:val="0"/>
              <w:widowControl/>
              <w:kinsoku/>
              <w:wordWrap/>
              <w:overflowPunct/>
              <w:topLinePunct w:val="0"/>
              <w:autoSpaceDE/>
              <w:autoSpaceDN/>
              <w:bidi w:val="0"/>
              <w:adjustRightInd/>
              <w:snapToGrid/>
              <w:spacing w:line="120" w:lineRule="auto"/>
              <w:jc w:val="center"/>
              <w:rPr>
                <w:rFonts w:hint="default" w:eastAsia="宋体" w:cs="Times New Roman" w:asciiTheme="minorAscii" w:hAnsiTheme="minorAscii"/>
                <w:b/>
                <w:bCs w:val="0"/>
                <w:i w:val="0"/>
                <w:iCs w:val="0"/>
                <w:color w:val="000000"/>
                <w:sz w:val="15"/>
                <w:szCs w:val="15"/>
                <w:u w:val="none"/>
              </w:rPr>
            </w:pP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2EB1AC">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1.72%</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3F68B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38.35%</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FDBDD7">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62.18%</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5F3382">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87.15%</w:t>
            </w:r>
          </w:p>
        </w:tc>
        <w:tc>
          <w:tcPr>
            <w:tcW w:w="4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2DA4FF">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88.49%</w:t>
            </w:r>
          </w:p>
        </w:tc>
        <w:tc>
          <w:tcPr>
            <w:tcW w:w="49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6EE435">
            <w:pPr>
              <w:keepNext w:val="0"/>
              <w:keepLines w:val="0"/>
              <w:pageBreakBefore w:val="0"/>
              <w:widowControl/>
              <w:suppressLineNumbers w:val="0"/>
              <w:kinsoku/>
              <w:wordWrap/>
              <w:overflowPunct/>
              <w:topLinePunct w:val="0"/>
              <w:autoSpaceDE/>
              <w:autoSpaceDN/>
              <w:bidi w:val="0"/>
              <w:adjustRightInd/>
              <w:snapToGrid/>
              <w:spacing w:line="120" w:lineRule="auto"/>
              <w:jc w:val="center"/>
              <w:textAlignment w:val="center"/>
              <w:rPr>
                <w:rFonts w:hint="default" w:eastAsia="宋体" w:cs="Times New Roman" w:asciiTheme="minorAscii" w:hAnsiTheme="minorAscii"/>
                <w:b/>
                <w:bCs w:val="0"/>
                <w:i w:val="0"/>
                <w:iCs w:val="0"/>
                <w:color w:val="000000"/>
                <w:sz w:val="15"/>
                <w:szCs w:val="15"/>
                <w:u w:val="none"/>
              </w:rPr>
            </w:pPr>
            <w:r>
              <w:rPr>
                <w:rFonts w:hint="default" w:eastAsia="宋体" w:cs="Times New Roman" w:asciiTheme="minorAscii" w:hAnsiTheme="minorAscii"/>
                <w:b/>
                <w:bCs w:val="0"/>
                <w:i w:val="0"/>
                <w:iCs w:val="0"/>
                <w:color w:val="000000"/>
                <w:kern w:val="0"/>
                <w:sz w:val="15"/>
                <w:szCs w:val="15"/>
                <w:u w:val="none"/>
                <w:lang w:val="en-US" w:eastAsia="zh-CN" w:bidi="ar"/>
              </w:rPr>
              <w:t>83.68%</w:t>
            </w:r>
          </w:p>
        </w:tc>
      </w:tr>
    </w:tbl>
    <w:p w14:paraId="16B3310E">
      <w:pPr>
        <w:rPr>
          <w:rFonts w:hint="eastAsia" w:eastAsia="宋体"/>
          <w:lang w:eastAsia="zh-CN"/>
        </w:rPr>
      </w:pPr>
      <w:r>
        <w:rPr>
          <w:rFonts w:hint="eastAsia" w:eastAsia="宋体"/>
          <w:b/>
          <w:bCs/>
          <w:lang w:eastAsia="zh-CN"/>
        </w:rPr>
        <w:t xml:space="preserve">Supplementary Table </w:t>
      </w:r>
      <w:r>
        <w:rPr>
          <w:rFonts w:hint="eastAsia" w:eastAsia="宋体"/>
          <w:b/>
          <w:bCs/>
          <w:lang w:val="en-US" w:eastAsia="zh-CN"/>
        </w:rPr>
        <w:t>2</w:t>
      </w:r>
      <w:r>
        <w:rPr>
          <w:rFonts w:hint="eastAsia" w:eastAsia="宋体"/>
          <w:b/>
          <w:bCs/>
          <w:lang w:eastAsia="zh-CN"/>
        </w:rPr>
        <w:t>.</w:t>
      </w:r>
      <w:r>
        <w:rPr>
          <w:rFonts w:hint="eastAsia" w:eastAsia="宋体"/>
          <w:b/>
          <w:bCs/>
          <w:lang w:val="en-US" w:eastAsia="zh-CN"/>
        </w:rPr>
        <w:t xml:space="preserve"> </w:t>
      </w:r>
      <w:r>
        <w:rPr>
          <w:rFonts w:hint="eastAsia" w:eastAsia="宋体"/>
          <w:b w:val="0"/>
          <w:bCs w:val="0"/>
          <w:lang w:val="en-US" w:eastAsia="zh-CN"/>
        </w:rPr>
        <w:t>T</w:t>
      </w:r>
      <w:r>
        <w:rPr>
          <w:rFonts w:hint="eastAsia" w:eastAsia="宋体"/>
          <w:lang w:eastAsia="zh-CN"/>
        </w:rPr>
        <w:t>he tumor ARRIVAL checklist of C57/BL6 mice</w:t>
      </w:r>
      <w:r>
        <w:rPr>
          <w:rFonts w:hint="eastAsia" w:eastAsia="宋体"/>
          <w:lang w:val="en-US" w:eastAsia="zh-CN"/>
        </w:rPr>
        <w:t xml:space="preserve"> </w:t>
      </w:r>
      <w:r>
        <w:rPr>
          <w:rFonts w:hint="eastAsia" w:eastAsia="宋体"/>
          <w:lang w:eastAsia="zh-CN"/>
        </w:rPr>
        <w:t>treated with 4A7, IMAB36, 4A7+ anti-mPD-1 or IMAB362 + anti-mPD-1</w:t>
      </w:r>
      <w:r>
        <w:rPr>
          <w:rFonts w:hint="eastAsia" w:eastAsia="宋体"/>
          <w:lang w:val="en-US" w:eastAsia="zh-CN"/>
        </w:rPr>
        <w:t xml:space="preserve">. PBS were designated as control. Each group consisted of five mice. </w:t>
      </w:r>
      <w:r>
        <w:rPr>
          <w:rFonts w:hint="eastAsia" w:eastAsia="宋体"/>
          <w:lang w:eastAsia="zh-CN"/>
        </w:rPr>
        <w:t>Once the tumor volume was observed to exceed 2000mm</w:t>
      </w:r>
      <w:r>
        <w:rPr>
          <w:rFonts w:hint="eastAsia" w:eastAsia="宋体"/>
          <w:vertAlign w:val="superscript"/>
          <w:lang w:eastAsia="zh-CN"/>
        </w:rPr>
        <w:t>3</w:t>
      </w:r>
      <w:r>
        <w:rPr>
          <w:rFonts w:hint="eastAsia" w:eastAsia="宋体"/>
          <w:lang w:eastAsia="zh-CN"/>
        </w:rPr>
        <w:t>, we stopped observing it and euthanized the mice.</w:t>
      </w:r>
    </w:p>
    <w:p w14:paraId="72CBD6D4">
      <w:pPr>
        <w:rPr>
          <w:rFonts w:hint="eastAsia" w:eastAsia="宋体"/>
          <w:lang w:eastAsia="zh-CN"/>
        </w:rPr>
      </w:pPr>
    </w:p>
    <w:p w14:paraId="67B5B80D">
      <w:pPr>
        <w:rPr>
          <w:rFonts w:hint="eastAsia" w:eastAsia="宋体"/>
          <w:lang w:eastAsia="zh-CN"/>
        </w:rPr>
      </w:pPr>
      <w:r>
        <w:rPr>
          <w:rFonts w:hint="eastAsia" w:eastAsia="宋体"/>
          <w:lang w:eastAsia="zh-CN"/>
        </w:rPr>
        <w:drawing>
          <wp:inline distT="0" distB="0" distL="114300" distR="114300">
            <wp:extent cx="5269865" cy="6807835"/>
            <wp:effectExtent l="0" t="0" r="3175" b="4445"/>
            <wp:docPr id="1" name="图片 1" descr="supplementary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upplementary Figure 1"/>
                    <pic:cNvPicPr>
                      <a:picLocks noChangeAspect="1"/>
                    </pic:cNvPicPr>
                  </pic:nvPicPr>
                  <pic:blipFill>
                    <a:blip r:embed="rId4"/>
                    <a:stretch>
                      <a:fillRect/>
                    </a:stretch>
                  </pic:blipFill>
                  <pic:spPr>
                    <a:xfrm>
                      <a:off x="0" y="0"/>
                      <a:ext cx="5269865" cy="6807835"/>
                    </a:xfrm>
                    <a:prstGeom prst="rect">
                      <a:avLst/>
                    </a:prstGeom>
                  </pic:spPr>
                </pic:pic>
              </a:graphicData>
            </a:graphic>
          </wp:inline>
        </w:drawing>
      </w:r>
    </w:p>
    <w:p w14:paraId="04E0DF57">
      <w:pPr>
        <w:rPr>
          <w:rFonts w:hint="eastAsia" w:eastAsia="宋体"/>
          <w:lang w:eastAsia="zh-CN"/>
        </w:rPr>
      </w:pPr>
      <w:r>
        <w:rPr>
          <w:rFonts w:hint="eastAsia" w:eastAsiaTheme="minorEastAsia"/>
          <w:b/>
          <w:bCs/>
          <w:lang w:eastAsia="zh-CN"/>
        </w:rPr>
        <w:t>Supplementary Figure1</w:t>
      </w:r>
      <w:r>
        <w:rPr>
          <w:rFonts w:hint="eastAsia"/>
          <w:b/>
          <w:bCs/>
          <w:lang w:val="en-US" w:eastAsia="zh-CN"/>
        </w:rPr>
        <w:t>.</w:t>
      </w:r>
      <w:r>
        <w:rPr>
          <w:rFonts w:hint="eastAsia" w:eastAsiaTheme="minorEastAsia"/>
          <w:lang w:eastAsia="zh-CN"/>
        </w:rPr>
        <w:t xml:space="preserve"> (A</w:t>
      </w:r>
      <w:r>
        <w:rPr>
          <w:rFonts w:hint="eastAsia"/>
          <w:lang w:val="en-US" w:eastAsia="zh-CN"/>
        </w:rPr>
        <w:t>-C</w:t>
      </w:r>
      <w:r>
        <w:rPr>
          <w:rFonts w:hint="eastAsia" w:eastAsiaTheme="minorEastAsia"/>
          <w:lang w:eastAsia="zh-CN"/>
        </w:rPr>
        <w:t>) Binding activity of 4A7 and IMAB362 to Claudin18.1-positive cell lines and Claudin18.2-positive cell lines. (A) Flow cytometry was used to detect the binding affinity to HEK-293 (Claudin18.1) (B-C) Confocal immunofluorescence examination was used to visualize the binding of 4A7 and IMAB362 to HEK-293 (Claudin18.1) (B)and HEK-293 (Claudin18.2) (C)</w:t>
      </w:r>
      <w:r>
        <w:rPr>
          <w:rFonts w:hint="eastAsia"/>
          <w:lang w:val="en-US" w:eastAsia="zh-CN"/>
        </w:rPr>
        <w:t xml:space="preserve">. (D)Transcript (qRT-PCR) levels of Claudin18.2 or Claudin18.1 in Corresponding cell lines with endogenous or transduced Claudin18.2/Claudin18.1 expression. qRT-PCR data are mean </w:t>
      </w:r>
      <w:r>
        <w:rPr>
          <w:rFonts w:hint="default" w:ascii="Arial" w:hAnsi="Arial" w:cs="Arial"/>
          <w:lang w:val="en-US" w:eastAsia="zh-CN"/>
        </w:rPr>
        <w:t>±</w:t>
      </w:r>
      <w:r>
        <w:rPr>
          <w:rFonts w:hint="eastAsia" w:ascii="Arial" w:hAnsi="Arial" w:cs="Arial"/>
          <w:lang w:val="en-US" w:eastAsia="zh-CN"/>
        </w:rPr>
        <w:t xml:space="preserve"> </w:t>
      </w:r>
      <w:r>
        <w:rPr>
          <w:rFonts w:hint="eastAsia"/>
          <w:lang w:val="en-US" w:eastAsia="zh-CN"/>
        </w:rPr>
        <w:t>SD of 3 independent measurements.</w:t>
      </w:r>
    </w:p>
    <w:p w14:paraId="13F4BDE4">
      <w:pPr>
        <w:rPr>
          <w:rFonts w:hint="eastAsia" w:eastAsia="宋体"/>
          <w:lang w:eastAsia="zh-CN"/>
        </w:rPr>
      </w:pPr>
    </w:p>
    <w:p w14:paraId="2DB2CFB5">
      <w:pPr>
        <w:rPr>
          <w:rFonts w:hint="eastAsia" w:eastAsia="宋体"/>
          <w:lang w:eastAsia="zh-CN"/>
        </w:rPr>
      </w:pPr>
    </w:p>
    <w:p w14:paraId="379AB38D">
      <w:pPr>
        <w:rPr>
          <w:rFonts w:hint="eastAsia" w:eastAsia="宋体"/>
          <w:lang w:eastAsia="zh-CN"/>
        </w:rPr>
      </w:pPr>
      <w:r>
        <w:rPr>
          <w:rFonts w:hint="eastAsia" w:eastAsia="宋体"/>
          <w:lang w:eastAsia="zh-CN"/>
        </w:rPr>
        <w:drawing>
          <wp:inline distT="0" distB="0" distL="114300" distR="114300">
            <wp:extent cx="5271135" cy="7125335"/>
            <wp:effectExtent l="0" t="0" r="1905" b="6985"/>
            <wp:docPr id="2" name="图片 2" descr="supplementary 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upplementary Figure 2-1"/>
                    <pic:cNvPicPr>
                      <a:picLocks noChangeAspect="1"/>
                    </pic:cNvPicPr>
                  </pic:nvPicPr>
                  <pic:blipFill>
                    <a:blip r:embed="rId5"/>
                    <a:stretch>
                      <a:fillRect/>
                    </a:stretch>
                  </pic:blipFill>
                  <pic:spPr>
                    <a:xfrm>
                      <a:off x="0" y="0"/>
                      <a:ext cx="5271135" cy="7125335"/>
                    </a:xfrm>
                    <a:prstGeom prst="rect">
                      <a:avLst/>
                    </a:prstGeom>
                  </pic:spPr>
                </pic:pic>
              </a:graphicData>
            </a:graphic>
          </wp:inline>
        </w:drawing>
      </w:r>
    </w:p>
    <w:p w14:paraId="49218B89">
      <w:pPr>
        <w:rPr>
          <w:rFonts w:hint="eastAsia" w:eastAsia="宋体"/>
          <w:lang w:eastAsia="zh-CN"/>
        </w:rPr>
      </w:pPr>
      <w:r>
        <w:rPr>
          <w:rFonts w:hint="eastAsia" w:eastAsia="宋体"/>
          <w:b/>
          <w:bCs/>
          <w:lang w:eastAsia="zh-CN"/>
        </w:rPr>
        <w:t>Supplementary Figure 2</w:t>
      </w:r>
      <w:r>
        <w:rPr>
          <w:rFonts w:hint="eastAsia" w:eastAsia="宋体"/>
          <w:b/>
          <w:bCs/>
          <w:lang w:val="en-US" w:eastAsia="zh-CN"/>
        </w:rPr>
        <w:t>.</w:t>
      </w:r>
      <w:r>
        <w:rPr>
          <w:rFonts w:hint="eastAsia" w:eastAsia="宋体"/>
          <w:b/>
          <w:bCs/>
          <w:lang w:eastAsia="zh-CN"/>
        </w:rPr>
        <w:t xml:space="preserve"> </w:t>
      </w:r>
      <w:r>
        <w:rPr>
          <w:rFonts w:hint="eastAsia" w:eastAsia="宋体"/>
          <w:lang w:eastAsia="zh-CN"/>
        </w:rPr>
        <w:t>(A) Body weight of C57/BL6 mice in different</w:t>
      </w:r>
      <w:r>
        <w:rPr>
          <w:rFonts w:hint="eastAsia" w:eastAsia="宋体"/>
          <w:lang w:val="en-US" w:eastAsia="zh-CN"/>
        </w:rPr>
        <w:t xml:space="preserve"> five</w:t>
      </w:r>
      <w:r>
        <w:rPr>
          <w:rFonts w:hint="eastAsia" w:eastAsia="宋体"/>
          <w:lang w:eastAsia="zh-CN"/>
        </w:rPr>
        <w:t xml:space="preserve"> treatment groups.  Each group consisted of five mice. (B) </w:t>
      </w:r>
      <w:r>
        <w:rPr>
          <w:rFonts w:hint="default" w:eastAsia="宋体" w:cs="Arial" w:asciiTheme="minorAscii" w:hAnsiTheme="minorAscii"/>
          <w:b w:val="0"/>
          <w:bCs w:val="0"/>
          <w:lang w:eastAsia="zh-CN"/>
        </w:rPr>
        <w:t xml:space="preserve">Body weight measurements after </w:t>
      </w:r>
      <w:r>
        <w:rPr>
          <w:rFonts w:hint="eastAsia" w:eastAsia="宋体" w:cs="Arial" w:asciiTheme="minorAscii" w:hAnsiTheme="minorAscii"/>
          <w:b w:val="0"/>
          <w:bCs w:val="0"/>
          <w:lang w:val="en-US" w:eastAsia="zh-CN"/>
        </w:rPr>
        <w:t>4A7 or IMAB362</w:t>
      </w:r>
      <w:r>
        <w:rPr>
          <w:rFonts w:hint="default" w:eastAsia="宋体" w:cs="Arial" w:asciiTheme="minorAscii" w:hAnsiTheme="minorAscii"/>
          <w:b w:val="0"/>
          <w:bCs w:val="0"/>
          <w:lang w:eastAsia="zh-CN"/>
        </w:rPr>
        <w:t xml:space="preserve"> antibody i.</w:t>
      </w:r>
      <w:r>
        <w:rPr>
          <w:rFonts w:hint="eastAsia" w:eastAsia="宋体" w:cs="Arial" w:asciiTheme="minorAscii" w:hAnsiTheme="minorAscii"/>
          <w:b w:val="0"/>
          <w:bCs w:val="0"/>
          <w:lang w:val="en-US" w:eastAsia="zh-CN"/>
        </w:rPr>
        <w:t>p</w:t>
      </w:r>
      <w:r>
        <w:rPr>
          <w:rFonts w:hint="default" w:eastAsia="宋体" w:cs="Arial" w:asciiTheme="minorAscii" w:hAnsiTheme="minorAscii"/>
          <w:b w:val="0"/>
          <w:bCs w:val="0"/>
          <w:lang w:eastAsia="zh-CN"/>
        </w:rPr>
        <w:t xml:space="preserve">. administration at </w:t>
      </w:r>
      <w:r>
        <w:rPr>
          <w:rFonts w:hint="eastAsia" w:eastAsia="宋体" w:cs="Arial" w:asciiTheme="minorAscii" w:hAnsiTheme="minorAscii"/>
          <w:b w:val="0"/>
          <w:bCs w:val="0"/>
          <w:lang w:val="en-US" w:eastAsia="zh-CN"/>
        </w:rPr>
        <w:t>80</w:t>
      </w:r>
      <w:r>
        <w:rPr>
          <w:rFonts w:hint="default" w:eastAsia="宋体" w:cs="Arial" w:asciiTheme="minorAscii" w:hAnsiTheme="minorAscii"/>
          <w:b w:val="0"/>
          <w:bCs w:val="0"/>
          <w:lang w:eastAsia="zh-CN"/>
        </w:rPr>
        <w:t xml:space="preserve"> and </w:t>
      </w:r>
      <w:r>
        <w:rPr>
          <w:rFonts w:hint="eastAsia" w:eastAsia="宋体" w:cs="Arial" w:asciiTheme="minorAscii" w:hAnsiTheme="minorAscii"/>
          <w:b w:val="0"/>
          <w:bCs w:val="0"/>
          <w:lang w:val="en-US" w:eastAsia="zh-CN"/>
        </w:rPr>
        <w:t>10</w:t>
      </w:r>
      <w:r>
        <w:rPr>
          <w:rFonts w:hint="default" w:eastAsia="宋体" w:cs="Arial" w:asciiTheme="minorAscii" w:hAnsiTheme="minorAscii"/>
          <w:b w:val="0"/>
          <w:bCs w:val="0"/>
          <w:lang w:eastAsia="zh-CN"/>
        </w:rPr>
        <w:t xml:space="preserve"> mg/kg</w:t>
      </w:r>
      <w:r>
        <w:rPr>
          <w:rFonts w:hint="eastAsia" w:eastAsia="宋体" w:cs="Arial" w:asciiTheme="minorAscii" w:hAnsiTheme="minorAscii"/>
          <w:b w:val="0"/>
          <w:bCs w:val="0"/>
          <w:lang w:val="en-US" w:eastAsia="zh-CN"/>
        </w:rPr>
        <w:t>. Each group consisted of three mice</w:t>
      </w:r>
      <w:r>
        <w:rPr>
          <w:rFonts w:hint="default" w:eastAsia="宋体" w:cs="Arial" w:asciiTheme="minorAscii" w:hAnsiTheme="minorAscii"/>
          <w:b w:val="0"/>
          <w:bCs w:val="0"/>
          <w:lang w:eastAsia="zh-CN"/>
        </w:rPr>
        <w:t xml:space="preserve">. Data are expressed as </w:t>
      </w:r>
      <w:r>
        <w:rPr>
          <w:rFonts w:hint="eastAsia" w:eastAsia="宋体" w:cs="Arial" w:asciiTheme="minorAscii" w:hAnsiTheme="minorAscii"/>
          <w:b w:val="0"/>
          <w:bCs w:val="0"/>
          <w:lang w:val="en-US" w:eastAsia="zh-CN"/>
        </w:rPr>
        <w:t>Mean</w:t>
      </w:r>
      <w:r>
        <w:rPr>
          <w:rFonts w:hint="default" w:eastAsia="宋体" w:cs="Arial" w:asciiTheme="minorAscii" w:hAnsiTheme="minorAscii"/>
          <w:b w:val="0"/>
          <w:bCs w:val="0"/>
          <w:lang w:eastAsia="zh-CN"/>
        </w:rPr>
        <w:t xml:space="preserve"> ± SD. (</w:t>
      </w:r>
      <w:r>
        <w:rPr>
          <w:rFonts w:hint="eastAsia" w:eastAsia="宋体" w:cs="Arial" w:asciiTheme="minorAscii" w:hAnsiTheme="minorAscii"/>
          <w:b w:val="0"/>
          <w:bCs w:val="0"/>
          <w:lang w:val="en-US" w:eastAsia="zh-CN"/>
        </w:rPr>
        <w:t>C</w:t>
      </w:r>
      <w:r>
        <w:rPr>
          <w:rFonts w:hint="default" w:eastAsia="宋体" w:cs="Arial" w:asciiTheme="minorAscii" w:hAnsiTheme="minorAscii"/>
          <w:b w:val="0"/>
          <w:bCs w:val="0"/>
          <w:lang w:eastAsia="zh-CN"/>
        </w:rPr>
        <w:t>) representative histological photomicrographs of the histopathological analyses of tissue sections of the stomach, kidneys and livers</w:t>
      </w:r>
      <w:r>
        <w:rPr>
          <w:rFonts w:hint="eastAsia" w:eastAsia="宋体" w:cs="Arial" w:asciiTheme="minorAscii" w:hAnsiTheme="minorAscii"/>
          <w:b w:val="0"/>
          <w:bCs w:val="0"/>
          <w:lang w:val="en-US" w:eastAsia="zh-CN"/>
        </w:rPr>
        <w:t xml:space="preserve"> observed with 10</w:t>
      </w:r>
      <w:r>
        <w:rPr>
          <w:rFonts w:hint="default" w:ascii="Arial" w:hAnsi="Arial" w:eastAsia="宋体" w:cs="Arial"/>
          <w:b w:val="0"/>
          <w:bCs w:val="0"/>
          <w:lang w:val="en-US" w:eastAsia="zh-CN"/>
        </w:rPr>
        <w:t>×</w:t>
      </w:r>
      <w:r>
        <w:rPr>
          <w:rFonts w:hint="eastAsia" w:eastAsia="宋体" w:cs="Arial" w:asciiTheme="minorAscii" w:hAnsiTheme="minorAscii"/>
          <w:b w:val="0"/>
          <w:bCs w:val="0"/>
          <w:lang w:val="en-US" w:eastAsia="zh-CN"/>
        </w:rPr>
        <w:t>.</w:t>
      </w:r>
      <w:r>
        <w:rPr>
          <w:rFonts w:hint="eastAsia" w:eastAsia="宋体"/>
          <w:lang w:eastAsia="zh-CN"/>
        </w:rPr>
        <w:br w:type="textWrapping"/>
      </w:r>
    </w:p>
    <w:p w14:paraId="78BD4C00">
      <w:pPr>
        <w:rPr>
          <w:rFonts w:hint="default" w:eastAsia="宋体"/>
          <w:lang w:eastAsia="zh-CN"/>
        </w:rPr>
      </w:pPr>
      <w:bookmarkStart w:id="1" w:name="_GoBack"/>
      <w:bookmarkEnd w:id="1"/>
    </w:p>
    <w:p w14:paraId="4DCBA95E">
      <w:pPr>
        <w:rPr>
          <w:rFonts w:hint="default" w:eastAsia="宋体"/>
          <w:lang w:eastAsia="zh-CN"/>
        </w:rPr>
      </w:pPr>
      <w:r>
        <w:rPr>
          <w:rFonts w:hint="default" w:eastAsia="宋体"/>
          <w:lang w:eastAsia="zh-CN"/>
        </w:rPr>
        <w:drawing>
          <wp:inline distT="0" distB="0" distL="114300" distR="114300">
            <wp:extent cx="5269230" cy="6906260"/>
            <wp:effectExtent l="0" t="0" r="0" b="0"/>
            <wp:docPr id="8" name="图片 8" descr="supplementary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upplementary Figure 3"/>
                    <pic:cNvPicPr>
                      <a:picLocks noChangeAspect="1"/>
                    </pic:cNvPicPr>
                  </pic:nvPicPr>
                  <pic:blipFill>
                    <a:blip r:embed="rId6"/>
                    <a:srcRect b="5137"/>
                    <a:stretch>
                      <a:fillRect/>
                    </a:stretch>
                  </pic:blipFill>
                  <pic:spPr>
                    <a:xfrm>
                      <a:off x="0" y="0"/>
                      <a:ext cx="5269230" cy="6906260"/>
                    </a:xfrm>
                    <a:prstGeom prst="rect">
                      <a:avLst/>
                    </a:prstGeom>
                  </pic:spPr>
                </pic:pic>
              </a:graphicData>
            </a:graphic>
          </wp:inline>
        </w:drawing>
      </w:r>
    </w:p>
    <w:p w14:paraId="1BEC77D3">
      <w:pPr>
        <w:rPr>
          <w:rFonts w:hint="default" w:eastAsia="宋体"/>
          <w:lang w:eastAsia="zh-CN"/>
        </w:rPr>
      </w:pPr>
      <w:r>
        <w:rPr>
          <w:rFonts w:hint="default" w:eastAsia="宋体"/>
          <w:b/>
          <w:bCs/>
          <w:lang w:eastAsia="zh-CN"/>
        </w:rPr>
        <w:t xml:space="preserve">Supplementary Figure </w:t>
      </w:r>
      <w:r>
        <w:rPr>
          <w:rFonts w:hint="eastAsia" w:eastAsia="宋体"/>
          <w:b/>
          <w:bCs/>
          <w:lang w:val="en-US" w:eastAsia="zh-CN"/>
        </w:rPr>
        <w:t>3</w:t>
      </w:r>
      <w:r>
        <w:rPr>
          <w:rFonts w:hint="default" w:eastAsia="宋体"/>
          <w:b/>
          <w:bCs/>
          <w:lang w:eastAsia="zh-CN"/>
        </w:rPr>
        <w:t>:</w:t>
      </w:r>
      <w:r>
        <w:rPr>
          <w:rFonts w:hint="default" w:eastAsia="宋体"/>
          <w:lang w:eastAsia="zh-CN"/>
        </w:rPr>
        <w:t xml:space="preserve"> The full view of the SEC-HPLC UV chromatogram of 4A7and IMAB362. The antibodies were applied to HPLC after ten freeze-thaw cycles and incubation at 40</w:t>
      </w:r>
      <w:r>
        <w:rPr>
          <w:rFonts w:hint="default" w:ascii="Times New Roman" w:hAnsi="Times New Roman" w:eastAsia="宋体" w:cs="Times New Roman"/>
          <w:lang w:eastAsia="zh-CN"/>
        </w:rPr>
        <w:t>℃</w:t>
      </w:r>
      <w:r>
        <w:rPr>
          <w:rFonts w:hint="eastAsia" w:ascii="Times New Roman" w:hAnsi="Times New Roman" w:eastAsia="宋体" w:cs="Times New Roman"/>
          <w:lang w:eastAsia="zh-CN"/>
        </w:rPr>
        <w:t xml:space="preserve"> </w:t>
      </w:r>
      <w:r>
        <w:rPr>
          <w:rFonts w:hint="default" w:eastAsia="宋体"/>
          <w:lang w:eastAsia="zh-CN"/>
        </w:rPr>
        <w:t>or daylight for 7 and 14 days.</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iNmJhMmMyM2E2NzUwYjVmM2U1YzVkYmZkMWYwODMifQ=="/>
  </w:docVars>
  <w:rsids>
    <w:rsidRoot w:val="05CA0D06"/>
    <w:rsid w:val="02E77F1A"/>
    <w:rsid w:val="05CA0D06"/>
    <w:rsid w:val="06D96B86"/>
    <w:rsid w:val="08E60A1F"/>
    <w:rsid w:val="147D38AA"/>
    <w:rsid w:val="23152DEF"/>
    <w:rsid w:val="32454D73"/>
    <w:rsid w:val="334B0167"/>
    <w:rsid w:val="467F664E"/>
    <w:rsid w:val="53D77AC9"/>
    <w:rsid w:val="6B6712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209</Words>
  <Characters>1149</Characters>
  <Lines>0</Lines>
  <Paragraphs>0</Paragraphs>
  <TotalTime>22</TotalTime>
  <ScaleCrop>false</ScaleCrop>
  <LinksUpToDate>false</LinksUpToDate>
  <CharactersWithSpaces>1297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2024-08-19T02:56:00Z</dcterms:created>
  <dc:creator>Gloaming.</dc:creator>
  <cp:lastModifiedBy>Gloaming.</cp:lastModifiedBy>
  <dcterms:modified xsi:type="dcterms:W3CDTF">2025-01-24T06:24:01Z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8ED1AB1A8A4F4F0E98BB7D1DECF46A2A_13</vt:lpwstr>
  </property>
  <property fmtid="{D5CDD505-2E9C-101B-9397-08002B2CF9AE}" pid="4" name="KSOTemplateDocerSaveRecord">
    <vt:lpwstr>eyJoZGlkIjoiMGJiNmJhMmMyM2E2NzUwYjVmM2U1YzVkYmZkMWYwODMiLCJ1c2VySWQiOiIzNDQwNzEyNjAifQ==</vt:lpwstr>
  </property>
</Properties>
</file>