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58" w:rsidRDefault="0097010D" w:rsidP="008F455B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Supplementary Material</w:t>
      </w:r>
    </w:p>
    <w:p w:rsidR="00473CAD" w:rsidRDefault="00473CAD" w:rsidP="008F455B">
      <w:pPr>
        <w:rPr>
          <w:rFonts w:ascii="Times New Roman" w:hAnsi="Times New Roman" w:cs="Times New Roman"/>
          <w:b/>
          <w:sz w:val="36"/>
          <w:szCs w:val="24"/>
        </w:rPr>
      </w:pPr>
    </w:p>
    <w:p w:rsidR="008F455B" w:rsidRPr="00D22563" w:rsidRDefault="00D22563" w:rsidP="008F455B">
      <w:pPr>
        <w:rPr>
          <w:rFonts w:ascii="Times New Roman" w:hAnsi="Times New Roman" w:cs="Times New Roman"/>
          <w:b/>
          <w:sz w:val="24"/>
          <w:szCs w:val="24"/>
        </w:rPr>
      </w:pPr>
      <w:r w:rsidRPr="00D22563">
        <w:rPr>
          <w:rFonts w:ascii="Times New Roman" w:hAnsi="Times New Roman" w:cs="Times New Roman"/>
          <w:b/>
          <w:color w:val="000000" w:themeColor="text1"/>
          <w:sz w:val="24"/>
        </w:rPr>
        <w:t>Association of Uric Acid, High-Sensitivity C-Reactive Protein, and 90-Day Risk of Poor Function Outcome in Patients With Ischemic Stroke or Transient Ischemic Attacks</w:t>
      </w:r>
    </w:p>
    <w:p w:rsidR="008F455B" w:rsidRPr="00473CAD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09244C" w:rsidRDefault="000B032D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09244C" w:rsidRPr="00FF0C5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S1:</w:t>
      </w:r>
      <w:r w:rsidR="0009244C" w:rsidRPr="00FF0C54">
        <w:rPr>
          <w:rFonts w:ascii="Times New Roman" w:hAnsi="Times New Roman" w:cs="Times New Roman"/>
          <w:b/>
          <w:sz w:val="24"/>
          <w:szCs w:val="24"/>
        </w:rPr>
        <w:t xml:space="preserve"> Association of each biomarker with poor functional outcome by multivariate logistic regression with restricted cubic spline (RCS).</w:t>
      </w:r>
    </w:p>
    <w:p w:rsidR="00831D92" w:rsidRPr="00FF0C54" w:rsidRDefault="00831D92" w:rsidP="008F455B">
      <w:pPr>
        <w:rPr>
          <w:rFonts w:ascii="Times New Roman" w:hAnsi="Times New Roman" w:cs="Times New Roman"/>
          <w:b/>
          <w:sz w:val="24"/>
          <w:szCs w:val="24"/>
        </w:rPr>
      </w:pPr>
    </w:p>
    <w:p w:rsidR="0009244C" w:rsidRPr="00FF0C54" w:rsidRDefault="000B032D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09244C" w:rsidRPr="00FF0C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244C" w:rsidRPr="00FF0C54">
        <w:rPr>
          <w:rFonts w:ascii="Times New Roman" w:hAnsi="Times New Roman" w:cs="Times New Roman"/>
          <w:b/>
          <w:sz w:val="24"/>
          <w:szCs w:val="24"/>
        </w:rPr>
        <w:t xml:space="preserve"> Subgroup analysis for association of uric acid (UA) with poor functional outcome in patients with high levels of high-sensitivity c-reactive protein (hs-CRP).</w:t>
      </w:r>
    </w:p>
    <w:p w:rsidR="00917576" w:rsidRPr="00FF0C54" w:rsidRDefault="00917576" w:rsidP="008F455B">
      <w:pPr>
        <w:rPr>
          <w:rFonts w:ascii="Times New Roman" w:hAnsi="Times New Roman" w:cs="Times New Roman"/>
          <w:b/>
          <w:sz w:val="24"/>
          <w:szCs w:val="24"/>
        </w:rPr>
      </w:pPr>
    </w:p>
    <w:p w:rsidR="009A6D33" w:rsidRPr="00FF0C54" w:rsidRDefault="000B032D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09244C" w:rsidRPr="00FF0C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244C" w:rsidRPr="00FF0C54">
        <w:rPr>
          <w:rFonts w:ascii="Times New Roman" w:hAnsi="Times New Roman" w:cs="Times New Roman"/>
          <w:b/>
          <w:sz w:val="24"/>
          <w:szCs w:val="24"/>
        </w:rPr>
        <w:t xml:space="preserve"> Standard mean differences plot for selected variables in the propensity score matching analysis.</w:t>
      </w:r>
    </w:p>
    <w:p w:rsidR="00917576" w:rsidRPr="00FF0C54" w:rsidRDefault="00917576" w:rsidP="008F455B">
      <w:pPr>
        <w:rPr>
          <w:rFonts w:ascii="Times New Roman" w:hAnsi="Times New Roman" w:cs="Times New Roman"/>
          <w:b/>
          <w:sz w:val="24"/>
          <w:szCs w:val="24"/>
        </w:rPr>
      </w:pPr>
    </w:p>
    <w:p w:rsidR="009A6D33" w:rsidRPr="00FF0C54" w:rsidRDefault="000B032D" w:rsidP="009A6D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D33" w:rsidRPr="00FF0C5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9A6D33" w:rsidRPr="00FF0C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A6D33" w:rsidRPr="00FF0C54">
        <w:rPr>
          <w:rFonts w:ascii="Times New Roman" w:hAnsi="Times New Roman" w:cs="Times New Roman"/>
          <w:b/>
          <w:sz w:val="24"/>
          <w:szCs w:val="24"/>
        </w:rPr>
        <w:t xml:space="preserve"> Comparison of the Variables Before and After PSM for Low Uric Acid &amp; High hsCRP Subgroup and High Uric Acid &amp; High hsCRP Subgroup.</w:t>
      </w:r>
    </w:p>
    <w:p w:rsidR="00FF0C54" w:rsidRDefault="00FF0C54" w:rsidP="008F455B">
      <w:pPr>
        <w:rPr>
          <w:rFonts w:ascii="Times New Roman" w:hAnsi="Times New Roman" w:cs="Times New Roman"/>
          <w:b/>
        </w:rPr>
      </w:pPr>
    </w:p>
    <w:p w:rsidR="00FF0C54" w:rsidRPr="008F455B" w:rsidRDefault="000B032D" w:rsidP="008F4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9E1AAB">
        <w:rPr>
          <w:rFonts w:ascii="Times New Roman" w:hAnsi="Times New Roman" w:cs="Times New Roman"/>
          <w:b/>
          <w:sz w:val="24"/>
          <w:szCs w:val="24"/>
        </w:rPr>
        <w:t>2</w:t>
      </w:r>
      <w:r w:rsidR="00284207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284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C54" w:rsidRPr="00E6351A">
        <w:rPr>
          <w:rFonts w:ascii="Times New Roman" w:hAnsi="Times New Roman" w:cs="Times New Roman"/>
          <w:b/>
          <w:sz w:val="24"/>
          <w:szCs w:val="24"/>
        </w:rPr>
        <w:t xml:space="preserve">Spearman </w:t>
      </w:r>
      <w:r w:rsidR="00FF0C54">
        <w:rPr>
          <w:rFonts w:ascii="Times New Roman" w:hAnsi="Times New Roman" w:cs="Times New Roman"/>
          <w:b/>
          <w:sz w:val="24"/>
          <w:szCs w:val="24"/>
        </w:rPr>
        <w:t>C</w:t>
      </w:r>
      <w:r w:rsidR="00FF0C54" w:rsidRPr="00E6351A">
        <w:rPr>
          <w:rFonts w:ascii="Times New Roman" w:hAnsi="Times New Roman" w:cs="Times New Roman"/>
          <w:b/>
          <w:sz w:val="24"/>
          <w:szCs w:val="24"/>
        </w:rPr>
        <w:t xml:space="preserve">orrelation </w:t>
      </w:r>
      <w:r w:rsidR="00FF0C54">
        <w:rPr>
          <w:rFonts w:ascii="Times New Roman" w:hAnsi="Times New Roman" w:cs="Times New Roman"/>
          <w:b/>
          <w:sz w:val="24"/>
          <w:szCs w:val="24"/>
        </w:rPr>
        <w:t>C</w:t>
      </w:r>
      <w:r w:rsidR="00FF0C54" w:rsidRPr="00E6351A">
        <w:rPr>
          <w:rFonts w:ascii="Times New Roman" w:hAnsi="Times New Roman" w:cs="Times New Roman"/>
          <w:b/>
          <w:sz w:val="24"/>
          <w:szCs w:val="24"/>
        </w:rPr>
        <w:t xml:space="preserve">oefficient </w:t>
      </w:r>
      <w:r w:rsidR="00FF0C54">
        <w:rPr>
          <w:rFonts w:ascii="Times New Roman" w:hAnsi="Times New Roman" w:cs="Times New Roman"/>
          <w:b/>
          <w:sz w:val="24"/>
          <w:szCs w:val="24"/>
        </w:rPr>
        <w:t>B</w:t>
      </w:r>
      <w:r w:rsidR="00FF0C54" w:rsidRPr="00E6351A">
        <w:rPr>
          <w:rFonts w:ascii="Times New Roman" w:hAnsi="Times New Roman" w:cs="Times New Roman"/>
          <w:b/>
          <w:sz w:val="24"/>
          <w:szCs w:val="24"/>
        </w:rPr>
        <w:t xml:space="preserve">etween </w:t>
      </w:r>
      <w:r w:rsidR="00FF0C54">
        <w:rPr>
          <w:rFonts w:ascii="Times New Roman" w:hAnsi="Times New Roman" w:cs="Times New Roman"/>
          <w:b/>
          <w:sz w:val="24"/>
          <w:szCs w:val="24"/>
        </w:rPr>
        <w:t>I</w:t>
      </w:r>
      <w:r w:rsidR="00FF0C54" w:rsidRPr="00E6351A">
        <w:rPr>
          <w:rFonts w:ascii="Times New Roman" w:hAnsi="Times New Roman" w:cs="Times New Roman"/>
          <w:b/>
          <w:sz w:val="24"/>
          <w:szCs w:val="24"/>
        </w:rPr>
        <w:t xml:space="preserve">nflammatory </w:t>
      </w:r>
      <w:r w:rsidR="00FF0C54">
        <w:rPr>
          <w:rFonts w:ascii="Times New Roman" w:hAnsi="Times New Roman" w:cs="Times New Roman"/>
          <w:b/>
          <w:sz w:val="24"/>
          <w:szCs w:val="24"/>
        </w:rPr>
        <w:t>B</w:t>
      </w:r>
      <w:r w:rsidR="00FF0C54" w:rsidRPr="00E6351A">
        <w:rPr>
          <w:rFonts w:ascii="Times New Roman" w:hAnsi="Times New Roman" w:cs="Times New Roman"/>
          <w:b/>
          <w:sz w:val="24"/>
          <w:szCs w:val="24"/>
        </w:rPr>
        <w:t>iomarkers</w:t>
      </w:r>
      <w:r w:rsidR="00FF0C54">
        <w:rPr>
          <w:rFonts w:ascii="Times New Roman" w:hAnsi="Times New Roman" w:cs="Times New Roman"/>
          <w:b/>
          <w:sz w:val="24"/>
          <w:szCs w:val="24"/>
        </w:rPr>
        <w:t>.</w:t>
      </w: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9E1AA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</w:p>
    <w:p w:rsidR="008F455B" w:rsidRP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  <w:r w:rsidRPr="008F45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626674" wp14:editId="670157C4">
            <wp:extent cx="5274310" cy="43357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立方样条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2FF" w:rsidRDefault="0021556A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="004A21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455B">
        <w:rPr>
          <w:rFonts w:ascii="Times New Roman" w:hAnsi="Times New Roman" w:cs="Times New Roman"/>
          <w:b/>
          <w:sz w:val="24"/>
          <w:szCs w:val="24"/>
        </w:rPr>
        <w:t>Association of each biomarker</w:t>
      </w:r>
      <w:r w:rsidR="008F455B" w:rsidRPr="008F455B">
        <w:rPr>
          <w:rFonts w:ascii="Times New Roman" w:hAnsi="Times New Roman" w:cs="Times New Roman"/>
          <w:b/>
          <w:sz w:val="24"/>
          <w:szCs w:val="24"/>
        </w:rPr>
        <w:t xml:space="preserve"> with poor functional outcome by multivariate logistic regression with restricted cubic spline</w:t>
      </w:r>
      <w:r w:rsidR="008F455B">
        <w:rPr>
          <w:rFonts w:ascii="Times New Roman" w:hAnsi="Times New Roman" w:cs="Times New Roman"/>
          <w:b/>
          <w:sz w:val="24"/>
          <w:szCs w:val="24"/>
        </w:rPr>
        <w:t xml:space="preserve"> (RCS)</w:t>
      </w:r>
      <w:r w:rsidR="008F455B" w:rsidRPr="008F455B">
        <w:rPr>
          <w:rFonts w:ascii="Times New Roman" w:hAnsi="Times New Roman" w:cs="Times New Roman"/>
          <w:b/>
          <w:sz w:val="24"/>
          <w:szCs w:val="24"/>
        </w:rPr>
        <w:t>.</w:t>
      </w:r>
      <w:r w:rsidR="008F45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52FF" w:rsidRPr="006F52FF" w:rsidRDefault="006F52FF" w:rsidP="008F455B">
      <w:pPr>
        <w:rPr>
          <w:rFonts w:ascii="Times New Roman" w:hAnsi="Times New Roman" w:cs="Times New Roman"/>
          <w:sz w:val="24"/>
          <w:szCs w:val="24"/>
        </w:rPr>
      </w:pPr>
      <w:r w:rsidRPr="006F52FF">
        <w:rPr>
          <w:rFonts w:ascii="Times New Roman" w:hAnsi="Times New Roman" w:cs="Times New Roman"/>
          <w:sz w:val="24"/>
          <w:szCs w:val="24"/>
        </w:rPr>
        <w:t>OR indicates</w:t>
      </w:r>
      <w:r>
        <w:rPr>
          <w:rFonts w:ascii="Times New Roman" w:hAnsi="Times New Roman" w:cs="Times New Roman"/>
          <w:sz w:val="24"/>
          <w:szCs w:val="24"/>
        </w:rPr>
        <w:t xml:space="preserve"> odds ratio; hsCRP, high-sensitivity C-reactive protein;</w:t>
      </w:r>
      <w:r w:rsidRPr="006F5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LDL-C, low density lipoprotein cholesterol.</w:t>
      </w:r>
    </w:p>
    <w:p w:rsidR="008F455B" w:rsidRDefault="008F455B" w:rsidP="008F455B">
      <w:pPr>
        <w:rPr>
          <w:rFonts w:ascii="Times New Roman" w:hAnsi="Times New Roman" w:cs="Times New Roman"/>
          <w:sz w:val="24"/>
          <w:szCs w:val="24"/>
        </w:rPr>
      </w:pPr>
      <w:r w:rsidRPr="008F455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55B">
        <w:rPr>
          <w:rFonts w:ascii="Times New Roman" w:hAnsi="Times New Roman" w:cs="Times New Roman"/>
          <w:sz w:val="24"/>
          <w:szCs w:val="24"/>
        </w:rPr>
        <w:t>RCS</w:t>
      </w:r>
      <w:r>
        <w:rPr>
          <w:rFonts w:ascii="Times New Roman" w:hAnsi="Times New Roman" w:cs="Times New Roman"/>
          <w:sz w:val="24"/>
          <w:szCs w:val="24"/>
        </w:rPr>
        <w:t xml:space="preserve"> was fitted to explore a dose-response relationship between a single biomarker and poor functional outcome.</w:t>
      </w:r>
      <w:r w:rsidR="006F52FF">
        <w:rPr>
          <w:rFonts w:ascii="Times New Roman" w:hAnsi="Times New Roman" w:cs="Times New Roman"/>
          <w:sz w:val="24"/>
          <w:szCs w:val="24"/>
        </w:rPr>
        <w:t xml:space="preserve"> The knots were set at 5</w:t>
      </w:r>
      <w:r w:rsidR="00D344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52FF">
        <w:rPr>
          <w:rFonts w:ascii="Times New Roman" w:hAnsi="Times New Roman" w:cs="Times New Roman"/>
          <w:sz w:val="24"/>
          <w:szCs w:val="24"/>
        </w:rPr>
        <w:t>, 50</w:t>
      </w:r>
      <w:r w:rsidR="006F52FF" w:rsidRPr="006F52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52FF">
        <w:rPr>
          <w:rFonts w:ascii="Times New Roman" w:hAnsi="Times New Roman" w:cs="Times New Roman"/>
          <w:sz w:val="24"/>
          <w:szCs w:val="24"/>
        </w:rPr>
        <w:t>, and 90</w:t>
      </w:r>
      <w:r w:rsidR="006F52FF" w:rsidRPr="006F52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52F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F52FF">
        <w:rPr>
          <w:rFonts w:ascii="Times New Roman" w:hAnsi="Times New Roman" w:cs="Times New Roman"/>
          <w:sz w:val="24"/>
          <w:szCs w:val="24"/>
        </w:rPr>
        <w:t xml:space="preserve">percentiles and the reference values (OR=1) were set at the median of each metal concentrations. </w:t>
      </w:r>
      <w:r w:rsidR="00C2179A">
        <w:rPr>
          <w:rFonts w:ascii="Times New Roman" w:hAnsi="Times New Roman" w:cs="Times New Roman"/>
          <w:sz w:val="24"/>
          <w:szCs w:val="24"/>
        </w:rPr>
        <w:t xml:space="preserve">The red line indicates adjusted OR, and the dashed lines indicate 95%CI. </w:t>
      </w:r>
      <w:r w:rsidR="006F52FF">
        <w:rPr>
          <w:rFonts w:ascii="Times New Roman" w:hAnsi="Times New Roman" w:cs="Times New Roman"/>
          <w:sz w:val="24"/>
          <w:szCs w:val="24"/>
        </w:rPr>
        <w:t xml:space="preserve">The dose-response relationship was considered to be nonlinear if “Non-linear association </w:t>
      </w:r>
      <w:r w:rsidR="006F52FF" w:rsidRPr="006F52FF">
        <w:rPr>
          <w:rFonts w:ascii="Times New Roman" w:hAnsi="Times New Roman" w:cs="Times New Roman"/>
          <w:i/>
          <w:sz w:val="24"/>
          <w:szCs w:val="24"/>
        </w:rPr>
        <w:t>P</w:t>
      </w:r>
      <w:r w:rsidR="006F52FF">
        <w:rPr>
          <w:rFonts w:ascii="Times New Roman" w:hAnsi="Times New Roman" w:cs="Times New Roman"/>
          <w:sz w:val="24"/>
          <w:szCs w:val="24"/>
        </w:rPr>
        <w:t>&lt;0.05”.</w:t>
      </w:r>
    </w:p>
    <w:p w:rsidR="00917576" w:rsidRDefault="00917576" w:rsidP="008F455B">
      <w:pPr>
        <w:rPr>
          <w:rFonts w:ascii="Times New Roman" w:hAnsi="Times New Roman" w:cs="Times New Roman"/>
          <w:sz w:val="24"/>
          <w:szCs w:val="24"/>
        </w:rPr>
      </w:pPr>
    </w:p>
    <w:p w:rsidR="000D5CF0" w:rsidRDefault="000D5CF0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</w:rPr>
        <w:lastRenderedPageBreak/>
        <w:drawing>
          <wp:inline distT="0" distB="0" distL="0" distR="0">
            <wp:extent cx="5274310" cy="63766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亚组分析森林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CF0" w:rsidRDefault="0021556A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A216A">
        <w:rPr>
          <w:rFonts w:ascii="Times New Roman" w:hAnsi="Times New Roman" w:cs="Times New Roman"/>
          <w:b/>
          <w:sz w:val="24"/>
          <w:szCs w:val="24"/>
        </w:rPr>
        <w:t>2:</w:t>
      </w:r>
      <w:r w:rsidR="000D5C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00B">
        <w:rPr>
          <w:rFonts w:ascii="Times New Roman" w:hAnsi="Times New Roman" w:cs="Times New Roman"/>
          <w:b/>
          <w:sz w:val="24"/>
          <w:szCs w:val="24"/>
        </w:rPr>
        <w:t xml:space="preserve">Subgroup analysis for association of uric acid (UA) with poor functional outcome in patients with high levels of high-sensitivity c-reactive protein (hs-CRP). </w:t>
      </w:r>
    </w:p>
    <w:p w:rsidR="0072600B" w:rsidRDefault="0072600B" w:rsidP="008F455B">
      <w:pPr>
        <w:rPr>
          <w:rFonts w:ascii="Times New Roman" w:hAnsi="Times New Roman" w:cs="Times New Roman"/>
          <w:sz w:val="24"/>
        </w:rPr>
      </w:pPr>
      <w:r w:rsidRPr="0072600B">
        <w:rPr>
          <w:rFonts w:ascii="Times New Roman" w:hAnsi="Times New Roman" w:cs="Times New Roman"/>
          <w:sz w:val="24"/>
          <w:szCs w:val="24"/>
        </w:rPr>
        <w:t>OR indicates</w:t>
      </w:r>
      <w:r>
        <w:rPr>
          <w:rFonts w:ascii="Times New Roman" w:hAnsi="Times New Roman" w:cs="Times New Roman"/>
          <w:sz w:val="24"/>
          <w:szCs w:val="24"/>
        </w:rPr>
        <w:t xml:space="preserve"> odds ratio; BMI, body mass index. </w:t>
      </w:r>
      <w:r>
        <w:rPr>
          <w:rFonts w:ascii="Times New Roman" w:hAnsi="Times New Roman" w:cs="Times New Roman"/>
          <w:sz w:val="24"/>
        </w:rPr>
        <w:t>Adjusted OR (95% CI) was calculated after adjusting for age, BMI, smoking, alcohol consumption, diabetes, hypertension, hyperlipidemia, total costs, total time and anti-platelet drug. BMI indicates body mass index, hsCRP, high-sensitivity C-reactive protein; LDL-C, low density lipoprotein cholesterol.</w:t>
      </w:r>
    </w:p>
    <w:p w:rsidR="00676D0F" w:rsidRDefault="00676D0F" w:rsidP="008F455B">
      <w:pPr>
        <w:rPr>
          <w:rFonts w:ascii="Times New Roman" w:hAnsi="Times New Roman" w:cs="Times New Roman"/>
          <w:sz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9E2773" wp14:editId="3F5C3F45">
            <wp:extent cx="5274310" cy="398831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D0F" w:rsidRPr="00676D0F" w:rsidRDefault="0021556A" w:rsidP="008F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FF0C5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A216A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676D0F" w:rsidRPr="00676D0F">
        <w:rPr>
          <w:rFonts w:ascii="Times New Roman" w:hAnsi="Times New Roman" w:cs="Times New Roman"/>
          <w:b/>
          <w:sz w:val="24"/>
          <w:szCs w:val="24"/>
        </w:rPr>
        <w:t xml:space="preserve">Standard mean differences plot for selected variables in the propensity score matching analysis. </w:t>
      </w: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BMI indicates body mass index; hsCRP, high-sensitivity c-reactive protein; Logit Prob Score, the logit of the propensity score (used to compute differences between pairs of observations). The plot showed that the matched observations were within the recommended limits of -0.25 and 0.25, which were indicated by the shade area. </w:t>
      </w: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</w:pPr>
    </w:p>
    <w:p w:rsidR="00676D0F" w:rsidRDefault="00676D0F" w:rsidP="008F455B">
      <w:pPr>
        <w:rPr>
          <w:rFonts w:ascii="Times New Roman" w:hAnsi="Times New Roman" w:cs="Times New Roman"/>
          <w:sz w:val="24"/>
          <w:szCs w:val="24"/>
        </w:rPr>
        <w:sectPr w:rsidR="00676D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pPr w:leftFromText="180" w:rightFromText="180" w:vertAnchor="text" w:tblpY="1"/>
        <w:tblOverlap w:val="never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1134"/>
        <w:gridCol w:w="2268"/>
        <w:gridCol w:w="2551"/>
        <w:gridCol w:w="1276"/>
      </w:tblGrid>
      <w:tr w:rsidR="00676D0F" w:rsidRPr="00E2572D" w:rsidTr="002F16F1">
        <w:tc>
          <w:tcPr>
            <w:tcW w:w="13887" w:type="dxa"/>
            <w:gridSpan w:val="7"/>
            <w:tcBorders>
              <w:bottom w:val="single" w:sz="4" w:space="0" w:color="auto"/>
            </w:tcBorders>
          </w:tcPr>
          <w:p w:rsidR="00676D0F" w:rsidRPr="0009244C" w:rsidRDefault="0021556A" w:rsidP="0021556A">
            <w:pPr>
              <w:rPr>
                <w:rFonts w:ascii="Times New Roman" w:hAnsi="Times New Roman" w:cs="Times New Roman"/>
                <w:b/>
              </w:rPr>
            </w:pPr>
            <w:r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Supplementary </w:t>
            </w:r>
            <w:r w:rsidR="00676D0F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A2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r w:rsidR="00676D0F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Comparison of the Variables Before and After PSM for Low Uric Acid &amp; High hsCRP Subgroup and High </w:t>
            </w:r>
            <w:r w:rsidR="00830E31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76D0F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ric</w:t>
            </w:r>
            <w:r w:rsidR="00830E31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="00676D0F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cid &amp; </w:t>
            </w:r>
            <w:r w:rsidR="00830E31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676D0F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igh hsCRP </w:t>
            </w:r>
            <w:r w:rsidR="00830E31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76D0F"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ubgroup.</w:t>
            </w:r>
          </w:p>
        </w:tc>
      </w:tr>
      <w:tr w:rsidR="00676D0F" w:rsidRPr="00E2572D" w:rsidTr="002F16F1">
        <w:tc>
          <w:tcPr>
            <w:tcW w:w="1980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Before PSM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6D0F" w:rsidRPr="00AF5F06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F06">
              <w:rPr>
                <w:rFonts w:ascii="Times New Roman" w:hAnsi="Times New Roman" w:cs="Times New Roman"/>
                <w:b/>
              </w:rPr>
              <w:t>After PSM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 uric acid &amp; high hsCRP subgroup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High uric acid &amp; high hsCRP  subgroup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  <w:i/>
              </w:rPr>
              <w:t>P</w:t>
            </w:r>
            <w:r w:rsidRPr="00E2572D">
              <w:rPr>
                <w:rFonts w:ascii="Times New Roman" w:hAnsi="Times New Roman" w:cs="Times New Roman"/>
                <w:b/>
              </w:rPr>
              <w:t xml:space="preserve"> value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 uric acid &amp; high hsCRP  subgroup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High uric acid &amp; high hsCRP  subgroup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  <w:i/>
              </w:rPr>
              <w:t>P</w:t>
            </w:r>
            <w:r w:rsidRPr="00E2572D">
              <w:rPr>
                <w:rFonts w:ascii="Times New Roman" w:hAnsi="Times New Roman" w:cs="Times New Roman"/>
                <w:b/>
              </w:rPr>
              <w:t xml:space="preserve"> value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AF5F06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 </w:t>
            </w:r>
            <w:r w:rsidRPr="00AF5F06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</w:rPr>
              <w:t xml:space="preserve"> Age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0.867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Median(IOR)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53</w:t>
            </w:r>
            <w:r w:rsidRPr="00E257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49</w:t>
            </w:r>
            <w:r w:rsidRPr="00E257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52</w:t>
            </w:r>
            <w:r w:rsidRPr="00E257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52</w:t>
            </w:r>
            <w:r w:rsidRPr="00E257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</w:t>
            </w:r>
            <w:r w:rsidRPr="00E2572D">
              <w:rPr>
                <w:rFonts w:ascii="Times New Roman" w:hAnsi="Times New Roman" w:cs="Times New Roman"/>
                <w:b/>
              </w:rPr>
              <w:t>Sex, n (%)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Male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Pr="00E2572D">
              <w:rPr>
                <w:rFonts w:ascii="Times New Roman" w:hAnsi="Times New Roman" w:cs="Times New Roman"/>
              </w:rPr>
              <w:t>(7</w:t>
            </w:r>
            <w:r>
              <w:rPr>
                <w:rFonts w:ascii="Times New Roman" w:hAnsi="Times New Roman" w:cs="Times New Roman"/>
              </w:rPr>
              <w:t>0.1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86.7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83.7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83.7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Female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29.9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13.3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16.3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16.3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</w:rPr>
              <w:t xml:space="preserve"> BMI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0.021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Median(IOR)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4.9</w:t>
            </w:r>
            <w:r w:rsidRPr="00E2572D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2.9</w:t>
            </w:r>
            <w:r w:rsidRPr="00E2572D">
              <w:rPr>
                <w:rFonts w:ascii="Times New Roman" w:hAnsi="Times New Roman" w:cs="Times New Roman"/>
              </w:rPr>
              <w:t>,27.</w:t>
            </w:r>
            <w:r>
              <w:rPr>
                <w:rFonts w:ascii="Times New Roman" w:hAnsi="Times New Roman" w:cs="Times New Roman"/>
              </w:rPr>
              <w:t>3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6.1</w:t>
            </w:r>
            <w:r w:rsidRPr="00E2572D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4.2</w:t>
            </w:r>
            <w:r w:rsidRPr="00E2572D">
              <w:rPr>
                <w:rFonts w:ascii="Times New Roman" w:hAnsi="Times New Roman" w:cs="Times New Roman"/>
              </w:rPr>
              <w:t>,28.</w:t>
            </w:r>
            <w:r>
              <w:rPr>
                <w:rFonts w:ascii="Times New Roman" w:hAnsi="Times New Roman" w:cs="Times New Roman"/>
              </w:rPr>
              <w:t>7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5.8</w:t>
            </w:r>
            <w:r w:rsidRPr="00E2572D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3.9</w:t>
            </w:r>
            <w:r w:rsidRPr="00E2572D">
              <w:rPr>
                <w:rFonts w:ascii="Times New Roman" w:hAnsi="Times New Roman" w:cs="Times New Roman"/>
              </w:rPr>
              <w:t>,27.</w:t>
            </w:r>
            <w:r>
              <w:rPr>
                <w:rFonts w:ascii="Times New Roman" w:hAnsi="Times New Roman" w:cs="Times New Roman"/>
              </w:rPr>
              <w:t>5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4.9</w:t>
            </w:r>
            <w:r w:rsidRPr="00E2572D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>3.4</w:t>
            </w:r>
            <w:r w:rsidRPr="00E2572D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7.2</w:t>
            </w:r>
            <w:r w:rsidRPr="00E25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</w:rPr>
              <w:t xml:space="preserve"> Smoking, n (%)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&lt;0.05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0.864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Previous 4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18.1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19.3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19.4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20.9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Never 1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45.6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29.8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31.5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E25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30.7</w:t>
            </w:r>
            <w:r w:rsidRPr="00E2572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 Current 3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33(43.0%)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56(50.9%)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190</w:t>
            </w:r>
            <w:r>
              <w:rPr>
                <w:rFonts w:ascii="Times New Roman" w:hAnsi="Times New Roman" w:cs="Times New Roman"/>
              </w:rPr>
              <w:t>(49.1%)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187</w:t>
            </w:r>
            <w:r>
              <w:rPr>
                <w:rFonts w:ascii="Times New Roman" w:hAnsi="Times New Roman" w:cs="Times New Roman"/>
              </w:rPr>
              <w:t>(48.3%)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  <w:b/>
              </w:rPr>
              <w:t xml:space="preserve"> Alcohol consumption, n (%)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0.972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Previous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55(10.1%)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54(10.7%)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44(11.4%)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42(10.9%)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Never 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247(45.6%)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168(33.4%)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136(35.1%)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136(35.1%)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 Current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240(44.3%)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281(55.9%)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207(53.5%)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209(54.0%)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  <w:b/>
              </w:rPr>
              <w:t xml:space="preserve"> Hypertension, n (%)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366(67.5%)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 (66.6%)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269(69.5%)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 (69.5%)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176(32.5%)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168(33.4%)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118(30.5%)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118(30.5%)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  <w:b/>
              </w:rPr>
              <w:lastRenderedPageBreak/>
              <w:t xml:space="preserve"> Diabetes, n (%)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173(31.9%)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105(20.9%)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93(24.0%)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93(24.0%)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369(68.1%)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398(79.1%)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294(76.0%)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294(76.0%)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  <w:b/>
              </w:rPr>
              <w:t xml:space="preserve"> Hyperlipidemia, n (%)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0.256</w:t>
            </w: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75(13.8%)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93(18.5%)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60(15.5%)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49(12.7%)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467(86.2%)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410(81.5%)</w:t>
            </w: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327(84.5%)</w:t>
            </w: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338(87.3%)</w:t>
            </w: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980" w:type="dxa"/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  <w:b/>
              </w:rPr>
            </w:pPr>
            <w:r w:rsidRPr="00E2572D">
              <w:rPr>
                <w:rFonts w:ascii="Times New Roman" w:hAnsi="Times New Roman" w:cs="Times New Roman"/>
              </w:rPr>
              <w:t xml:space="preserve"> </w:t>
            </w:r>
            <w:r w:rsidRPr="00E2572D">
              <w:rPr>
                <w:rFonts w:ascii="Times New Roman" w:hAnsi="Times New Roman" w:cs="Times New Roman"/>
                <w:b/>
              </w:rPr>
              <w:t>hsCRP</w:t>
            </w:r>
          </w:p>
        </w:tc>
        <w:tc>
          <w:tcPr>
            <w:tcW w:w="2410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268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0.158</w:t>
            </w:r>
          </w:p>
        </w:tc>
      </w:tr>
      <w:tr w:rsidR="00BF4845" w:rsidRPr="00E2572D" w:rsidTr="002F16F1">
        <w:tc>
          <w:tcPr>
            <w:tcW w:w="1980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rPr>
                <w:rFonts w:ascii="Times New Roman" w:hAnsi="Times New Roman" w:cs="Times New Roman"/>
              </w:rPr>
            </w:pPr>
            <w:r w:rsidRPr="00E2572D">
              <w:rPr>
                <w:rFonts w:ascii="Times New Roman" w:hAnsi="Times New Roman" w:cs="Times New Roman"/>
              </w:rPr>
              <w:t xml:space="preserve">  Median(IOR)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4.8(2.7,10.8)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4.3(2.4,8.7)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4.5(2.6,9.7)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4.5(27,108)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6D0F" w:rsidRPr="00E2572D" w:rsidRDefault="00676D0F" w:rsidP="00D07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45" w:rsidRPr="00E2572D" w:rsidTr="002F16F1">
        <w:tc>
          <w:tcPr>
            <w:tcW w:w="13887" w:type="dxa"/>
            <w:gridSpan w:val="7"/>
            <w:tcBorders>
              <w:top w:val="single" w:sz="4" w:space="0" w:color="auto"/>
            </w:tcBorders>
          </w:tcPr>
          <w:p w:rsidR="00BF4845" w:rsidRPr="00E2572D" w:rsidRDefault="00BF4845" w:rsidP="001F533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BMI indicates body mass index; hsCRP, high-sensitivity c-reactive protein; PSM, propensity score matching; IQR, </w:t>
            </w:r>
            <w:r>
              <w:rPr>
                <w:rFonts w:ascii="Times New Roman" w:hAnsi="Times New Roman" w:cs="Times New Roman"/>
              </w:rPr>
              <w:t>interquartile range</w:t>
            </w:r>
          </w:p>
        </w:tc>
      </w:tr>
    </w:tbl>
    <w:p w:rsidR="00C02193" w:rsidRDefault="00C02193" w:rsidP="008F455B">
      <w:pPr>
        <w:rPr>
          <w:rFonts w:ascii="Times New Roman" w:hAnsi="Times New Roman" w:cs="Times New Roman"/>
          <w:sz w:val="24"/>
          <w:szCs w:val="24"/>
        </w:rPr>
        <w:sectPr w:rsidR="00C02193" w:rsidSect="00676D0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C42EE" w:rsidRDefault="00EC42EE" w:rsidP="008F45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2571"/>
        <w:gridCol w:w="2573"/>
      </w:tblGrid>
      <w:tr w:rsidR="00E6351A" w:rsidTr="002F16F1">
        <w:trPr>
          <w:trHeight w:val="373"/>
        </w:trPr>
        <w:tc>
          <w:tcPr>
            <w:tcW w:w="8311" w:type="dxa"/>
            <w:gridSpan w:val="3"/>
            <w:tcBorders>
              <w:bottom w:val="single" w:sz="4" w:space="0" w:color="auto"/>
            </w:tcBorders>
          </w:tcPr>
          <w:p w:rsidR="00E6351A" w:rsidRPr="00E6351A" w:rsidRDefault="0021556A" w:rsidP="00E6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56A">
              <w:rPr>
                <w:rFonts w:ascii="Times New Roman" w:hAnsi="Times New Roman" w:cs="Times New Roman"/>
                <w:b/>
                <w:sz w:val="24"/>
                <w:szCs w:val="24"/>
              </w:rPr>
              <w:t>Supplementary Table S</w:t>
            </w:r>
            <w:r w:rsidR="004A2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 </w:t>
            </w:r>
            <w:bookmarkStart w:id="0" w:name="_GoBack"/>
            <w:bookmarkEnd w:id="0"/>
            <w:r w:rsidR="00E6351A" w:rsidRPr="00E6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Spearman </w:t>
            </w:r>
            <w:r w:rsidR="00E6351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6351A" w:rsidRPr="00E6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orrelation </w:t>
            </w:r>
            <w:r w:rsidR="00E6351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6351A" w:rsidRPr="00E6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oefficient </w:t>
            </w:r>
            <w:r w:rsidR="00E6351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6351A" w:rsidRPr="00E6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etween </w:t>
            </w:r>
            <w:r w:rsidR="00E6351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6351A" w:rsidRPr="00E63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nflammatory </w:t>
            </w:r>
            <w:r w:rsidR="00E6351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6351A" w:rsidRPr="00E6351A">
              <w:rPr>
                <w:rFonts w:ascii="Times New Roman" w:hAnsi="Times New Roman" w:cs="Times New Roman"/>
                <w:b/>
                <w:sz w:val="24"/>
                <w:szCs w:val="24"/>
              </w:rPr>
              <w:t>iomarkers</w:t>
            </w:r>
          </w:p>
        </w:tc>
      </w:tr>
      <w:tr w:rsidR="00E6351A" w:rsidTr="002F16F1">
        <w:trPr>
          <w:trHeight w:val="582"/>
        </w:trPr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nflammatory biomarker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LDL-C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Cys</w:t>
            </w:r>
          </w:p>
        </w:tc>
      </w:tr>
      <w:tr w:rsidR="00E6351A" w:rsidTr="002F16F1">
        <w:trPr>
          <w:trHeight w:val="277"/>
        </w:trPr>
        <w:tc>
          <w:tcPr>
            <w:tcW w:w="3167" w:type="dxa"/>
            <w:tcBorders>
              <w:top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hsCRP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E6351A" w:rsidRDefault="00E6351A" w:rsidP="00E6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.062</w:t>
            </w:r>
          </w:p>
        </w:tc>
      </w:tr>
      <w:tr w:rsidR="00E6351A" w:rsidTr="002F16F1">
        <w:trPr>
          <w:trHeight w:val="277"/>
        </w:trPr>
        <w:tc>
          <w:tcPr>
            <w:tcW w:w="3167" w:type="dxa"/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1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571" w:type="dxa"/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1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</w:tc>
      </w:tr>
      <w:tr w:rsidR="00E6351A" w:rsidTr="002F16F1">
        <w:trPr>
          <w:trHeight w:val="291"/>
        </w:trPr>
        <w:tc>
          <w:tcPr>
            <w:tcW w:w="3167" w:type="dxa"/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LDL-C</w:t>
            </w:r>
          </w:p>
        </w:tc>
        <w:tc>
          <w:tcPr>
            <w:tcW w:w="2571" w:type="dxa"/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.103</w:t>
            </w:r>
          </w:p>
        </w:tc>
      </w:tr>
      <w:tr w:rsidR="00E6351A" w:rsidTr="002F16F1">
        <w:trPr>
          <w:trHeight w:val="277"/>
        </w:trPr>
        <w:tc>
          <w:tcPr>
            <w:tcW w:w="3167" w:type="dxa"/>
            <w:tcBorders>
              <w:bottom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1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E6351A" w:rsidTr="002F16F1">
        <w:trPr>
          <w:trHeight w:val="568"/>
        </w:trPr>
        <w:tc>
          <w:tcPr>
            <w:tcW w:w="8311" w:type="dxa"/>
            <w:gridSpan w:val="3"/>
            <w:tcBorders>
              <w:top w:val="single" w:sz="4" w:space="0" w:color="auto"/>
            </w:tcBorders>
          </w:tcPr>
          <w:p w:rsidR="00E6351A" w:rsidRDefault="00E6351A" w:rsidP="008F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sCRP indicates high-sensitivity c-reactive protein, LDL-C, low-density lipoprotein cholesterol; Cys, homocysteine</w:t>
            </w:r>
          </w:p>
        </w:tc>
      </w:tr>
    </w:tbl>
    <w:p w:rsidR="00584741" w:rsidRPr="00765B34" w:rsidRDefault="00584741" w:rsidP="008F455B">
      <w:pPr>
        <w:rPr>
          <w:rFonts w:ascii="Times New Roman" w:hAnsi="Times New Roman" w:cs="Times New Roman"/>
          <w:sz w:val="24"/>
          <w:szCs w:val="24"/>
        </w:rPr>
      </w:pPr>
    </w:p>
    <w:sectPr w:rsidR="00584741" w:rsidRPr="0076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95" w:rsidRDefault="00336C95" w:rsidP="008F455B">
      <w:r>
        <w:separator/>
      </w:r>
    </w:p>
  </w:endnote>
  <w:endnote w:type="continuationSeparator" w:id="0">
    <w:p w:rsidR="00336C95" w:rsidRDefault="00336C95" w:rsidP="008F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95" w:rsidRDefault="00336C95" w:rsidP="008F455B">
      <w:r>
        <w:separator/>
      </w:r>
    </w:p>
  </w:footnote>
  <w:footnote w:type="continuationSeparator" w:id="0">
    <w:p w:rsidR="00336C95" w:rsidRDefault="00336C95" w:rsidP="008F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69"/>
    <w:rsid w:val="000015F2"/>
    <w:rsid w:val="00062669"/>
    <w:rsid w:val="0009244C"/>
    <w:rsid w:val="000B032D"/>
    <w:rsid w:val="000D5CF0"/>
    <w:rsid w:val="00163153"/>
    <w:rsid w:val="001A1C36"/>
    <w:rsid w:val="001F5337"/>
    <w:rsid w:val="0021556A"/>
    <w:rsid w:val="00284207"/>
    <w:rsid w:val="002E2ADB"/>
    <w:rsid w:val="002F16F1"/>
    <w:rsid w:val="00336C95"/>
    <w:rsid w:val="00473CAD"/>
    <w:rsid w:val="004A216A"/>
    <w:rsid w:val="00584741"/>
    <w:rsid w:val="005C5A96"/>
    <w:rsid w:val="0066354A"/>
    <w:rsid w:val="00666A6A"/>
    <w:rsid w:val="00676D0F"/>
    <w:rsid w:val="006D23BD"/>
    <w:rsid w:val="006F52FF"/>
    <w:rsid w:val="00701546"/>
    <w:rsid w:val="0072600B"/>
    <w:rsid w:val="00765B34"/>
    <w:rsid w:val="00827E59"/>
    <w:rsid w:val="00830E31"/>
    <w:rsid w:val="00831D92"/>
    <w:rsid w:val="008F455B"/>
    <w:rsid w:val="00917576"/>
    <w:rsid w:val="009305B2"/>
    <w:rsid w:val="0097010D"/>
    <w:rsid w:val="009A6D33"/>
    <w:rsid w:val="009E1AAB"/>
    <w:rsid w:val="00AB2096"/>
    <w:rsid w:val="00AB6462"/>
    <w:rsid w:val="00AD4983"/>
    <w:rsid w:val="00BA62D1"/>
    <w:rsid w:val="00BE1E28"/>
    <w:rsid w:val="00BF3C4A"/>
    <w:rsid w:val="00BF4845"/>
    <w:rsid w:val="00C02193"/>
    <w:rsid w:val="00C2179A"/>
    <w:rsid w:val="00D144AF"/>
    <w:rsid w:val="00D22563"/>
    <w:rsid w:val="00D34478"/>
    <w:rsid w:val="00D77C56"/>
    <w:rsid w:val="00E426B4"/>
    <w:rsid w:val="00E6351A"/>
    <w:rsid w:val="00EC42EE"/>
    <w:rsid w:val="00F62A03"/>
    <w:rsid w:val="00FC0263"/>
    <w:rsid w:val="00FC1C58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70240-A324-46E6-9449-7A8F2520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55B"/>
    <w:rPr>
      <w:sz w:val="18"/>
      <w:szCs w:val="18"/>
    </w:rPr>
  </w:style>
  <w:style w:type="table" w:styleId="a5">
    <w:name w:val="Table Grid"/>
    <w:basedOn w:val="a1"/>
    <w:uiPriority w:val="39"/>
    <w:rsid w:val="00676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7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Chen</dc:creator>
  <cp:keywords/>
  <dc:description/>
  <cp:lastModifiedBy>HaoRan Chen</cp:lastModifiedBy>
  <cp:revision>33</cp:revision>
  <dcterms:created xsi:type="dcterms:W3CDTF">2023-10-04T00:53:00Z</dcterms:created>
  <dcterms:modified xsi:type="dcterms:W3CDTF">2024-10-26T08:00:00Z</dcterms:modified>
</cp:coreProperties>
</file>