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2249B3" w14:textId="77777777" w:rsidR="001D2CBE" w:rsidRPr="009A5251" w:rsidRDefault="009A5251">
      <w:pPr>
        <w:pStyle w:val="Heading1"/>
        <w:jc w:val="center"/>
        <w:rPr>
          <w:rFonts w:ascii="Times New Roman" w:hAnsi="Times New Roman" w:cs="Times New Roman"/>
          <w:sz w:val="36"/>
          <w:szCs w:val="36"/>
        </w:rPr>
      </w:pPr>
      <w:r w:rsidRPr="009A5251">
        <w:rPr>
          <w:rFonts w:ascii="Times New Roman" w:hAnsi="Times New Roman" w:cs="Times New Roman"/>
          <w:sz w:val="36"/>
          <w:szCs w:val="36"/>
        </w:rPr>
        <w:t>Appendix</w:t>
      </w:r>
    </w:p>
    <w:p w14:paraId="247207C2" w14:textId="77777777" w:rsidR="001D2CBE" w:rsidRPr="009A5251" w:rsidRDefault="009A5251">
      <w:pPr>
        <w:spacing w:line="480" w:lineRule="auto"/>
        <w:rPr>
          <w:rFonts w:ascii="Times New Roman" w:hAnsi="Times New Roman" w:cs="Times New Roman"/>
          <w:szCs w:val="21"/>
        </w:rPr>
      </w:pPr>
      <w:r w:rsidRPr="009A5251">
        <w:rPr>
          <w:rFonts w:ascii="Times New Roman" w:hAnsi="Times New Roman" w:cs="Times New Roman"/>
          <w:b/>
          <w:szCs w:val="21"/>
        </w:rPr>
        <w:t xml:space="preserve">Table S1. </w:t>
      </w:r>
      <w:r w:rsidRPr="009A5251">
        <w:rPr>
          <w:rFonts w:ascii="Times New Roman" w:hAnsi="Times New Roman" w:cs="Times New Roman" w:hint="eastAsia"/>
          <w:szCs w:val="21"/>
        </w:rPr>
        <w:t>Overview</w:t>
      </w:r>
      <w:r w:rsidRPr="009A5251">
        <w:rPr>
          <w:rFonts w:ascii="Times New Roman" w:hAnsi="Times New Roman" w:cs="Times New Roman"/>
          <w:szCs w:val="21"/>
        </w:rPr>
        <w:t xml:space="preserve"> </w:t>
      </w:r>
      <w:r w:rsidRPr="009A5251">
        <w:rPr>
          <w:rFonts w:ascii="Times New Roman" w:hAnsi="Times New Roman" w:cs="Times New Roman" w:hint="eastAsia"/>
          <w:szCs w:val="21"/>
        </w:rPr>
        <w:t>of</w:t>
      </w:r>
      <w:r w:rsidRPr="009A5251">
        <w:rPr>
          <w:rFonts w:ascii="Times New Roman" w:hAnsi="Times New Roman" w:cs="Times New Roman"/>
          <w:szCs w:val="21"/>
        </w:rPr>
        <w:t xml:space="preserve"> </w:t>
      </w:r>
      <w:r w:rsidRPr="009A5251">
        <w:rPr>
          <w:rFonts w:ascii="Times New Roman" w:hAnsi="Times New Roman" w:cs="Times New Roman" w:hint="eastAsia"/>
          <w:szCs w:val="21"/>
        </w:rPr>
        <w:t>proposed</w:t>
      </w:r>
      <w:r w:rsidRPr="009A5251">
        <w:rPr>
          <w:rFonts w:ascii="Times New Roman" w:hAnsi="Times New Roman" w:cs="Times New Roman"/>
          <w:szCs w:val="21"/>
        </w:rPr>
        <w:t xml:space="preserve"> </w:t>
      </w:r>
      <w:r w:rsidRPr="009A5251">
        <w:rPr>
          <w:rFonts w:ascii="Times New Roman" w:hAnsi="Times New Roman" w:cs="Times New Roman" w:hint="eastAsia"/>
          <w:szCs w:val="21"/>
        </w:rPr>
        <w:t>measures.</w:t>
      </w:r>
    </w:p>
    <w:p w14:paraId="45A06C00" w14:textId="77777777" w:rsidR="001D2CBE" w:rsidRPr="009A5251" w:rsidRDefault="009A5251">
      <w:pPr>
        <w:spacing w:line="480" w:lineRule="auto"/>
        <w:rPr>
          <w:rFonts w:ascii="Times New Roman" w:hAnsi="Times New Roman" w:cs="Times New Roman"/>
          <w:szCs w:val="21"/>
        </w:rPr>
      </w:pPr>
      <w:r w:rsidRPr="009A5251">
        <w:rPr>
          <w:rFonts w:ascii="Times New Roman" w:hAnsi="Times New Roman" w:cs="Times New Roman"/>
          <w:b/>
          <w:szCs w:val="21"/>
        </w:rPr>
        <w:t>Table S</w:t>
      </w:r>
      <w:r w:rsidRPr="009A5251">
        <w:rPr>
          <w:rFonts w:ascii="Times New Roman" w:hAnsi="Times New Roman" w:cs="Times New Roman" w:hint="eastAsia"/>
          <w:b/>
          <w:szCs w:val="21"/>
        </w:rPr>
        <w:t>2</w:t>
      </w:r>
      <w:r w:rsidRPr="009A5251">
        <w:rPr>
          <w:rFonts w:ascii="Times New Roman" w:hAnsi="Times New Roman" w:cs="Times New Roman"/>
          <w:b/>
          <w:szCs w:val="21"/>
        </w:rPr>
        <w:t>.</w:t>
      </w:r>
      <w:r w:rsidRPr="009A5251">
        <w:rPr>
          <w:rFonts w:ascii="Times New Roman" w:hAnsi="Times New Roman" w:cs="Times New Roman"/>
          <w:szCs w:val="21"/>
        </w:rPr>
        <w:t xml:space="preserve"> Overview of </w:t>
      </w:r>
      <w:r w:rsidRPr="009A5251">
        <w:rPr>
          <w:rFonts w:ascii="Times New Roman" w:hAnsi="Times New Roman" w:cs="Times New Roman" w:hint="eastAsia"/>
          <w:szCs w:val="21"/>
        </w:rPr>
        <w:t>national</w:t>
      </w:r>
      <w:r w:rsidRPr="009A5251">
        <w:rPr>
          <w:rFonts w:ascii="Times New Roman" w:hAnsi="Times New Roman" w:cs="Times New Roman"/>
          <w:szCs w:val="21"/>
        </w:rPr>
        <w:t xml:space="preserve"> classification</w:t>
      </w:r>
      <w:r w:rsidRPr="009A5251">
        <w:rPr>
          <w:rFonts w:ascii="Times New Roman" w:hAnsi="Times New Roman" w:cs="Times New Roman" w:hint="eastAsia"/>
          <w:szCs w:val="21"/>
        </w:rPr>
        <w:t xml:space="preserve"> standard.</w:t>
      </w:r>
    </w:p>
    <w:p w14:paraId="365C23A0" w14:textId="77777777" w:rsidR="001D2CBE" w:rsidRPr="009A5251" w:rsidRDefault="009A5251">
      <w:pPr>
        <w:spacing w:line="480" w:lineRule="auto"/>
        <w:rPr>
          <w:rFonts w:ascii="Times New Roman" w:hAnsi="Times New Roman" w:cs="Times New Roman"/>
          <w:szCs w:val="21"/>
        </w:rPr>
      </w:pPr>
      <w:r w:rsidRPr="009A5251">
        <w:rPr>
          <w:rFonts w:ascii="Times New Roman" w:hAnsi="Times New Roman" w:cs="Times New Roman"/>
          <w:b/>
          <w:szCs w:val="21"/>
        </w:rPr>
        <w:t>Fig. S1.</w:t>
      </w:r>
      <w:r w:rsidRPr="009A5251">
        <w:rPr>
          <w:rFonts w:ascii="Times New Roman" w:hAnsi="Times New Roman" w:cs="Times New Roman"/>
          <w:szCs w:val="21"/>
        </w:rPr>
        <w:t xml:space="preserve"> Geographic comparison diagram of </w:t>
      </w:r>
      <w:r w:rsidRPr="009A5251">
        <w:rPr>
          <w:rFonts w:ascii="Times New Roman" w:hAnsi="Times New Roman" w:cs="Times New Roman" w:hint="eastAsia"/>
          <w:szCs w:val="21"/>
        </w:rPr>
        <w:t>high temperature-sensitive health risks (</w:t>
      </w:r>
      <w:r w:rsidRPr="009A5251">
        <w:rPr>
          <w:rFonts w:ascii="Times New Roman" w:hAnsi="Times New Roman" w:cs="Times New Roman"/>
          <w:szCs w:val="21"/>
        </w:rPr>
        <w:t>HTR</w:t>
      </w:r>
      <w:r w:rsidRPr="009A5251">
        <w:rPr>
          <w:rFonts w:ascii="Times New Roman" w:hAnsi="Times New Roman" w:cs="Times New Roman" w:hint="eastAsia"/>
          <w:szCs w:val="21"/>
        </w:rPr>
        <w:t>)</w:t>
      </w:r>
      <w:r w:rsidRPr="009A5251">
        <w:rPr>
          <w:rFonts w:ascii="Times New Roman" w:hAnsi="Times New Roman" w:cs="Times New Roman"/>
          <w:szCs w:val="21"/>
        </w:rPr>
        <w:t xml:space="preserve"> aspect</w:t>
      </w:r>
      <w:r w:rsidRPr="009A5251">
        <w:rPr>
          <w:rFonts w:ascii="Times New Roman" w:hAnsi="Times New Roman" w:cs="Times New Roman" w:hint="eastAsia"/>
          <w:szCs w:val="21"/>
        </w:rPr>
        <w:t>.</w:t>
      </w:r>
    </w:p>
    <w:p w14:paraId="07CF92FC" w14:textId="77777777" w:rsidR="001D2CBE" w:rsidRPr="009A5251" w:rsidRDefault="009A5251">
      <w:pPr>
        <w:spacing w:line="480" w:lineRule="auto"/>
        <w:rPr>
          <w:rFonts w:ascii="Times New Roman" w:hAnsi="Times New Roman" w:cs="Times New Roman"/>
          <w:szCs w:val="21"/>
        </w:rPr>
      </w:pPr>
      <w:r w:rsidRPr="009A5251">
        <w:rPr>
          <w:rFonts w:ascii="Times New Roman" w:hAnsi="Times New Roman" w:cs="Times New Roman"/>
          <w:b/>
          <w:szCs w:val="21"/>
        </w:rPr>
        <w:t>Fig. S2.</w:t>
      </w:r>
      <w:r w:rsidRPr="009A5251">
        <w:rPr>
          <w:rFonts w:ascii="Times New Roman" w:hAnsi="Times New Roman" w:cs="Times New Roman"/>
          <w:szCs w:val="21"/>
        </w:rPr>
        <w:t xml:space="preserve"> Geographic comparison diagram of </w:t>
      </w:r>
      <w:r w:rsidRPr="009A5251">
        <w:rPr>
          <w:rFonts w:ascii="Times New Roman" w:hAnsi="Times New Roman" w:cs="Times New Roman" w:hint="eastAsia"/>
          <w:szCs w:val="21"/>
        </w:rPr>
        <w:t>low temperature-sensitive health exposure (</w:t>
      </w:r>
      <w:r w:rsidRPr="009A5251">
        <w:rPr>
          <w:rFonts w:ascii="Times New Roman" w:hAnsi="Times New Roman" w:cs="Times New Roman"/>
          <w:szCs w:val="21"/>
        </w:rPr>
        <w:t>LT</w:t>
      </w:r>
      <w:r w:rsidRPr="009A5251">
        <w:rPr>
          <w:rFonts w:ascii="Times New Roman" w:hAnsi="Times New Roman" w:cs="Times New Roman" w:hint="eastAsia"/>
          <w:szCs w:val="21"/>
        </w:rPr>
        <w:t>E)</w:t>
      </w:r>
      <w:r w:rsidRPr="009A5251">
        <w:rPr>
          <w:rFonts w:ascii="Times New Roman" w:hAnsi="Times New Roman" w:cs="Times New Roman"/>
          <w:szCs w:val="21"/>
        </w:rPr>
        <w:t xml:space="preserve"> aspect</w:t>
      </w:r>
      <w:r w:rsidRPr="009A5251">
        <w:rPr>
          <w:rFonts w:ascii="Times New Roman" w:hAnsi="Times New Roman" w:cs="Times New Roman" w:hint="eastAsia"/>
          <w:szCs w:val="21"/>
        </w:rPr>
        <w:t>.</w:t>
      </w:r>
    </w:p>
    <w:p w14:paraId="41468991" w14:textId="77777777" w:rsidR="001D2CBE" w:rsidRPr="009A5251" w:rsidRDefault="009A5251">
      <w:pPr>
        <w:spacing w:line="480" w:lineRule="auto"/>
        <w:rPr>
          <w:rFonts w:ascii="Times New Roman" w:hAnsi="Times New Roman" w:cs="Times New Roman"/>
          <w:szCs w:val="21"/>
        </w:rPr>
      </w:pPr>
      <w:r w:rsidRPr="009A5251">
        <w:rPr>
          <w:rFonts w:ascii="Times New Roman" w:hAnsi="Times New Roman" w:cs="Times New Roman"/>
          <w:b/>
          <w:szCs w:val="21"/>
        </w:rPr>
        <w:t>Fig. S</w:t>
      </w:r>
      <w:r w:rsidRPr="009A5251">
        <w:rPr>
          <w:rFonts w:ascii="Times New Roman" w:hAnsi="Times New Roman" w:cs="Times New Roman" w:hint="eastAsia"/>
          <w:b/>
          <w:szCs w:val="21"/>
        </w:rPr>
        <w:t>3</w:t>
      </w:r>
      <w:r w:rsidRPr="009A5251">
        <w:rPr>
          <w:rFonts w:ascii="Times New Roman" w:hAnsi="Times New Roman" w:cs="Times New Roman"/>
          <w:b/>
          <w:szCs w:val="21"/>
        </w:rPr>
        <w:t>.</w:t>
      </w:r>
      <w:r w:rsidRPr="009A5251">
        <w:rPr>
          <w:rFonts w:ascii="Times New Roman" w:hAnsi="Times New Roman" w:cs="Times New Roman" w:hint="eastAsia"/>
          <w:b/>
          <w:szCs w:val="21"/>
        </w:rPr>
        <w:t xml:space="preserve"> </w:t>
      </w:r>
      <w:r w:rsidRPr="009A5251">
        <w:rPr>
          <w:rFonts w:ascii="Times New Roman" w:hAnsi="Times New Roman" w:cs="Times New Roman"/>
          <w:szCs w:val="21"/>
        </w:rPr>
        <w:t xml:space="preserve">Geographic comparison diagram of </w:t>
      </w:r>
      <w:r w:rsidRPr="009A5251">
        <w:rPr>
          <w:rFonts w:ascii="Times New Roman" w:hAnsi="Times New Roman" w:cs="Times New Roman" w:hint="eastAsia"/>
          <w:szCs w:val="21"/>
        </w:rPr>
        <w:t>low temperature-sensitive health risks (</w:t>
      </w:r>
      <w:r w:rsidRPr="009A5251">
        <w:rPr>
          <w:rFonts w:ascii="Times New Roman" w:hAnsi="Times New Roman" w:cs="Times New Roman"/>
          <w:szCs w:val="21"/>
        </w:rPr>
        <w:t>LTR</w:t>
      </w:r>
      <w:r w:rsidRPr="009A5251">
        <w:rPr>
          <w:rFonts w:ascii="Times New Roman" w:hAnsi="Times New Roman" w:cs="Times New Roman" w:hint="eastAsia"/>
          <w:szCs w:val="21"/>
        </w:rPr>
        <w:t>)</w:t>
      </w:r>
      <w:r w:rsidRPr="009A5251">
        <w:rPr>
          <w:rFonts w:ascii="Times New Roman" w:hAnsi="Times New Roman" w:cs="Times New Roman"/>
          <w:szCs w:val="21"/>
        </w:rPr>
        <w:t xml:space="preserve"> aspect</w:t>
      </w:r>
      <w:r w:rsidRPr="009A5251">
        <w:rPr>
          <w:rFonts w:ascii="Times New Roman" w:hAnsi="Times New Roman" w:cs="Times New Roman" w:hint="eastAsia"/>
          <w:szCs w:val="21"/>
        </w:rPr>
        <w:t>.</w:t>
      </w:r>
      <w:r w:rsidRPr="009A5251">
        <w:rPr>
          <w:rFonts w:ascii="Times New Roman" w:hAnsi="Times New Roman" w:cs="Times New Roman"/>
          <w:szCs w:val="21"/>
        </w:rPr>
        <w:t xml:space="preserve"> </w:t>
      </w:r>
    </w:p>
    <w:p w14:paraId="4A18461C" w14:textId="77777777" w:rsidR="001D2CBE" w:rsidRPr="009A5251" w:rsidRDefault="009A5251">
      <w:pPr>
        <w:spacing w:line="480" w:lineRule="auto"/>
        <w:rPr>
          <w:rFonts w:ascii="Times New Roman" w:hAnsi="Times New Roman" w:cs="Times New Roman"/>
          <w:szCs w:val="21"/>
        </w:rPr>
      </w:pPr>
      <w:r w:rsidRPr="009A5251">
        <w:rPr>
          <w:rFonts w:ascii="Times New Roman" w:hAnsi="Times New Roman" w:cs="Times New Roman"/>
          <w:b/>
          <w:szCs w:val="21"/>
        </w:rPr>
        <w:t>Fig. S</w:t>
      </w:r>
      <w:r w:rsidRPr="009A5251">
        <w:rPr>
          <w:rFonts w:ascii="Times New Roman" w:hAnsi="Times New Roman" w:cs="Times New Roman" w:hint="eastAsia"/>
          <w:b/>
          <w:szCs w:val="21"/>
        </w:rPr>
        <w:t>4</w:t>
      </w:r>
      <w:r w:rsidRPr="009A5251">
        <w:rPr>
          <w:rFonts w:ascii="Times New Roman" w:hAnsi="Times New Roman" w:cs="Times New Roman"/>
          <w:b/>
          <w:szCs w:val="21"/>
        </w:rPr>
        <w:t>.</w:t>
      </w:r>
      <w:r w:rsidRPr="009A5251">
        <w:rPr>
          <w:rFonts w:ascii="Times New Roman" w:hAnsi="Times New Roman" w:cs="Times New Roman"/>
          <w:szCs w:val="21"/>
        </w:rPr>
        <w:t xml:space="preserve"> Geographic comparison diagram of </w:t>
      </w:r>
      <w:r w:rsidRPr="009A5251">
        <w:rPr>
          <w:rFonts w:ascii="Times New Roman" w:hAnsi="Times New Roman" w:cs="Times New Roman" w:hint="eastAsia"/>
          <w:szCs w:val="21"/>
        </w:rPr>
        <w:t>vulnerable factors (</w:t>
      </w:r>
      <w:r w:rsidRPr="009A5251">
        <w:rPr>
          <w:rFonts w:ascii="Times New Roman" w:hAnsi="Times New Roman" w:cs="Times New Roman"/>
          <w:szCs w:val="21"/>
        </w:rPr>
        <w:t>VF</w:t>
      </w:r>
      <w:r w:rsidRPr="009A5251">
        <w:rPr>
          <w:rFonts w:ascii="Times New Roman" w:hAnsi="Times New Roman" w:cs="Times New Roman" w:hint="eastAsia"/>
          <w:szCs w:val="21"/>
        </w:rPr>
        <w:t>)</w:t>
      </w:r>
      <w:r w:rsidRPr="009A5251">
        <w:rPr>
          <w:rFonts w:ascii="Times New Roman" w:hAnsi="Times New Roman" w:cs="Times New Roman"/>
          <w:szCs w:val="21"/>
        </w:rPr>
        <w:t xml:space="preserve"> aspect</w:t>
      </w:r>
      <w:r w:rsidRPr="009A5251">
        <w:rPr>
          <w:rFonts w:ascii="Times New Roman" w:hAnsi="Times New Roman" w:cs="Times New Roman" w:hint="eastAsia"/>
          <w:szCs w:val="21"/>
        </w:rPr>
        <w:t>.</w:t>
      </w:r>
      <w:r w:rsidRPr="009A5251">
        <w:rPr>
          <w:rFonts w:ascii="Times New Roman" w:hAnsi="Times New Roman" w:cs="Times New Roman"/>
          <w:szCs w:val="21"/>
        </w:rPr>
        <w:t xml:space="preserve"> </w:t>
      </w:r>
    </w:p>
    <w:p w14:paraId="2046701F" w14:textId="77777777" w:rsidR="001D2CBE" w:rsidRPr="009A5251" w:rsidRDefault="009A5251">
      <w:pPr>
        <w:spacing w:line="480" w:lineRule="auto"/>
        <w:rPr>
          <w:rFonts w:ascii="Times New Roman" w:hAnsi="Times New Roman" w:cs="Times New Roman"/>
          <w:szCs w:val="21"/>
        </w:rPr>
      </w:pPr>
      <w:r w:rsidRPr="009A5251">
        <w:rPr>
          <w:rFonts w:ascii="Times New Roman" w:hAnsi="Times New Roman" w:cs="Times New Roman" w:hint="eastAsia"/>
          <w:b/>
          <w:szCs w:val="21"/>
        </w:rPr>
        <w:t>Fig</w:t>
      </w:r>
      <w:r w:rsidRPr="009A5251">
        <w:rPr>
          <w:rFonts w:ascii="Times New Roman" w:hAnsi="Times New Roman" w:cs="Times New Roman"/>
          <w:b/>
          <w:szCs w:val="21"/>
        </w:rPr>
        <w:t xml:space="preserve">. </w:t>
      </w:r>
      <w:r w:rsidRPr="009A5251">
        <w:rPr>
          <w:rFonts w:ascii="Times New Roman" w:hAnsi="Times New Roman" w:cs="Times New Roman" w:hint="eastAsia"/>
          <w:b/>
          <w:szCs w:val="21"/>
        </w:rPr>
        <w:t>S5</w:t>
      </w:r>
      <w:r w:rsidRPr="009A5251">
        <w:rPr>
          <w:rFonts w:ascii="Times New Roman" w:hAnsi="Times New Roman" w:cs="Times New Roman"/>
          <w:b/>
          <w:szCs w:val="21"/>
        </w:rPr>
        <w:t xml:space="preserve">. </w:t>
      </w:r>
      <w:r w:rsidRPr="009A5251">
        <w:rPr>
          <w:rFonts w:ascii="Times New Roman" w:hAnsi="Times New Roman" w:cs="Times New Roman"/>
          <w:szCs w:val="21"/>
        </w:rPr>
        <w:t xml:space="preserve">Geographic comparison diagram </w:t>
      </w:r>
      <w:r w:rsidRPr="009A5251">
        <w:rPr>
          <w:rFonts w:ascii="Times New Roman" w:hAnsi="Times New Roman" w:cs="Times New Roman" w:hint="eastAsia"/>
          <w:szCs w:val="21"/>
        </w:rPr>
        <w:t>of</w:t>
      </w:r>
      <w:r w:rsidRPr="009A5251">
        <w:rPr>
          <w:rFonts w:ascii="Times New Roman" w:hAnsi="Times New Roman" w:cs="Times New Roman"/>
          <w:szCs w:val="21"/>
        </w:rPr>
        <w:t xml:space="preserve"> economic development in 2019</w:t>
      </w:r>
      <w:r w:rsidRPr="009A5251">
        <w:rPr>
          <w:rFonts w:ascii="Times New Roman" w:hAnsi="Times New Roman" w:cs="Times New Roman" w:hint="eastAsia"/>
          <w:szCs w:val="21"/>
        </w:rPr>
        <w:t>.</w:t>
      </w:r>
    </w:p>
    <w:p w14:paraId="494827D5" w14:textId="77777777" w:rsidR="001D2CBE" w:rsidRPr="009A5251" w:rsidRDefault="009A5251">
      <w:pPr>
        <w:spacing w:line="480" w:lineRule="auto"/>
        <w:rPr>
          <w:rFonts w:ascii="Times New Roman" w:hAnsi="Times New Roman" w:cs="Times New Roman"/>
          <w:szCs w:val="21"/>
        </w:rPr>
      </w:pPr>
      <w:r w:rsidRPr="009A5251">
        <w:rPr>
          <w:rFonts w:ascii="Times New Roman" w:hAnsi="Times New Roman" w:cs="Times New Roman" w:hint="eastAsia"/>
          <w:b/>
          <w:szCs w:val="21"/>
        </w:rPr>
        <w:t>Fig</w:t>
      </w:r>
      <w:r w:rsidRPr="009A5251">
        <w:rPr>
          <w:rFonts w:ascii="Times New Roman" w:hAnsi="Times New Roman" w:cs="Times New Roman"/>
          <w:b/>
          <w:szCs w:val="21"/>
        </w:rPr>
        <w:t xml:space="preserve">. </w:t>
      </w:r>
      <w:r w:rsidRPr="009A5251">
        <w:rPr>
          <w:rFonts w:ascii="Times New Roman" w:hAnsi="Times New Roman" w:cs="Times New Roman" w:hint="eastAsia"/>
          <w:b/>
          <w:szCs w:val="21"/>
        </w:rPr>
        <w:t>S6</w:t>
      </w:r>
      <w:r w:rsidRPr="009A5251">
        <w:rPr>
          <w:rFonts w:ascii="Times New Roman" w:hAnsi="Times New Roman" w:cs="Times New Roman"/>
          <w:b/>
          <w:szCs w:val="21"/>
        </w:rPr>
        <w:t xml:space="preserve">. </w:t>
      </w:r>
      <w:r w:rsidRPr="009A5251">
        <w:rPr>
          <w:rFonts w:ascii="Times New Roman" w:hAnsi="Times New Roman" w:cs="Times New Roman"/>
          <w:szCs w:val="21"/>
        </w:rPr>
        <w:t xml:space="preserve">Geographic comparison diagram </w:t>
      </w:r>
      <w:r w:rsidRPr="009A5251">
        <w:rPr>
          <w:rFonts w:ascii="Times New Roman" w:hAnsi="Times New Roman" w:cs="Times New Roman" w:hint="eastAsia"/>
          <w:szCs w:val="21"/>
        </w:rPr>
        <w:t>of</w:t>
      </w:r>
      <w:r w:rsidRPr="009A5251">
        <w:rPr>
          <w:rFonts w:ascii="Times New Roman" w:hAnsi="Times New Roman" w:cs="Times New Roman"/>
          <w:szCs w:val="21"/>
        </w:rPr>
        <w:t xml:space="preserve"> social aging in 2019</w:t>
      </w:r>
      <w:r w:rsidRPr="009A5251">
        <w:rPr>
          <w:rFonts w:ascii="Times New Roman" w:hAnsi="Times New Roman" w:cs="Times New Roman" w:hint="eastAsia"/>
          <w:szCs w:val="21"/>
        </w:rPr>
        <w:t>.</w:t>
      </w:r>
    </w:p>
    <w:p w14:paraId="702CF6A9" w14:textId="77777777" w:rsidR="001D2CBE" w:rsidRPr="009A5251" w:rsidRDefault="001D2CBE">
      <w:pPr>
        <w:spacing w:line="480" w:lineRule="auto"/>
        <w:rPr>
          <w:rFonts w:ascii="Times New Roman" w:hAnsi="Times New Roman" w:cs="Times New Roman"/>
          <w:szCs w:val="21"/>
        </w:rPr>
      </w:pPr>
    </w:p>
    <w:p w14:paraId="07FF9AE6" w14:textId="77777777" w:rsidR="001D2CBE" w:rsidRPr="009A5251" w:rsidRDefault="001D2CBE">
      <w:pPr>
        <w:spacing w:line="480" w:lineRule="auto"/>
        <w:rPr>
          <w:rFonts w:ascii="Times New Roman" w:hAnsi="Times New Roman" w:cs="Times New Roman"/>
          <w:szCs w:val="21"/>
        </w:rPr>
      </w:pPr>
    </w:p>
    <w:p w14:paraId="73E61370" w14:textId="77777777" w:rsidR="001D2CBE" w:rsidRPr="009A5251" w:rsidRDefault="001D2CBE">
      <w:pPr>
        <w:spacing w:line="480" w:lineRule="auto"/>
        <w:rPr>
          <w:rFonts w:ascii="Times New Roman" w:hAnsi="Times New Roman" w:cs="Times New Roman"/>
          <w:szCs w:val="21"/>
        </w:rPr>
      </w:pPr>
    </w:p>
    <w:p w14:paraId="5C849E21" w14:textId="77777777" w:rsidR="001D2CBE" w:rsidRPr="009A5251" w:rsidRDefault="001D2CBE">
      <w:pPr>
        <w:spacing w:line="480" w:lineRule="auto"/>
        <w:rPr>
          <w:rFonts w:ascii="Times New Roman" w:hAnsi="Times New Roman" w:cs="Times New Roman"/>
          <w:szCs w:val="21"/>
        </w:rPr>
      </w:pPr>
    </w:p>
    <w:p w14:paraId="66B34E4C" w14:textId="77777777" w:rsidR="001D2CBE" w:rsidRPr="009A5251" w:rsidRDefault="001D2CBE">
      <w:pPr>
        <w:spacing w:line="480" w:lineRule="auto"/>
        <w:rPr>
          <w:rFonts w:ascii="Times New Roman" w:hAnsi="Times New Roman" w:cs="Times New Roman"/>
          <w:szCs w:val="21"/>
        </w:rPr>
      </w:pPr>
    </w:p>
    <w:p w14:paraId="07CFB28C" w14:textId="77777777" w:rsidR="001D2CBE" w:rsidRPr="009A5251" w:rsidRDefault="001D2CBE">
      <w:pPr>
        <w:spacing w:line="480" w:lineRule="auto"/>
        <w:rPr>
          <w:rFonts w:ascii="Times New Roman" w:hAnsi="Times New Roman" w:cs="Times New Roman"/>
          <w:szCs w:val="21"/>
        </w:rPr>
      </w:pPr>
    </w:p>
    <w:p w14:paraId="46015EC7" w14:textId="77777777" w:rsidR="001D2CBE" w:rsidRPr="009A5251" w:rsidRDefault="001D2CBE">
      <w:pPr>
        <w:spacing w:line="480" w:lineRule="auto"/>
        <w:rPr>
          <w:rFonts w:ascii="Times New Roman" w:hAnsi="Times New Roman" w:cs="Times New Roman"/>
          <w:szCs w:val="21"/>
        </w:rPr>
      </w:pPr>
    </w:p>
    <w:p w14:paraId="3D9DE1CB" w14:textId="77777777" w:rsidR="001D2CBE" w:rsidRPr="009A5251" w:rsidRDefault="001D2CBE">
      <w:pPr>
        <w:spacing w:line="480" w:lineRule="auto"/>
        <w:rPr>
          <w:rFonts w:ascii="Times New Roman" w:hAnsi="Times New Roman" w:cs="Times New Roman"/>
          <w:szCs w:val="21"/>
        </w:rPr>
      </w:pPr>
    </w:p>
    <w:p w14:paraId="6CEBF8FE" w14:textId="77777777" w:rsidR="001D2CBE" w:rsidRPr="009A5251" w:rsidRDefault="001D2CBE">
      <w:pPr>
        <w:rPr>
          <w:rFonts w:ascii="Times New Roman" w:hAnsi="Times New Roman" w:cs="Times New Roman"/>
        </w:rPr>
      </w:pPr>
    </w:p>
    <w:p w14:paraId="33BC16B8" w14:textId="77777777" w:rsidR="001D2CBE" w:rsidRPr="009A5251" w:rsidRDefault="001D2CBE">
      <w:pPr>
        <w:rPr>
          <w:rFonts w:ascii="Times New Roman" w:hAnsi="Times New Roman" w:cs="Times New Roman"/>
        </w:rPr>
        <w:sectPr w:rsidR="001D2CBE" w:rsidRPr="009A5251">
          <w:headerReference w:type="default" r:id="rId8"/>
          <w:footerReference w:type="even" r:id="rId9"/>
          <w:footerReference w:type="default" r:id="rId10"/>
          <w:footerReference w:type="first" r:id="rId11"/>
          <w:pgSz w:w="11906" w:h="16838"/>
          <w:pgMar w:top="1440" w:right="1800" w:bottom="1440" w:left="1800" w:header="851" w:footer="992" w:gutter="0"/>
          <w:cols w:space="425"/>
          <w:docGrid w:type="lines" w:linePitch="312"/>
        </w:sectPr>
      </w:pPr>
    </w:p>
    <w:p w14:paraId="51C060CB" w14:textId="77777777" w:rsidR="001D2CBE" w:rsidRPr="009A5251" w:rsidRDefault="009A5251">
      <w:pPr>
        <w:jc w:val="center"/>
        <w:rPr>
          <w:rFonts w:ascii="Times New Roman" w:hAnsi="Times New Roman" w:cs="Times New Roman"/>
        </w:rPr>
      </w:pPr>
      <w:r w:rsidRPr="009A5251">
        <w:rPr>
          <w:rFonts w:ascii="Times New Roman" w:hAnsi="Times New Roman" w:cs="Times New Roman"/>
          <w:b/>
        </w:rPr>
        <w:lastRenderedPageBreak/>
        <w:t>Table S1.</w:t>
      </w:r>
      <w:r w:rsidRPr="009A5251">
        <w:rPr>
          <w:rFonts w:ascii="Times New Roman" w:hAnsi="Times New Roman" w:cs="Times New Roman"/>
        </w:rPr>
        <w:t xml:space="preserve"> </w:t>
      </w:r>
      <w:r w:rsidRPr="009A5251">
        <w:rPr>
          <w:rFonts w:ascii="Times New Roman" w:hAnsi="Times New Roman" w:cs="Times New Roman" w:hint="eastAsia"/>
        </w:rPr>
        <w:t>Overview</w:t>
      </w:r>
      <w:r w:rsidRPr="009A5251">
        <w:rPr>
          <w:rFonts w:ascii="Times New Roman" w:hAnsi="Times New Roman" w:cs="Times New Roman"/>
        </w:rPr>
        <w:t xml:space="preserve"> </w:t>
      </w:r>
      <w:r w:rsidRPr="009A5251">
        <w:rPr>
          <w:rFonts w:ascii="Times New Roman" w:hAnsi="Times New Roman" w:cs="Times New Roman" w:hint="eastAsia"/>
        </w:rPr>
        <w:t>of</w:t>
      </w:r>
      <w:r w:rsidRPr="009A5251">
        <w:rPr>
          <w:rFonts w:ascii="Times New Roman" w:hAnsi="Times New Roman" w:cs="Times New Roman"/>
        </w:rPr>
        <w:t xml:space="preserve"> </w:t>
      </w:r>
      <w:r w:rsidRPr="009A5251">
        <w:rPr>
          <w:rFonts w:ascii="Times New Roman" w:hAnsi="Times New Roman" w:cs="Times New Roman" w:hint="eastAsia"/>
        </w:rPr>
        <w:t>proposed</w:t>
      </w:r>
      <w:r w:rsidRPr="009A5251">
        <w:rPr>
          <w:rFonts w:ascii="Times New Roman" w:hAnsi="Times New Roman" w:cs="Times New Roman"/>
        </w:rPr>
        <w:t xml:space="preserve"> </w:t>
      </w:r>
      <w:r w:rsidRPr="009A5251">
        <w:rPr>
          <w:rFonts w:ascii="Times New Roman" w:hAnsi="Times New Roman" w:cs="Times New Roman" w:hint="eastAsia"/>
        </w:rPr>
        <w:t>measures.</w:t>
      </w:r>
    </w:p>
    <w:tbl>
      <w:tblPr>
        <w:tblW w:w="16179" w:type="dxa"/>
        <w:tblInd w:w="-1134" w:type="dxa"/>
        <w:tblLook w:val="04A0" w:firstRow="1" w:lastRow="0" w:firstColumn="1" w:lastColumn="0" w:noHBand="0" w:noVBand="1"/>
      </w:tblPr>
      <w:tblGrid>
        <w:gridCol w:w="1845"/>
        <w:gridCol w:w="872"/>
        <w:gridCol w:w="5788"/>
        <w:gridCol w:w="993"/>
        <w:gridCol w:w="4394"/>
        <w:gridCol w:w="2287"/>
      </w:tblGrid>
      <w:tr w:rsidR="001D2CBE" w:rsidRPr="009A5251" w14:paraId="68838F18" w14:textId="77777777">
        <w:trPr>
          <w:trHeight w:val="311"/>
        </w:trPr>
        <w:tc>
          <w:tcPr>
            <w:tcW w:w="1845" w:type="dxa"/>
            <w:tcBorders>
              <w:top w:val="single" w:sz="4" w:space="0" w:color="auto"/>
              <w:left w:val="nil"/>
              <w:bottom w:val="single" w:sz="4" w:space="0" w:color="auto"/>
              <w:right w:val="nil"/>
            </w:tcBorders>
            <w:shd w:val="clear" w:color="auto" w:fill="auto"/>
            <w:noWrap/>
            <w:vAlign w:val="center"/>
          </w:tcPr>
          <w:p w14:paraId="5C4E1E51" w14:textId="77777777" w:rsidR="001D2CBE" w:rsidRPr="009A5251" w:rsidRDefault="009A5251">
            <w:pPr>
              <w:widowControl/>
              <w:jc w:val="left"/>
              <w:rPr>
                <w:rFonts w:ascii="Times New Roman" w:eastAsia="DengXian" w:hAnsi="Times New Roman" w:cs="Times New Roman"/>
                <w:b/>
                <w:color w:val="000000"/>
                <w:kern w:val="0"/>
                <w:sz w:val="18"/>
                <w:szCs w:val="18"/>
              </w:rPr>
            </w:pPr>
            <w:r w:rsidRPr="009A5251">
              <w:rPr>
                <w:rFonts w:ascii="Times New Roman" w:eastAsia="DengXian" w:hAnsi="Times New Roman" w:cs="Times New Roman"/>
                <w:b/>
                <w:color w:val="000000"/>
                <w:kern w:val="0"/>
                <w:sz w:val="18"/>
                <w:szCs w:val="18"/>
              </w:rPr>
              <w:t>Database</w:t>
            </w:r>
          </w:p>
        </w:tc>
        <w:tc>
          <w:tcPr>
            <w:tcW w:w="6660" w:type="dxa"/>
            <w:gridSpan w:val="2"/>
            <w:tcBorders>
              <w:top w:val="single" w:sz="4" w:space="0" w:color="auto"/>
              <w:left w:val="nil"/>
              <w:bottom w:val="single" w:sz="4" w:space="0" w:color="auto"/>
              <w:right w:val="nil"/>
            </w:tcBorders>
            <w:shd w:val="clear" w:color="auto" w:fill="auto"/>
            <w:noWrap/>
            <w:vAlign w:val="center"/>
          </w:tcPr>
          <w:p w14:paraId="3BEDE9B6" w14:textId="77777777" w:rsidR="001D2CBE" w:rsidRPr="009A5251" w:rsidRDefault="009A5251">
            <w:pPr>
              <w:widowControl/>
              <w:jc w:val="left"/>
              <w:rPr>
                <w:rFonts w:ascii="Times New Roman" w:eastAsia="DengXian" w:hAnsi="Times New Roman" w:cs="Times New Roman"/>
                <w:b/>
                <w:color w:val="000000"/>
                <w:kern w:val="0"/>
                <w:sz w:val="18"/>
                <w:szCs w:val="18"/>
              </w:rPr>
            </w:pPr>
            <w:r w:rsidRPr="009A5251">
              <w:rPr>
                <w:rFonts w:ascii="Times New Roman" w:eastAsia="DengXian" w:hAnsi="Times New Roman" w:cs="Times New Roman"/>
                <w:b/>
                <w:color w:val="000000"/>
                <w:kern w:val="0"/>
                <w:sz w:val="18"/>
                <w:szCs w:val="18"/>
              </w:rPr>
              <w:t>Indicators</w:t>
            </w:r>
          </w:p>
        </w:tc>
        <w:tc>
          <w:tcPr>
            <w:tcW w:w="993" w:type="dxa"/>
            <w:tcBorders>
              <w:top w:val="single" w:sz="4" w:space="0" w:color="auto"/>
              <w:left w:val="nil"/>
              <w:bottom w:val="single" w:sz="4" w:space="0" w:color="auto"/>
              <w:right w:val="nil"/>
            </w:tcBorders>
            <w:shd w:val="clear" w:color="auto" w:fill="auto"/>
            <w:noWrap/>
            <w:vAlign w:val="center"/>
          </w:tcPr>
          <w:p w14:paraId="312BAE41" w14:textId="77777777" w:rsidR="001D2CBE" w:rsidRPr="009A5251" w:rsidRDefault="009A5251">
            <w:pPr>
              <w:widowControl/>
              <w:jc w:val="left"/>
              <w:rPr>
                <w:rFonts w:ascii="Times New Roman" w:eastAsia="DengXian" w:hAnsi="Times New Roman" w:cs="Times New Roman"/>
                <w:b/>
                <w:color w:val="000000"/>
                <w:kern w:val="0"/>
                <w:sz w:val="18"/>
                <w:szCs w:val="18"/>
              </w:rPr>
            </w:pPr>
            <w:r w:rsidRPr="009A5251">
              <w:rPr>
                <w:rFonts w:ascii="Times New Roman" w:eastAsia="DengXian" w:hAnsi="Times New Roman" w:cs="Times New Roman" w:hint="eastAsia"/>
                <w:b/>
                <w:color w:val="000000"/>
                <w:kern w:val="0"/>
                <w:sz w:val="18"/>
                <w:szCs w:val="18"/>
              </w:rPr>
              <w:t>Feature</w:t>
            </w:r>
          </w:p>
        </w:tc>
        <w:tc>
          <w:tcPr>
            <w:tcW w:w="4394" w:type="dxa"/>
            <w:tcBorders>
              <w:top w:val="single" w:sz="4" w:space="0" w:color="auto"/>
              <w:left w:val="nil"/>
              <w:bottom w:val="single" w:sz="4" w:space="0" w:color="auto"/>
              <w:right w:val="nil"/>
            </w:tcBorders>
            <w:shd w:val="clear" w:color="auto" w:fill="auto"/>
            <w:noWrap/>
            <w:vAlign w:val="center"/>
          </w:tcPr>
          <w:p w14:paraId="73C8C3DC" w14:textId="77777777" w:rsidR="001D2CBE" w:rsidRPr="009A5251" w:rsidRDefault="009A5251">
            <w:pPr>
              <w:widowControl/>
              <w:rPr>
                <w:rFonts w:ascii="Times New Roman" w:eastAsia="DengXian" w:hAnsi="Times New Roman" w:cs="Times New Roman"/>
                <w:b/>
                <w:color w:val="000000"/>
                <w:kern w:val="0"/>
                <w:sz w:val="18"/>
                <w:szCs w:val="18"/>
              </w:rPr>
            </w:pPr>
            <w:r w:rsidRPr="009A5251">
              <w:rPr>
                <w:rFonts w:ascii="Times New Roman" w:eastAsia="DengXian" w:hAnsi="Times New Roman" w:cs="Times New Roman"/>
                <w:b/>
                <w:color w:val="000000"/>
                <w:kern w:val="0"/>
                <w:sz w:val="18"/>
                <w:szCs w:val="18"/>
              </w:rPr>
              <w:t>Definition</w:t>
            </w:r>
          </w:p>
        </w:tc>
        <w:tc>
          <w:tcPr>
            <w:tcW w:w="2287" w:type="dxa"/>
            <w:tcBorders>
              <w:top w:val="single" w:sz="4" w:space="0" w:color="auto"/>
              <w:left w:val="nil"/>
              <w:bottom w:val="single" w:sz="4" w:space="0" w:color="auto"/>
              <w:right w:val="nil"/>
            </w:tcBorders>
            <w:shd w:val="clear" w:color="auto" w:fill="auto"/>
            <w:noWrap/>
            <w:vAlign w:val="center"/>
          </w:tcPr>
          <w:p w14:paraId="780EBD5D" w14:textId="77777777" w:rsidR="001D2CBE" w:rsidRPr="009A5251" w:rsidRDefault="009A5251">
            <w:pPr>
              <w:widowControl/>
              <w:rPr>
                <w:rFonts w:ascii="Times New Roman" w:eastAsia="DengXian" w:hAnsi="Times New Roman" w:cs="Times New Roman"/>
                <w:b/>
                <w:kern w:val="0"/>
                <w:sz w:val="18"/>
                <w:szCs w:val="18"/>
              </w:rPr>
            </w:pPr>
            <w:r w:rsidRPr="009A5251">
              <w:rPr>
                <w:rFonts w:ascii="Times New Roman" w:eastAsia="DengXian" w:hAnsi="Times New Roman" w:cs="Times New Roman"/>
                <w:b/>
                <w:kern w:val="0"/>
                <w:sz w:val="18"/>
                <w:szCs w:val="18"/>
              </w:rPr>
              <w:t>Website</w:t>
            </w:r>
          </w:p>
        </w:tc>
      </w:tr>
      <w:tr w:rsidR="001D2CBE" w:rsidRPr="009A5251" w14:paraId="53716377" w14:textId="77777777">
        <w:trPr>
          <w:trHeight w:val="688"/>
        </w:trPr>
        <w:tc>
          <w:tcPr>
            <w:tcW w:w="1845" w:type="dxa"/>
            <w:vMerge w:val="restart"/>
            <w:tcBorders>
              <w:top w:val="nil"/>
              <w:left w:val="nil"/>
              <w:bottom w:val="nil"/>
              <w:right w:val="nil"/>
            </w:tcBorders>
            <w:shd w:val="clear" w:color="auto" w:fill="auto"/>
            <w:vAlign w:val="center"/>
          </w:tcPr>
          <w:p w14:paraId="1A1584BB" w14:textId="77777777" w:rsidR="001D2CBE" w:rsidRPr="009A5251" w:rsidRDefault="009A5251">
            <w:pPr>
              <w:widowControl/>
              <w:jc w:val="left"/>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ERA5-HEAT; Socioeconomic Data and Applications Center Gridded Population of the World version 4; The United Nations World Population Prospects</w:t>
            </w:r>
          </w:p>
        </w:tc>
        <w:tc>
          <w:tcPr>
            <w:tcW w:w="872" w:type="dxa"/>
            <w:tcBorders>
              <w:top w:val="nil"/>
              <w:left w:val="nil"/>
              <w:bottom w:val="nil"/>
              <w:right w:val="nil"/>
            </w:tcBorders>
            <w:shd w:val="clear" w:color="auto" w:fill="auto"/>
            <w:vAlign w:val="center"/>
          </w:tcPr>
          <w:p w14:paraId="4691BAD2"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I1</w:t>
            </w:r>
          </w:p>
        </w:tc>
        <w:tc>
          <w:tcPr>
            <w:tcW w:w="5788" w:type="dxa"/>
            <w:tcBorders>
              <w:top w:val="nil"/>
              <w:left w:val="nil"/>
              <w:bottom w:val="nil"/>
              <w:right w:val="nil"/>
            </w:tcBorders>
            <w:shd w:val="clear" w:color="auto" w:fill="auto"/>
            <w:vAlign w:val="center"/>
          </w:tcPr>
          <w:p w14:paraId="5FB8EFAA"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 xml:space="preserve">Children exposure to extreme cold </w:t>
            </w:r>
            <w:r w:rsidRPr="009A5251">
              <w:rPr>
                <w:rFonts w:ascii="Times New Roman" w:eastAsia="DengXian" w:hAnsi="Times New Roman" w:cs="Times New Roman"/>
                <w:color w:val="000000"/>
                <w:kern w:val="0"/>
                <w:sz w:val="18"/>
                <w:szCs w:val="18"/>
              </w:rPr>
              <w:t>(person-days/year</w:t>
            </w:r>
            <w:r w:rsidRPr="009A5251">
              <w:rPr>
                <w:rFonts w:ascii="Times New Roman" w:eastAsia="DengXian" w:hAnsi="Times New Roman" w:cs="Times New Roman"/>
                <w:color w:val="000000"/>
                <w:kern w:val="0"/>
                <w:sz w:val="18"/>
                <w:szCs w:val="18"/>
                <w:vertAlign w:val="superscript"/>
              </w:rPr>
              <w:t>−</w:t>
            </w:r>
            <w:r w:rsidRPr="009A5251">
              <w:rPr>
                <w:rFonts w:ascii="Times New Roman" w:eastAsia="DengXian" w:hAnsi="Times New Roman" w:cs="Times New Roman"/>
                <w:color w:val="000000"/>
                <w:kern w:val="0"/>
                <w:sz w:val="18"/>
                <w:szCs w:val="18"/>
                <w:vertAlign w:val="superscript"/>
              </w:rPr>
              <w:t>1</w:t>
            </w:r>
            <w:r w:rsidRPr="009A5251">
              <w:rPr>
                <w:rFonts w:ascii="Times New Roman" w:eastAsia="DengXian" w:hAnsi="Times New Roman" w:cs="Times New Roman"/>
                <w:color w:val="000000"/>
                <w:kern w:val="0"/>
                <w:sz w:val="18"/>
                <w:szCs w:val="18"/>
              </w:rPr>
              <w:t>)</w:t>
            </w:r>
          </w:p>
        </w:tc>
        <w:tc>
          <w:tcPr>
            <w:tcW w:w="993" w:type="dxa"/>
            <w:tcBorders>
              <w:top w:val="nil"/>
              <w:left w:val="nil"/>
              <w:bottom w:val="nil"/>
              <w:right w:val="nil"/>
            </w:tcBorders>
            <w:shd w:val="clear" w:color="auto" w:fill="auto"/>
            <w:vAlign w:val="center"/>
          </w:tcPr>
          <w:p w14:paraId="54CF43BE"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val="restart"/>
            <w:tcBorders>
              <w:top w:val="nil"/>
              <w:left w:val="nil"/>
              <w:bottom w:val="nil"/>
              <w:right w:val="nil"/>
            </w:tcBorders>
            <w:shd w:val="clear" w:color="auto" w:fill="auto"/>
            <w:vAlign w:val="center"/>
          </w:tcPr>
          <w:p w14:paraId="2E66BAF3"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val="restart"/>
            <w:tcBorders>
              <w:top w:val="nil"/>
              <w:left w:val="nil"/>
              <w:bottom w:val="nil"/>
              <w:right w:val="nil"/>
            </w:tcBorders>
            <w:shd w:val="clear" w:color="auto" w:fill="auto"/>
            <w:vAlign w:val="center"/>
          </w:tcPr>
          <w:p w14:paraId="361EB779" w14:textId="77777777" w:rsidR="001D2CBE" w:rsidRPr="009A5251" w:rsidRDefault="009A5251">
            <w:pPr>
              <w:widowControl/>
              <w:wordWrap w:val="0"/>
              <w:rPr>
                <w:rFonts w:ascii="Times New Roman" w:eastAsia="DengXian" w:hAnsi="Times New Roman" w:cs="Times New Roman"/>
                <w:kern w:val="0"/>
                <w:sz w:val="16"/>
                <w:szCs w:val="16"/>
              </w:rPr>
            </w:pPr>
            <w:r w:rsidRPr="009A5251">
              <w:rPr>
                <w:rFonts w:ascii="Times New Roman" w:eastAsia="DengXian" w:hAnsi="Times New Roman" w:cs="Times New Roman"/>
                <w:kern w:val="0"/>
                <w:sz w:val="16"/>
                <w:szCs w:val="16"/>
              </w:rPr>
              <w:t xml:space="preserve">https://cds.climate.copernicus.eu/cdsapp#!/dataset/10.24381/cds.553b7518?tab=overview; https://beta.sedac.ciesin.columbia.edu/data/collection/gpw-v4; </w:t>
            </w:r>
            <w:r w:rsidRPr="009A5251">
              <w:rPr>
                <w:rFonts w:ascii="Times New Roman" w:eastAsia="DengXian" w:hAnsi="Times New Roman" w:cs="Times New Roman"/>
                <w:kern w:val="0"/>
                <w:sz w:val="16"/>
                <w:szCs w:val="16"/>
              </w:rPr>
              <w:t>https://population.un.org/wpp/Download/Standard/Population/</w:t>
            </w:r>
          </w:p>
        </w:tc>
      </w:tr>
      <w:tr w:rsidR="001D2CBE" w:rsidRPr="009A5251" w14:paraId="221B99FB" w14:textId="77777777">
        <w:trPr>
          <w:trHeight w:val="577"/>
        </w:trPr>
        <w:tc>
          <w:tcPr>
            <w:tcW w:w="1845" w:type="dxa"/>
            <w:vMerge/>
            <w:tcBorders>
              <w:top w:val="nil"/>
              <w:left w:val="nil"/>
              <w:bottom w:val="nil"/>
              <w:right w:val="nil"/>
            </w:tcBorders>
            <w:vAlign w:val="center"/>
          </w:tcPr>
          <w:p w14:paraId="4001A326"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19DCB742"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I2</w:t>
            </w:r>
          </w:p>
        </w:tc>
        <w:tc>
          <w:tcPr>
            <w:tcW w:w="5788" w:type="dxa"/>
            <w:tcBorders>
              <w:top w:val="nil"/>
              <w:left w:val="nil"/>
              <w:bottom w:val="nil"/>
              <w:right w:val="nil"/>
            </w:tcBorders>
            <w:shd w:val="clear" w:color="auto" w:fill="auto"/>
            <w:vAlign w:val="center"/>
          </w:tcPr>
          <w:p w14:paraId="436F1945"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Older population exposure to extreme cold (person-days/year</w:t>
            </w:r>
            <w:r w:rsidRPr="009A5251">
              <w:rPr>
                <w:rFonts w:ascii="Times New Roman" w:eastAsia="DengXian" w:hAnsi="Times New Roman" w:cs="Times New Roman"/>
                <w:color w:val="000000"/>
                <w:kern w:val="0"/>
                <w:sz w:val="18"/>
                <w:szCs w:val="18"/>
                <w:vertAlign w:val="superscript"/>
              </w:rPr>
              <w:t>−</w:t>
            </w:r>
            <w:r w:rsidRPr="009A5251">
              <w:rPr>
                <w:rFonts w:ascii="Times New Roman" w:eastAsia="DengXian" w:hAnsi="Times New Roman" w:cs="Times New Roman"/>
                <w:color w:val="000000"/>
                <w:kern w:val="0"/>
                <w:sz w:val="18"/>
                <w:szCs w:val="18"/>
                <w:vertAlign w:val="superscript"/>
              </w:rPr>
              <w:t>1</w:t>
            </w:r>
            <w:r w:rsidRPr="009A5251">
              <w:rPr>
                <w:rFonts w:ascii="Times New Roman" w:eastAsia="DengXian" w:hAnsi="Times New Roman" w:cs="Times New Roman"/>
                <w:color w:val="000000"/>
                <w:kern w:val="0"/>
                <w:sz w:val="18"/>
                <w:szCs w:val="18"/>
              </w:rPr>
              <w:t>)</w:t>
            </w:r>
          </w:p>
        </w:tc>
        <w:tc>
          <w:tcPr>
            <w:tcW w:w="993" w:type="dxa"/>
            <w:tcBorders>
              <w:top w:val="nil"/>
              <w:left w:val="nil"/>
              <w:bottom w:val="nil"/>
              <w:right w:val="nil"/>
            </w:tcBorders>
            <w:shd w:val="clear" w:color="auto" w:fill="auto"/>
            <w:vAlign w:val="center"/>
          </w:tcPr>
          <w:p w14:paraId="1829520C"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tcBorders>
              <w:top w:val="nil"/>
              <w:left w:val="nil"/>
              <w:bottom w:val="nil"/>
              <w:right w:val="nil"/>
            </w:tcBorders>
            <w:vAlign w:val="center"/>
          </w:tcPr>
          <w:p w14:paraId="043D5202"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3F7FBA51"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1B2A81FE" w14:textId="77777777">
        <w:trPr>
          <w:trHeight w:val="531"/>
        </w:trPr>
        <w:tc>
          <w:tcPr>
            <w:tcW w:w="1845" w:type="dxa"/>
            <w:vMerge/>
            <w:tcBorders>
              <w:top w:val="nil"/>
              <w:left w:val="nil"/>
              <w:bottom w:val="nil"/>
              <w:right w:val="nil"/>
            </w:tcBorders>
            <w:vAlign w:val="center"/>
          </w:tcPr>
          <w:p w14:paraId="17EF02E2"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474E63A1"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I3</w:t>
            </w:r>
          </w:p>
        </w:tc>
        <w:tc>
          <w:tcPr>
            <w:tcW w:w="5788" w:type="dxa"/>
            <w:tcBorders>
              <w:top w:val="nil"/>
              <w:left w:val="nil"/>
              <w:bottom w:val="nil"/>
              <w:right w:val="nil"/>
            </w:tcBorders>
            <w:shd w:val="clear" w:color="auto" w:fill="auto"/>
            <w:vAlign w:val="center"/>
          </w:tcPr>
          <w:p w14:paraId="2550F4ED"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Older population exposure to extreme heat (person-days/year</w:t>
            </w:r>
            <w:r w:rsidRPr="009A5251">
              <w:rPr>
                <w:rFonts w:ascii="Times New Roman" w:eastAsia="DengXian" w:hAnsi="Times New Roman" w:cs="Times New Roman"/>
                <w:color w:val="000000"/>
                <w:kern w:val="0"/>
                <w:sz w:val="18"/>
                <w:szCs w:val="18"/>
                <w:vertAlign w:val="superscript"/>
              </w:rPr>
              <w:t>−</w:t>
            </w:r>
            <w:r w:rsidRPr="009A5251">
              <w:rPr>
                <w:rFonts w:ascii="Times New Roman" w:eastAsia="DengXian" w:hAnsi="Times New Roman" w:cs="Times New Roman"/>
                <w:color w:val="000000"/>
                <w:kern w:val="0"/>
                <w:sz w:val="18"/>
                <w:szCs w:val="18"/>
                <w:vertAlign w:val="superscript"/>
              </w:rPr>
              <w:t>1</w:t>
            </w:r>
            <w:r w:rsidRPr="009A5251">
              <w:rPr>
                <w:rFonts w:ascii="Times New Roman" w:eastAsia="DengXian" w:hAnsi="Times New Roman" w:cs="Times New Roman"/>
                <w:color w:val="000000"/>
                <w:kern w:val="0"/>
                <w:sz w:val="18"/>
                <w:szCs w:val="18"/>
              </w:rPr>
              <w:t>)</w:t>
            </w:r>
          </w:p>
        </w:tc>
        <w:tc>
          <w:tcPr>
            <w:tcW w:w="993" w:type="dxa"/>
            <w:tcBorders>
              <w:top w:val="nil"/>
              <w:left w:val="nil"/>
              <w:bottom w:val="nil"/>
              <w:right w:val="nil"/>
            </w:tcBorders>
            <w:shd w:val="clear" w:color="auto" w:fill="auto"/>
            <w:vAlign w:val="center"/>
          </w:tcPr>
          <w:p w14:paraId="2DD0EEFB"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tcBorders>
              <w:top w:val="nil"/>
              <w:left w:val="nil"/>
              <w:bottom w:val="nil"/>
              <w:right w:val="nil"/>
            </w:tcBorders>
            <w:vAlign w:val="center"/>
          </w:tcPr>
          <w:p w14:paraId="436CE694"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43D69BF9"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04F4EFB9" w14:textId="77777777">
        <w:trPr>
          <w:trHeight w:val="547"/>
        </w:trPr>
        <w:tc>
          <w:tcPr>
            <w:tcW w:w="1845" w:type="dxa"/>
            <w:vMerge/>
            <w:tcBorders>
              <w:top w:val="nil"/>
              <w:left w:val="nil"/>
              <w:bottom w:val="nil"/>
              <w:right w:val="nil"/>
            </w:tcBorders>
            <w:vAlign w:val="center"/>
          </w:tcPr>
          <w:p w14:paraId="48C99B47"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7956E0DC"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I4</w:t>
            </w:r>
          </w:p>
        </w:tc>
        <w:tc>
          <w:tcPr>
            <w:tcW w:w="5788" w:type="dxa"/>
            <w:tcBorders>
              <w:top w:val="nil"/>
              <w:left w:val="nil"/>
              <w:bottom w:val="nil"/>
              <w:right w:val="nil"/>
            </w:tcBorders>
            <w:shd w:val="clear" w:color="auto" w:fill="auto"/>
            <w:vAlign w:val="center"/>
          </w:tcPr>
          <w:p w14:paraId="14FD519C"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 xml:space="preserve">Children exposure to </w:t>
            </w:r>
            <w:r w:rsidRPr="009A5251">
              <w:rPr>
                <w:rFonts w:ascii="Times New Roman" w:eastAsia="DengXian" w:hAnsi="Times New Roman" w:cs="Times New Roman"/>
                <w:color w:val="000000"/>
                <w:kern w:val="0"/>
                <w:sz w:val="18"/>
                <w:szCs w:val="18"/>
              </w:rPr>
              <w:t>extreme heat (person-days/year</w:t>
            </w:r>
            <w:r w:rsidRPr="009A5251">
              <w:rPr>
                <w:rFonts w:ascii="Times New Roman" w:eastAsia="DengXian" w:hAnsi="Times New Roman" w:cs="Times New Roman"/>
                <w:color w:val="000000"/>
                <w:kern w:val="0"/>
                <w:sz w:val="18"/>
                <w:szCs w:val="18"/>
                <w:vertAlign w:val="superscript"/>
              </w:rPr>
              <w:t>−</w:t>
            </w:r>
            <w:r w:rsidRPr="009A5251">
              <w:rPr>
                <w:rFonts w:ascii="Times New Roman" w:eastAsia="DengXian" w:hAnsi="Times New Roman" w:cs="Times New Roman"/>
                <w:color w:val="000000"/>
                <w:kern w:val="0"/>
                <w:sz w:val="18"/>
                <w:szCs w:val="18"/>
                <w:vertAlign w:val="superscript"/>
              </w:rPr>
              <w:t>1</w:t>
            </w:r>
            <w:r w:rsidRPr="009A5251">
              <w:rPr>
                <w:rFonts w:ascii="Times New Roman" w:eastAsia="DengXian" w:hAnsi="Times New Roman" w:cs="Times New Roman"/>
                <w:color w:val="000000"/>
                <w:kern w:val="0"/>
                <w:sz w:val="18"/>
                <w:szCs w:val="18"/>
              </w:rPr>
              <w:t>)</w:t>
            </w:r>
          </w:p>
        </w:tc>
        <w:tc>
          <w:tcPr>
            <w:tcW w:w="993" w:type="dxa"/>
            <w:tcBorders>
              <w:top w:val="nil"/>
              <w:left w:val="nil"/>
              <w:bottom w:val="nil"/>
              <w:right w:val="nil"/>
            </w:tcBorders>
            <w:shd w:val="clear" w:color="auto" w:fill="auto"/>
            <w:vAlign w:val="center"/>
          </w:tcPr>
          <w:p w14:paraId="5530808C"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tcBorders>
              <w:top w:val="nil"/>
              <w:left w:val="nil"/>
              <w:bottom w:val="nil"/>
              <w:right w:val="nil"/>
            </w:tcBorders>
            <w:vAlign w:val="center"/>
          </w:tcPr>
          <w:p w14:paraId="40C06183"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2F69B296"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77148D5F" w14:textId="77777777">
        <w:trPr>
          <w:trHeight w:val="567"/>
        </w:trPr>
        <w:tc>
          <w:tcPr>
            <w:tcW w:w="1845" w:type="dxa"/>
            <w:vMerge w:val="restart"/>
            <w:tcBorders>
              <w:top w:val="nil"/>
              <w:left w:val="nil"/>
              <w:bottom w:val="nil"/>
              <w:right w:val="nil"/>
            </w:tcBorders>
            <w:shd w:val="clear" w:color="auto" w:fill="auto"/>
            <w:vAlign w:val="center"/>
          </w:tcPr>
          <w:p w14:paraId="439D4DC5" w14:textId="77777777" w:rsidR="001D2CBE" w:rsidRPr="009A5251" w:rsidRDefault="009A5251">
            <w:pPr>
              <w:widowControl/>
              <w:jc w:val="left"/>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The Climate Change Knowledge Portal of the World Bank</w:t>
            </w:r>
          </w:p>
        </w:tc>
        <w:tc>
          <w:tcPr>
            <w:tcW w:w="872" w:type="dxa"/>
            <w:tcBorders>
              <w:top w:val="nil"/>
              <w:left w:val="nil"/>
              <w:bottom w:val="nil"/>
              <w:right w:val="nil"/>
            </w:tcBorders>
            <w:shd w:val="clear" w:color="auto" w:fill="auto"/>
            <w:vAlign w:val="center"/>
          </w:tcPr>
          <w:p w14:paraId="04BD55F0"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I5</w:t>
            </w:r>
          </w:p>
        </w:tc>
        <w:tc>
          <w:tcPr>
            <w:tcW w:w="5788" w:type="dxa"/>
            <w:tcBorders>
              <w:top w:val="nil"/>
              <w:left w:val="nil"/>
              <w:bottom w:val="nil"/>
              <w:right w:val="nil"/>
            </w:tcBorders>
            <w:shd w:val="clear" w:color="auto" w:fill="auto"/>
            <w:noWrap/>
            <w:vAlign w:val="center"/>
          </w:tcPr>
          <w:p w14:paraId="6E9683B8"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Average maximum temperature (°C)</w:t>
            </w:r>
          </w:p>
        </w:tc>
        <w:tc>
          <w:tcPr>
            <w:tcW w:w="993" w:type="dxa"/>
            <w:tcBorders>
              <w:top w:val="nil"/>
              <w:left w:val="nil"/>
              <w:bottom w:val="nil"/>
              <w:right w:val="nil"/>
            </w:tcBorders>
            <w:shd w:val="clear" w:color="auto" w:fill="auto"/>
            <w:vAlign w:val="center"/>
          </w:tcPr>
          <w:p w14:paraId="1F481824"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interval</w:t>
            </w:r>
          </w:p>
        </w:tc>
        <w:tc>
          <w:tcPr>
            <w:tcW w:w="4394" w:type="dxa"/>
            <w:vMerge w:val="restart"/>
            <w:tcBorders>
              <w:top w:val="nil"/>
              <w:left w:val="nil"/>
              <w:bottom w:val="nil"/>
              <w:right w:val="nil"/>
            </w:tcBorders>
            <w:shd w:val="clear" w:color="auto" w:fill="auto"/>
            <w:vAlign w:val="center"/>
          </w:tcPr>
          <w:p w14:paraId="2BD2DEF1"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Based on the study</w:t>
            </w:r>
            <w:r w:rsidRPr="009A5251">
              <w:rPr>
                <w:rFonts w:ascii="Times New Roman" w:eastAsia="DengXian" w:hAnsi="Times New Roman" w:cs="Times New Roman" w:hint="eastAsia"/>
                <w:color w:val="000000"/>
                <w:kern w:val="0"/>
                <w:sz w:val="16"/>
                <w:szCs w:val="16"/>
              </w:rPr>
              <w:t xml:space="preserve"> </w:t>
            </w:r>
            <w:r w:rsidRPr="009A5251">
              <w:rPr>
                <w:rFonts w:ascii="Times New Roman" w:eastAsia="DengXian" w:hAnsi="Times New Roman" w:cs="Times New Roman"/>
                <w:color w:val="000000"/>
                <w:kern w:val="0"/>
                <w:sz w:val="16"/>
                <w:szCs w:val="16"/>
                <w:vertAlign w:val="superscript"/>
              </w:rPr>
              <w:fldChar w:fldCharType="begin"/>
            </w:r>
            <w:r w:rsidRPr="009A5251">
              <w:rPr>
                <w:rFonts w:ascii="Times New Roman" w:eastAsia="DengXian" w:hAnsi="Times New Roman" w:cs="Times New Roman"/>
                <w:color w:val="000000"/>
                <w:kern w:val="0"/>
                <w:sz w:val="16"/>
                <w:szCs w:val="16"/>
                <w:vertAlign w:val="superscript"/>
              </w:rPr>
              <w:instrText xml:space="preserve"> ADDIN ZOTERO_ITEM CSL_CITATION {"citationID":"mcEarqsF","properties":{"formattedCitation":"(1)","plainCitation":"(1)","dontUpdate":true,"noteIndex":0},"citationItems":[{"id":658,"uris":["http://zotero.org/users/13033046/items/IZ3H9FV3"],"itemData":{"id":658,"type":"article-journal","abstract":"Neutral temperature is the temperature at which people feel neither cool nor warm. Previous regional studies have found that neutral temperature can change with season, which can be attributed to the psychological ad</w:instrText>
            </w:r>
            <w:r w:rsidRPr="009A5251">
              <w:rPr>
                <w:rFonts w:ascii="Times New Roman" w:eastAsia="DengXian" w:hAnsi="Times New Roman" w:cs="Times New Roman"/>
                <w:color w:val="000000"/>
                <w:kern w:val="0"/>
                <w:sz w:val="16"/>
                <w:szCs w:val="16"/>
                <w:vertAlign w:val="superscript"/>
              </w:rPr>
              <w:instrText>aptation effect of people. However, few studies have examined whether the adaptation pattern can be observed across wide geographical and climatic regions. In some cases, outdoor comfort surveys cannot determine neutral temperatures because thermal sensation votes obtained do not reach neutrality. It reflects that thermal adaptation has a temperature limit, and thermal neutrality can hardly be achieved outside the limit. This study aims to establish linear models between neutral temperature and background t</w:instrText>
            </w:r>
            <w:r w:rsidRPr="009A5251">
              <w:rPr>
                <w:rFonts w:ascii="Times New Roman" w:eastAsia="DengXian" w:hAnsi="Times New Roman" w:cs="Times New Roman"/>
                <w:color w:val="000000"/>
                <w:kern w:val="0"/>
                <w:sz w:val="16"/>
                <w:szCs w:val="16"/>
                <w:vertAlign w:val="superscript"/>
              </w:rPr>
              <w:instrText>emperature (survey-period and climate normal) using neutral temperature data reported in international studies. The limit of thermal neutrality will also be determined in the best-fit model. The neutral temperature data in 19 empirical outdoor thermal comfort studies published between 2009 and 2017 were used in the linear regression models. Survey-period mean air temperature was found to be the best predictor of neutral temperature (R2 = 0.539, p = 0.007). The effect of long-term acclimatization may be less</w:instrText>
            </w:r>
            <w:r w:rsidRPr="009A5251">
              <w:rPr>
                <w:rFonts w:ascii="Times New Roman" w:eastAsia="DengXian" w:hAnsi="Times New Roman" w:cs="Times New Roman"/>
                <w:color w:val="000000"/>
                <w:kern w:val="0"/>
                <w:sz w:val="16"/>
                <w:szCs w:val="16"/>
                <w:vertAlign w:val="superscript"/>
              </w:rPr>
              <w:instrText xml:space="preserve"> important than it was previously thought because survey-period temperature can explain over a half of the variability in neutral temperature. The temperature limit of thermal neutrality was defined by the lowest and the highest neutral temperatures in the best-fit model; the limit was between 12.9 and 32.3 °C in air temperature. The findings indicate that the adaptation effect has a worldwide pattern as neutral temperature always lies closely to background air temperature.","container-title":"International</w:instrText>
            </w:r>
            <w:r w:rsidRPr="009A5251">
              <w:rPr>
                <w:rFonts w:ascii="Times New Roman" w:eastAsia="DengXian" w:hAnsi="Times New Roman" w:cs="Times New Roman"/>
                <w:color w:val="000000"/>
                <w:kern w:val="0"/>
                <w:sz w:val="16"/>
                <w:szCs w:val="16"/>
                <w:vertAlign w:val="superscript"/>
              </w:rPr>
              <w:instrText xml:space="preserve"> Journal of Climatology","DOI":"10.1002/joc.5732","ISSN":"1097-0088","issue":"14","language":"en","license":"© 2018 Royal Meteorological Society","note":"_eprint: https://onlinelibrary.wiley.com/doi/pdf/10.1002/joc.5732","page":"5037-5049","source":"Wiley Online Library","title":"Global pattern of human thermal adaptation and limit of thermal neutrality: Systematic analysis of outdoor neutral temperature","title-short":"Global pattern of human thermal adaptation and limit of thermal neutrality","volume":"38</w:instrText>
            </w:r>
            <w:r w:rsidRPr="009A5251">
              <w:rPr>
                <w:rFonts w:ascii="Times New Roman" w:eastAsia="DengXian" w:hAnsi="Times New Roman" w:cs="Times New Roman"/>
                <w:color w:val="000000"/>
                <w:kern w:val="0"/>
                <w:sz w:val="16"/>
                <w:szCs w:val="16"/>
                <w:vertAlign w:val="superscript"/>
              </w:rPr>
              <w:instrText xml:space="preserve">","author":[{"family":"Cheung","given":"Pui Kwan"},{"family":"Jim","given":"Chi Yung"}],"issued":{"date-parts":[["2018"]]}}}],"schema":"https://github.com/citation-style-language/schema/raw/master/csl-citation.json"} </w:instrText>
            </w:r>
            <w:r w:rsidRPr="009A5251">
              <w:rPr>
                <w:rFonts w:ascii="Times New Roman" w:eastAsia="DengXian" w:hAnsi="Times New Roman" w:cs="Times New Roman"/>
                <w:color w:val="000000"/>
                <w:kern w:val="0"/>
                <w:sz w:val="16"/>
                <w:szCs w:val="16"/>
                <w:vertAlign w:val="superscript"/>
              </w:rPr>
              <w:fldChar w:fldCharType="separate"/>
            </w:r>
            <w:r w:rsidRPr="009A5251">
              <w:rPr>
                <w:rFonts w:ascii="Times New Roman" w:hAnsi="Times New Roman" w:cs="Times New Roman" w:hint="eastAsia"/>
                <w:sz w:val="16"/>
                <w:vertAlign w:val="superscript"/>
              </w:rPr>
              <w:t>1</w:t>
            </w:r>
            <w:r w:rsidRPr="009A5251">
              <w:rPr>
                <w:rFonts w:ascii="Times New Roman" w:eastAsia="DengXian" w:hAnsi="Times New Roman" w:cs="Times New Roman"/>
                <w:color w:val="000000"/>
                <w:kern w:val="0"/>
                <w:sz w:val="16"/>
                <w:szCs w:val="16"/>
                <w:vertAlign w:val="superscript"/>
              </w:rPr>
              <w:fldChar w:fldCharType="end"/>
            </w:r>
            <w:r w:rsidRPr="009A5251">
              <w:rPr>
                <w:rFonts w:ascii="Times New Roman" w:eastAsia="DengXian" w:hAnsi="Times New Roman" w:cs="Times New Roman"/>
                <w:color w:val="000000"/>
                <w:kern w:val="0"/>
                <w:sz w:val="16"/>
                <w:szCs w:val="16"/>
              </w:rPr>
              <w:t>, the thermal adaptation has a temperature limit, and thermal neutrality can hardly be achieved outside the limit, which neutral temperature is the temperature at which people feel neither cool nor warm.  And the limit was between 12.9 and 32.3 °C in air temperature.</w:t>
            </w:r>
          </w:p>
        </w:tc>
        <w:tc>
          <w:tcPr>
            <w:tcW w:w="2287" w:type="dxa"/>
            <w:vMerge w:val="restart"/>
            <w:tcBorders>
              <w:top w:val="nil"/>
              <w:left w:val="nil"/>
              <w:bottom w:val="nil"/>
              <w:right w:val="nil"/>
            </w:tcBorders>
            <w:shd w:val="clear" w:color="auto" w:fill="auto"/>
            <w:vAlign w:val="center"/>
          </w:tcPr>
          <w:p w14:paraId="53BF906D" w14:textId="77777777" w:rsidR="001D2CBE" w:rsidRPr="009A5251" w:rsidRDefault="009A5251">
            <w:pPr>
              <w:widowControl/>
              <w:wordWrap w:val="0"/>
              <w:rPr>
                <w:rFonts w:ascii="Times New Roman" w:eastAsia="DengXian" w:hAnsi="Times New Roman" w:cs="Times New Roman"/>
                <w:kern w:val="0"/>
                <w:sz w:val="16"/>
                <w:szCs w:val="16"/>
              </w:rPr>
            </w:pPr>
            <w:hyperlink r:id="rId12" w:history="1">
              <w:r w:rsidRPr="009A5251">
                <w:rPr>
                  <w:rFonts w:ascii="Times New Roman" w:eastAsia="DengXian" w:hAnsi="Times New Roman" w:cs="Times New Roman"/>
                  <w:kern w:val="0"/>
                  <w:sz w:val="16"/>
                  <w:szCs w:val="16"/>
                </w:rPr>
                <w:t>https://climateknowledgeportal.worldbank.org/download-data</w:t>
              </w:r>
            </w:hyperlink>
          </w:p>
        </w:tc>
      </w:tr>
      <w:tr w:rsidR="001D2CBE" w:rsidRPr="009A5251" w14:paraId="2355D54B" w14:textId="77777777">
        <w:trPr>
          <w:trHeight w:val="567"/>
        </w:trPr>
        <w:tc>
          <w:tcPr>
            <w:tcW w:w="1845" w:type="dxa"/>
            <w:vMerge/>
            <w:tcBorders>
              <w:top w:val="nil"/>
              <w:left w:val="nil"/>
              <w:bottom w:val="nil"/>
              <w:right w:val="nil"/>
            </w:tcBorders>
            <w:vAlign w:val="center"/>
          </w:tcPr>
          <w:p w14:paraId="6A80654D"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5ABB3B79"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I6</w:t>
            </w:r>
          </w:p>
        </w:tc>
        <w:tc>
          <w:tcPr>
            <w:tcW w:w="5788" w:type="dxa"/>
            <w:tcBorders>
              <w:top w:val="nil"/>
              <w:left w:val="nil"/>
              <w:bottom w:val="nil"/>
              <w:right w:val="nil"/>
            </w:tcBorders>
            <w:shd w:val="clear" w:color="auto" w:fill="auto"/>
            <w:noWrap/>
            <w:vAlign w:val="center"/>
          </w:tcPr>
          <w:p w14:paraId="5BE57E80"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Average mean temperature (°C)</w:t>
            </w:r>
          </w:p>
        </w:tc>
        <w:tc>
          <w:tcPr>
            <w:tcW w:w="993" w:type="dxa"/>
            <w:tcBorders>
              <w:top w:val="nil"/>
              <w:left w:val="nil"/>
              <w:bottom w:val="nil"/>
              <w:right w:val="nil"/>
            </w:tcBorders>
            <w:shd w:val="clear" w:color="auto" w:fill="auto"/>
            <w:vAlign w:val="center"/>
          </w:tcPr>
          <w:p w14:paraId="0E32E3C6"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interval</w:t>
            </w:r>
          </w:p>
        </w:tc>
        <w:tc>
          <w:tcPr>
            <w:tcW w:w="4394" w:type="dxa"/>
            <w:vMerge/>
            <w:tcBorders>
              <w:top w:val="nil"/>
              <w:left w:val="nil"/>
              <w:bottom w:val="nil"/>
              <w:right w:val="nil"/>
            </w:tcBorders>
            <w:vAlign w:val="center"/>
          </w:tcPr>
          <w:p w14:paraId="5158CC4A"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56A216E9"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95BF146" w14:textId="77777777">
        <w:trPr>
          <w:trHeight w:val="567"/>
        </w:trPr>
        <w:tc>
          <w:tcPr>
            <w:tcW w:w="1845" w:type="dxa"/>
            <w:vMerge/>
            <w:tcBorders>
              <w:top w:val="nil"/>
              <w:left w:val="nil"/>
              <w:bottom w:val="nil"/>
              <w:right w:val="nil"/>
            </w:tcBorders>
            <w:vAlign w:val="center"/>
          </w:tcPr>
          <w:p w14:paraId="2EE46042"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0A4D9ECB"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I7</w:t>
            </w:r>
          </w:p>
        </w:tc>
        <w:tc>
          <w:tcPr>
            <w:tcW w:w="5788" w:type="dxa"/>
            <w:tcBorders>
              <w:top w:val="nil"/>
              <w:left w:val="nil"/>
              <w:bottom w:val="nil"/>
              <w:right w:val="nil"/>
            </w:tcBorders>
            <w:shd w:val="clear" w:color="auto" w:fill="auto"/>
            <w:noWrap/>
            <w:vAlign w:val="center"/>
          </w:tcPr>
          <w:p w14:paraId="5ED18AEA"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Average minimum temperature (°C)</w:t>
            </w:r>
          </w:p>
        </w:tc>
        <w:tc>
          <w:tcPr>
            <w:tcW w:w="993" w:type="dxa"/>
            <w:tcBorders>
              <w:top w:val="nil"/>
              <w:left w:val="nil"/>
              <w:bottom w:val="nil"/>
              <w:right w:val="nil"/>
            </w:tcBorders>
            <w:shd w:val="clear" w:color="auto" w:fill="auto"/>
            <w:vAlign w:val="center"/>
          </w:tcPr>
          <w:p w14:paraId="27CB238D"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interval</w:t>
            </w:r>
          </w:p>
        </w:tc>
        <w:tc>
          <w:tcPr>
            <w:tcW w:w="4394" w:type="dxa"/>
            <w:vMerge/>
            <w:tcBorders>
              <w:top w:val="nil"/>
              <w:left w:val="nil"/>
              <w:bottom w:val="nil"/>
              <w:right w:val="nil"/>
            </w:tcBorders>
            <w:vAlign w:val="center"/>
          </w:tcPr>
          <w:p w14:paraId="371FAB52"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54FC2D1F"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11BBE3B4" w14:textId="77777777">
        <w:trPr>
          <w:trHeight w:val="500"/>
        </w:trPr>
        <w:tc>
          <w:tcPr>
            <w:tcW w:w="1845" w:type="dxa"/>
            <w:vMerge/>
            <w:tcBorders>
              <w:top w:val="nil"/>
              <w:left w:val="nil"/>
              <w:bottom w:val="nil"/>
              <w:right w:val="nil"/>
            </w:tcBorders>
            <w:vAlign w:val="center"/>
          </w:tcPr>
          <w:p w14:paraId="074403AB"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574D668D"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I8</w:t>
            </w:r>
          </w:p>
        </w:tc>
        <w:tc>
          <w:tcPr>
            <w:tcW w:w="5788" w:type="dxa"/>
            <w:tcBorders>
              <w:top w:val="nil"/>
              <w:left w:val="nil"/>
              <w:bottom w:val="nil"/>
              <w:right w:val="nil"/>
            </w:tcBorders>
            <w:shd w:val="clear" w:color="auto" w:fill="auto"/>
            <w:noWrap/>
            <w:vAlign w:val="center"/>
          </w:tcPr>
          <w:p w14:paraId="4F64083D"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Relative humidity (%)</w:t>
            </w:r>
          </w:p>
        </w:tc>
        <w:tc>
          <w:tcPr>
            <w:tcW w:w="993" w:type="dxa"/>
            <w:tcBorders>
              <w:top w:val="nil"/>
              <w:left w:val="nil"/>
              <w:bottom w:val="nil"/>
              <w:right w:val="nil"/>
            </w:tcBorders>
            <w:shd w:val="clear" w:color="auto" w:fill="auto"/>
            <w:vAlign w:val="center"/>
          </w:tcPr>
          <w:p w14:paraId="4B9CDDE8"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interval</w:t>
            </w:r>
          </w:p>
        </w:tc>
        <w:tc>
          <w:tcPr>
            <w:tcW w:w="4394" w:type="dxa"/>
            <w:tcBorders>
              <w:top w:val="nil"/>
              <w:left w:val="nil"/>
              <w:bottom w:val="nil"/>
              <w:right w:val="nil"/>
            </w:tcBorders>
            <w:shd w:val="clear" w:color="auto" w:fill="auto"/>
            <w:vAlign w:val="center"/>
          </w:tcPr>
          <w:p w14:paraId="5BF9EDA3"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The majority of adverse health effects caused by relative humidity would be minimized by maintaining indoor levels between 40 and 60%.</w:t>
            </w:r>
            <w:r w:rsidRPr="009A5251">
              <w:rPr>
                <w:rFonts w:ascii="Times New Roman" w:eastAsia="DengXian" w:hAnsi="Times New Roman" w:cs="Times New Roman" w:hint="eastAsia"/>
                <w:color w:val="000000"/>
                <w:kern w:val="0"/>
                <w:sz w:val="16"/>
                <w:szCs w:val="16"/>
              </w:rPr>
              <w:t xml:space="preserve"> </w:t>
            </w:r>
            <w:r w:rsidRPr="009A5251">
              <w:rPr>
                <w:rFonts w:ascii="Times New Roman" w:eastAsia="DengXian" w:hAnsi="Times New Roman" w:cs="Times New Roman"/>
                <w:color w:val="000000"/>
                <w:kern w:val="0"/>
                <w:sz w:val="16"/>
                <w:szCs w:val="16"/>
                <w:vertAlign w:val="superscript"/>
              </w:rPr>
              <w:fldChar w:fldCharType="begin"/>
            </w:r>
            <w:r w:rsidRPr="009A5251">
              <w:rPr>
                <w:rFonts w:ascii="Times New Roman" w:eastAsia="DengXian" w:hAnsi="Times New Roman" w:cs="Times New Roman"/>
                <w:color w:val="000000"/>
                <w:kern w:val="0"/>
                <w:sz w:val="16"/>
                <w:szCs w:val="16"/>
                <w:vertAlign w:val="superscript"/>
              </w:rPr>
              <w:instrText xml:space="preserve"> ADDIN ZOTERO_ITEM CSL_CITATION {"citationID":"j1LFz8qN","properties":{"formattedCitation":"(2)","plainCitation":"(2)","dontUpdate":true,"noteIndex":0},"citationItems":[{"id":652,"uris":["http://zotero.org/users/13033046/items/GGQKQS9K"],"itemData":{"id":652,"type":"article-journal","abstract":"A review of the health effects of relative humidity in indoor environments suggests\nthat relative humidity can affect the incidence of respiratory infections and allergies.\nExperimental studies on airborne-transmit</w:instrText>
            </w:r>
            <w:r w:rsidRPr="009A5251">
              <w:rPr>
                <w:rFonts w:ascii="Times New Roman" w:eastAsia="DengXian" w:hAnsi="Times New Roman" w:cs="Times New Roman"/>
                <w:color w:val="000000"/>
                <w:kern w:val="0"/>
                <w:sz w:val="16"/>
                <w:szCs w:val="16"/>
                <w:vertAlign w:val="superscript"/>
              </w:rPr>
              <w:instrText>ted infectious bacteria and viruses have\nshown that the survival or infectivity of these organisms is minimized by exposure\nto relative humidities between 40 and 70%. Nine epidemiological studies examined the\nrelationship between the number of respiratory infections or absenteeism and the relative\nhumidity of the office, residence, or school. The incidence of absenteeism or respiratory\ninfections was found to be lower among people working or living in environments with\nmid-range versus low or high rel</w:instrText>
            </w:r>
            <w:r w:rsidRPr="009A5251">
              <w:rPr>
                <w:rFonts w:ascii="Times New Roman" w:eastAsia="DengXian" w:hAnsi="Times New Roman" w:cs="Times New Roman"/>
                <w:color w:val="000000"/>
                <w:kern w:val="0"/>
                <w:sz w:val="16"/>
                <w:szCs w:val="16"/>
                <w:vertAlign w:val="superscript"/>
              </w:rPr>
              <w:instrText>ative humidities. The indoor size of allergenic mite\nand fungal populations is directly dependent upon the relative humidity. Mite populations\nare minimized when the relative humidity is below 50% and reach a maximum size at\n80% relative humidity. Most species of fungi cannot grow unless the relative humidity\nexceeds 60%. Relative humidity also affects the rate of offgassing of formaldehyde\nfrom indoor building materials, the rate of formation of acids and salts from sulfur\nand nitrogen dioxide, and t</w:instrText>
            </w:r>
            <w:r w:rsidRPr="009A5251">
              <w:rPr>
                <w:rFonts w:ascii="Times New Roman" w:eastAsia="DengXian" w:hAnsi="Times New Roman" w:cs="Times New Roman"/>
                <w:color w:val="000000"/>
                <w:kern w:val="0"/>
                <w:sz w:val="16"/>
                <w:szCs w:val="16"/>
                <w:vertAlign w:val="superscript"/>
              </w:rPr>
              <w:instrText>he rate of formation of ozone. The influence of relative\nhumidity on the abundance of allergens, pathogens, and noxious chemicals suggests\nthat indoor relative humidity levels should be considered as a factor of indoor air\nquality. The majority of adverse health effects caused by relative humidity would\nbe minimized by maintaining indoor levels between 40 and 60%. This would require humidification\nduring winter in areas with cold winter climates. Humidification should preferably\nuse evaporative or ste</w:instrText>
            </w:r>
            <w:r w:rsidRPr="009A5251">
              <w:rPr>
                <w:rFonts w:ascii="Times New Roman" w:eastAsia="DengXian" w:hAnsi="Times New Roman" w:cs="Times New Roman"/>
                <w:color w:val="000000"/>
                <w:kern w:val="0"/>
                <w:sz w:val="16"/>
                <w:szCs w:val="16"/>
                <w:vertAlign w:val="superscript"/>
              </w:rPr>
              <w:instrText>am humidifiers, as cool mist humidifiers can disseminate aerosols\ncontaminated with allergens.","archive_location":"world","container-title":"Environmental Health Perspectives","DOI":"10.1289/ehp.8665351","language":"EN","source":"ehp.niehs.nih.gov","title":"Indirect health effects of relative humidity in indoor environments.","URL":"https://ehp.niehs.nih.gov/doi/10.1289/ehp.8665351","author":[{"family":"Arundel","given":"A. V."},{"family":"Sterling","given":"E. M."},{"family":"Biggin","given":"J. H."},{"f</w:instrText>
            </w:r>
            <w:r w:rsidRPr="009A5251">
              <w:rPr>
                <w:rFonts w:ascii="Times New Roman" w:eastAsia="DengXian" w:hAnsi="Times New Roman" w:cs="Times New Roman"/>
                <w:color w:val="000000"/>
                <w:kern w:val="0"/>
                <w:sz w:val="16"/>
                <w:szCs w:val="16"/>
                <w:vertAlign w:val="superscript"/>
              </w:rPr>
              <w:instrText xml:space="preserve">amily":"Sterling","given":"T. D."}],"accessed":{"date-parts":[["2024",11,22]]},"issued":{"date-parts":[["1986",3]]}}}],"schema":"https://github.com/citation-style-language/schema/raw/master/csl-citation.json"} </w:instrText>
            </w:r>
            <w:r w:rsidRPr="009A5251">
              <w:rPr>
                <w:rFonts w:ascii="Times New Roman" w:eastAsia="DengXian" w:hAnsi="Times New Roman" w:cs="Times New Roman"/>
                <w:color w:val="000000"/>
                <w:kern w:val="0"/>
                <w:sz w:val="16"/>
                <w:szCs w:val="16"/>
                <w:vertAlign w:val="superscript"/>
              </w:rPr>
              <w:fldChar w:fldCharType="separate"/>
            </w:r>
            <w:r w:rsidRPr="009A5251">
              <w:rPr>
                <w:rFonts w:ascii="Times New Roman" w:hAnsi="Times New Roman" w:cs="Times New Roman" w:hint="eastAsia"/>
                <w:sz w:val="16"/>
                <w:vertAlign w:val="superscript"/>
              </w:rPr>
              <w:t>2</w:t>
            </w:r>
            <w:r w:rsidRPr="009A5251">
              <w:rPr>
                <w:rFonts w:ascii="Times New Roman" w:eastAsia="DengXian" w:hAnsi="Times New Roman" w:cs="Times New Roman"/>
                <w:color w:val="000000"/>
                <w:kern w:val="0"/>
                <w:sz w:val="16"/>
                <w:szCs w:val="16"/>
                <w:vertAlign w:val="superscript"/>
              </w:rPr>
              <w:fldChar w:fldCharType="end"/>
            </w:r>
          </w:p>
        </w:tc>
        <w:tc>
          <w:tcPr>
            <w:tcW w:w="2287" w:type="dxa"/>
            <w:vMerge/>
            <w:tcBorders>
              <w:top w:val="nil"/>
              <w:left w:val="nil"/>
              <w:bottom w:val="nil"/>
              <w:right w:val="nil"/>
            </w:tcBorders>
            <w:vAlign w:val="center"/>
          </w:tcPr>
          <w:p w14:paraId="1E1E76AF"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1E7C2E9" w14:textId="77777777">
        <w:trPr>
          <w:trHeight w:val="500"/>
        </w:trPr>
        <w:tc>
          <w:tcPr>
            <w:tcW w:w="1845" w:type="dxa"/>
            <w:vMerge/>
            <w:tcBorders>
              <w:top w:val="nil"/>
              <w:left w:val="nil"/>
              <w:bottom w:val="nil"/>
              <w:right w:val="nil"/>
            </w:tcBorders>
            <w:vAlign w:val="center"/>
          </w:tcPr>
          <w:p w14:paraId="701B38D8"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5F60A91C"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I9</w:t>
            </w:r>
          </w:p>
        </w:tc>
        <w:tc>
          <w:tcPr>
            <w:tcW w:w="5788" w:type="dxa"/>
            <w:tcBorders>
              <w:top w:val="nil"/>
              <w:left w:val="nil"/>
              <w:bottom w:val="nil"/>
              <w:right w:val="nil"/>
            </w:tcBorders>
            <w:shd w:val="clear" w:color="auto" w:fill="auto"/>
            <w:noWrap/>
            <w:vAlign w:val="center"/>
          </w:tcPr>
          <w:p w14:paraId="1A446DB7"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Cold spell duration index (days)</w:t>
            </w:r>
          </w:p>
        </w:tc>
        <w:tc>
          <w:tcPr>
            <w:tcW w:w="993" w:type="dxa"/>
            <w:tcBorders>
              <w:top w:val="nil"/>
              <w:left w:val="nil"/>
              <w:bottom w:val="nil"/>
              <w:right w:val="nil"/>
            </w:tcBorders>
            <w:shd w:val="clear" w:color="auto" w:fill="auto"/>
            <w:vAlign w:val="center"/>
          </w:tcPr>
          <w:p w14:paraId="4E31D774"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vAlign w:val="center"/>
          </w:tcPr>
          <w:p w14:paraId="69234C0A"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 xml:space="preserve">The number of days that are part of a sequence of 6 or more days in which the </w:t>
            </w:r>
            <w:r w:rsidRPr="009A5251">
              <w:rPr>
                <w:rFonts w:ascii="Times New Roman" w:eastAsia="DengXian" w:hAnsi="Times New Roman" w:cs="Times New Roman"/>
                <w:color w:val="000000"/>
                <w:kern w:val="0"/>
                <w:sz w:val="16"/>
                <w:szCs w:val="16"/>
              </w:rPr>
              <w:t>daily minimum temperature exceeds the 10th percentile of the reference period.</w:t>
            </w:r>
          </w:p>
        </w:tc>
        <w:tc>
          <w:tcPr>
            <w:tcW w:w="2287" w:type="dxa"/>
            <w:vMerge/>
            <w:tcBorders>
              <w:top w:val="nil"/>
              <w:left w:val="nil"/>
              <w:bottom w:val="nil"/>
              <w:right w:val="nil"/>
            </w:tcBorders>
            <w:vAlign w:val="center"/>
          </w:tcPr>
          <w:p w14:paraId="0A28FFBE"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8B337D3" w14:textId="77777777">
        <w:trPr>
          <w:trHeight w:val="500"/>
        </w:trPr>
        <w:tc>
          <w:tcPr>
            <w:tcW w:w="1845" w:type="dxa"/>
            <w:vMerge/>
            <w:tcBorders>
              <w:top w:val="nil"/>
              <w:left w:val="nil"/>
              <w:bottom w:val="nil"/>
              <w:right w:val="nil"/>
            </w:tcBorders>
            <w:vAlign w:val="center"/>
          </w:tcPr>
          <w:p w14:paraId="132D48E7"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4B527ABE"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I10</w:t>
            </w:r>
          </w:p>
        </w:tc>
        <w:tc>
          <w:tcPr>
            <w:tcW w:w="5788" w:type="dxa"/>
            <w:tcBorders>
              <w:top w:val="nil"/>
              <w:left w:val="nil"/>
              <w:bottom w:val="nil"/>
              <w:right w:val="nil"/>
            </w:tcBorders>
            <w:shd w:val="clear" w:color="auto" w:fill="auto"/>
            <w:noWrap/>
            <w:vAlign w:val="center"/>
          </w:tcPr>
          <w:p w14:paraId="363BA709"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Warm spell duration index (days)</w:t>
            </w:r>
          </w:p>
        </w:tc>
        <w:tc>
          <w:tcPr>
            <w:tcW w:w="993" w:type="dxa"/>
            <w:tcBorders>
              <w:top w:val="nil"/>
              <w:left w:val="nil"/>
              <w:bottom w:val="nil"/>
              <w:right w:val="nil"/>
            </w:tcBorders>
            <w:shd w:val="clear" w:color="auto" w:fill="auto"/>
            <w:vAlign w:val="center"/>
          </w:tcPr>
          <w:p w14:paraId="2983E035"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vAlign w:val="center"/>
          </w:tcPr>
          <w:p w14:paraId="433D2639"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The number of days that are part of a sequence of 6 or more days in which the daily maximum temperature exceeds the 90th percentile of the reference period.</w:t>
            </w:r>
          </w:p>
        </w:tc>
        <w:tc>
          <w:tcPr>
            <w:tcW w:w="2287" w:type="dxa"/>
            <w:vMerge/>
            <w:tcBorders>
              <w:top w:val="nil"/>
              <w:left w:val="nil"/>
              <w:bottom w:val="nil"/>
              <w:right w:val="nil"/>
            </w:tcBorders>
            <w:vAlign w:val="center"/>
          </w:tcPr>
          <w:p w14:paraId="1BF031CD"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3DCBB47E" w14:textId="77777777">
        <w:trPr>
          <w:trHeight w:val="311"/>
        </w:trPr>
        <w:tc>
          <w:tcPr>
            <w:tcW w:w="1845" w:type="dxa"/>
            <w:vMerge/>
            <w:tcBorders>
              <w:top w:val="nil"/>
              <w:left w:val="nil"/>
              <w:bottom w:val="nil"/>
              <w:right w:val="nil"/>
            </w:tcBorders>
            <w:vAlign w:val="center"/>
          </w:tcPr>
          <w:p w14:paraId="3E7175E4"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21C4764F"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I11</w:t>
            </w:r>
          </w:p>
        </w:tc>
        <w:tc>
          <w:tcPr>
            <w:tcW w:w="5788" w:type="dxa"/>
            <w:tcBorders>
              <w:top w:val="nil"/>
              <w:left w:val="nil"/>
              <w:bottom w:val="nil"/>
              <w:right w:val="nil"/>
            </w:tcBorders>
            <w:shd w:val="clear" w:color="auto" w:fill="auto"/>
            <w:vAlign w:val="center"/>
          </w:tcPr>
          <w:p w14:paraId="08FB7D4F"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Number of very hot days (Tmax&gt;35</w:t>
            </w:r>
            <w:r w:rsidRPr="009A5251">
              <w:rPr>
                <w:rFonts w:ascii="Segoe UI Symbol" w:eastAsia="DengXian" w:hAnsi="Segoe UI Symbol" w:cs="Times New Roman"/>
                <w:color w:val="000000"/>
                <w:kern w:val="0"/>
                <w:sz w:val="18"/>
                <w:szCs w:val="18"/>
              </w:rPr>
              <w:t>℃</w:t>
            </w:r>
            <w:r w:rsidRPr="009A5251">
              <w:rPr>
                <w:rFonts w:ascii="Times New Roman" w:eastAsia="DengXian" w:hAnsi="Times New Roman" w:cs="Times New Roman"/>
                <w:color w:val="000000"/>
                <w:kern w:val="0"/>
                <w:sz w:val="18"/>
                <w:szCs w:val="18"/>
              </w:rPr>
              <w:t>) (days)</w:t>
            </w:r>
          </w:p>
        </w:tc>
        <w:tc>
          <w:tcPr>
            <w:tcW w:w="993" w:type="dxa"/>
            <w:tcBorders>
              <w:top w:val="nil"/>
              <w:left w:val="nil"/>
              <w:bottom w:val="nil"/>
              <w:right w:val="nil"/>
            </w:tcBorders>
            <w:shd w:val="clear" w:color="auto" w:fill="auto"/>
            <w:vAlign w:val="center"/>
          </w:tcPr>
          <w:p w14:paraId="3302F38D"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vAlign w:val="center"/>
          </w:tcPr>
          <w:p w14:paraId="13463660"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Average count of days when the maximum temperature surpassed 35°C.</w:t>
            </w:r>
          </w:p>
        </w:tc>
        <w:tc>
          <w:tcPr>
            <w:tcW w:w="2287" w:type="dxa"/>
            <w:vMerge/>
            <w:tcBorders>
              <w:top w:val="nil"/>
              <w:left w:val="nil"/>
              <w:bottom w:val="nil"/>
              <w:right w:val="nil"/>
            </w:tcBorders>
            <w:vAlign w:val="center"/>
          </w:tcPr>
          <w:p w14:paraId="07A0C5AA"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7657C66" w14:textId="77777777">
        <w:trPr>
          <w:trHeight w:val="500"/>
        </w:trPr>
        <w:tc>
          <w:tcPr>
            <w:tcW w:w="1845" w:type="dxa"/>
            <w:vMerge/>
            <w:tcBorders>
              <w:top w:val="nil"/>
              <w:left w:val="nil"/>
              <w:bottom w:val="nil"/>
              <w:right w:val="nil"/>
            </w:tcBorders>
            <w:vAlign w:val="center"/>
          </w:tcPr>
          <w:p w14:paraId="4AD82648"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61417032"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I12</w:t>
            </w:r>
          </w:p>
        </w:tc>
        <w:tc>
          <w:tcPr>
            <w:tcW w:w="5788" w:type="dxa"/>
            <w:tcBorders>
              <w:top w:val="nil"/>
              <w:left w:val="nil"/>
              <w:bottom w:val="nil"/>
              <w:right w:val="nil"/>
            </w:tcBorders>
            <w:shd w:val="clear" w:color="auto" w:fill="auto"/>
            <w:vAlign w:val="center"/>
          </w:tcPr>
          <w:p w14:paraId="267A186A"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Number of frost days (Tmin&lt;0</w:t>
            </w:r>
            <w:r w:rsidRPr="009A5251">
              <w:rPr>
                <w:rFonts w:ascii="Segoe UI Symbol" w:eastAsia="DengXian" w:hAnsi="Segoe UI Symbol" w:cs="Times New Roman"/>
                <w:color w:val="000000"/>
                <w:kern w:val="0"/>
                <w:sz w:val="18"/>
                <w:szCs w:val="18"/>
              </w:rPr>
              <w:t>℃</w:t>
            </w:r>
            <w:r w:rsidRPr="009A5251">
              <w:rPr>
                <w:rFonts w:ascii="Times New Roman" w:eastAsia="DengXian" w:hAnsi="Times New Roman" w:cs="Times New Roman"/>
                <w:color w:val="000000"/>
                <w:kern w:val="0"/>
                <w:sz w:val="18"/>
                <w:szCs w:val="18"/>
              </w:rPr>
              <w:t>) (days)</w:t>
            </w:r>
          </w:p>
        </w:tc>
        <w:tc>
          <w:tcPr>
            <w:tcW w:w="993" w:type="dxa"/>
            <w:tcBorders>
              <w:top w:val="nil"/>
              <w:left w:val="nil"/>
              <w:bottom w:val="nil"/>
              <w:right w:val="nil"/>
            </w:tcBorders>
            <w:shd w:val="clear" w:color="auto" w:fill="auto"/>
            <w:vAlign w:val="center"/>
          </w:tcPr>
          <w:p w14:paraId="350763B7"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vAlign w:val="center"/>
          </w:tcPr>
          <w:p w14:paraId="778928B6"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 xml:space="preserve">Average count of days when the minimum </w:t>
            </w:r>
            <w:r w:rsidRPr="009A5251">
              <w:rPr>
                <w:rFonts w:ascii="Times New Roman" w:eastAsia="DengXian" w:hAnsi="Times New Roman" w:cs="Times New Roman"/>
                <w:color w:val="000000"/>
                <w:kern w:val="0"/>
                <w:sz w:val="16"/>
                <w:szCs w:val="16"/>
              </w:rPr>
              <w:t>temperature dropped below the freezing point of water at 0°C.</w:t>
            </w:r>
          </w:p>
        </w:tc>
        <w:tc>
          <w:tcPr>
            <w:tcW w:w="2287" w:type="dxa"/>
            <w:vMerge/>
            <w:tcBorders>
              <w:top w:val="nil"/>
              <w:left w:val="nil"/>
              <w:bottom w:val="nil"/>
              <w:right w:val="nil"/>
            </w:tcBorders>
            <w:vAlign w:val="center"/>
          </w:tcPr>
          <w:p w14:paraId="63EBC806"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3082FBFA" w14:textId="77777777">
        <w:trPr>
          <w:trHeight w:val="311"/>
        </w:trPr>
        <w:tc>
          <w:tcPr>
            <w:tcW w:w="1845" w:type="dxa"/>
            <w:vMerge/>
            <w:tcBorders>
              <w:top w:val="nil"/>
              <w:left w:val="nil"/>
              <w:bottom w:val="nil"/>
              <w:right w:val="nil"/>
            </w:tcBorders>
            <w:vAlign w:val="center"/>
          </w:tcPr>
          <w:p w14:paraId="3B623650"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41CA6C0F"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I13</w:t>
            </w:r>
          </w:p>
        </w:tc>
        <w:tc>
          <w:tcPr>
            <w:tcW w:w="5788" w:type="dxa"/>
            <w:tcBorders>
              <w:top w:val="nil"/>
              <w:left w:val="nil"/>
              <w:bottom w:val="nil"/>
              <w:right w:val="nil"/>
            </w:tcBorders>
            <w:shd w:val="clear" w:color="auto" w:fill="auto"/>
            <w:vAlign w:val="center"/>
          </w:tcPr>
          <w:p w14:paraId="0DA062DB"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Maximum length of consecutive dry spell (days)</w:t>
            </w:r>
          </w:p>
        </w:tc>
        <w:tc>
          <w:tcPr>
            <w:tcW w:w="993" w:type="dxa"/>
            <w:tcBorders>
              <w:top w:val="nil"/>
              <w:left w:val="nil"/>
              <w:bottom w:val="nil"/>
              <w:right w:val="nil"/>
            </w:tcBorders>
            <w:shd w:val="clear" w:color="auto" w:fill="auto"/>
            <w:vAlign w:val="center"/>
          </w:tcPr>
          <w:p w14:paraId="5CFD1225"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vAlign w:val="center"/>
          </w:tcPr>
          <w:p w14:paraId="73AE042F"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The number of days in the longest period without significant precipitation of at least 1mm.</w:t>
            </w:r>
          </w:p>
        </w:tc>
        <w:tc>
          <w:tcPr>
            <w:tcW w:w="2287" w:type="dxa"/>
            <w:vMerge/>
            <w:tcBorders>
              <w:top w:val="nil"/>
              <w:left w:val="nil"/>
              <w:bottom w:val="nil"/>
              <w:right w:val="nil"/>
            </w:tcBorders>
            <w:vAlign w:val="center"/>
          </w:tcPr>
          <w:p w14:paraId="75E36ABE"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742E3B6" w14:textId="77777777">
        <w:trPr>
          <w:trHeight w:val="311"/>
        </w:trPr>
        <w:tc>
          <w:tcPr>
            <w:tcW w:w="1845" w:type="dxa"/>
            <w:vMerge/>
            <w:tcBorders>
              <w:top w:val="nil"/>
              <w:left w:val="nil"/>
              <w:bottom w:val="nil"/>
              <w:right w:val="nil"/>
            </w:tcBorders>
            <w:vAlign w:val="center"/>
          </w:tcPr>
          <w:p w14:paraId="2C097086"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012EA232"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I14</w:t>
            </w:r>
          </w:p>
        </w:tc>
        <w:tc>
          <w:tcPr>
            <w:tcW w:w="5788" w:type="dxa"/>
            <w:tcBorders>
              <w:top w:val="nil"/>
              <w:left w:val="nil"/>
              <w:bottom w:val="nil"/>
              <w:right w:val="nil"/>
            </w:tcBorders>
            <w:shd w:val="clear" w:color="auto" w:fill="auto"/>
            <w:vAlign w:val="center"/>
          </w:tcPr>
          <w:p w14:paraId="7510FFA6"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 xml:space="preserve">Maximum length of </w:t>
            </w:r>
            <w:r w:rsidRPr="009A5251">
              <w:rPr>
                <w:rFonts w:ascii="Times New Roman" w:eastAsia="DengXian" w:hAnsi="Times New Roman" w:cs="Times New Roman"/>
                <w:color w:val="000000"/>
                <w:kern w:val="0"/>
                <w:sz w:val="18"/>
                <w:szCs w:val="18"/>
              </w:rPr>
              <w:t>consecutive wet spell (days)</w:t>
            </w:r>
          </w:p>
        </w:tc>
        <w:tc>
          <w:tcPr>
            <w:tcW w:w="993" w:type="dxa"/>
            <w:tcBorders>
              <w:top w:val="nil"/>
              <w:left w:val="nil"/>
              <w:bottom w:val="nil"/>
              <w:right w:val="nil"/>
            </w:tcBorders>
            <w:shd w:val="clear" w:color="auto" w:fill="auto"/>
            <w:vAlign w:val="center"/>
          </w:tcPr>
          <w:p w14:paraId="282C78F2"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vAlign w:val="center"/>
          </w:tcPr>
          <w:p w14:paraId="4D28A1AC"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The number of days in the longest period with continuous significant rainfall of 1mm or more.</w:t>
            </w:r>
          </w:p>
        </w:tc>
        <w:tc>
          <w:tcPr>
            <w:tcW w:w="2287" w:type="dxa"/>
            <w:vMerge/>
            <w:tcBorders>
              <w:top w:val="nil"/>
              <w:left w:val="nil"/>
              <w:bottom w:val="nil"/>
              <w:right w:val="nil"/>
            </w:tcBorders>
            <w:vAlign w:val="center"/>
          </w:tcPr>
          <w:p w14:paraId="2ACF2172"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04210666" w14:textId="77777777">
        <w:trPr>
          <w:trHeight w:val="311"/>
        </w:trPr>
        <w:tc>
          <w:tcPr>
            <w:tcW w:w="1845" w:type="dxa"/>
            <w:vMerge w:val="restart"/>
            <w:tcBorders>
              <w:top w:val="nil"/>
              <w:left w:val="nil"/>
              <w:bottom w:val="nil"/>
              <w:right w:val="nil"/>
            </w:tcBorders>
            <w:shd w:val="clear" w:color="auto" w:fill="auto"/>
            <w:vAlign w:val="center"/>
          </w:tcPr>
          <w:p w14:paraId="0C269A08" w14:textId="77777777" w:rsidR="001D2CBE" w:rsidRPr="009A5251" w:rsidRDefault="009A5251">
            <w:pPr>
              <w:widowControl/>
              <w:jc w:val="left"/>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The World Health Organization International Health Regulations State Parties Self-Assessment Annual Reporting Tool</w:t>
            </w:r>
          </w:p>
        </w:tc>
        <w:tc>
          <w:tcPr>
            <w:tcW w:w="872" w:type="dxa"/>
            <w:tcBorders>
              <w:top w:val="nil"/>
              <w:left w:val="nil"/>
              <w:bottom w:val="nil"/>
              <w:right w:val="nil"/>
            </w:tcBorders>
            <w:shd w:val="clear" w:color="auto" w:fill="auto"/>
            <w:vAlign w:val="center"/>
          </w:tcPr>
          <w:p w14:paraId="3FEFE160"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I15</w:t>
            </w:r>
          </w:p>
        </w:tc>
        <w:tc>
          <w:tcPr>
            <w:tcW w:w="5788" w:type="dxa"/>
            <w:tcBorders>
              <w:top w:val="nil"/>
              <w:left w:val="nil"/>
              <w:bottom w:val="nil"/>
              <w:right w:val="nil"/>
            </w:tcBorders>
            <w:shd w:val="clear" w:color="auto" w:fill="auto"/>
            <w:vAlign w:val="center"/>
          </w:tcPr>
          <w:p w14:paraId="70A5E9C0"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National health emergency framework (%)</w:t>
            </w:r>
          </w:p>
        </w:tc>
        <w:tc>
          <w:tcPr>
            <w:tcW w:w="993" w:type="dxa"/>
            <w:tcBorders>
              <w:top w:val="nil"/>
              <w:left w:val="nil"/>
              <w:bottom w:val="nil"/>
              <w:right w:val="nil"/>
            </w:tcBorders>
            <w:shd w:val="clear" w:color="auto" w:fill="auto"/>
            <w:vAlign w:val="center"/>
          </w:tcPr>
          <w:p w14:paraId="28056EB3"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vMerge w:val="restart"/>
            <w:tcBorders>
              <w:top w:val="nil"/>
              <w:left w:val="nil"/>
              <w:bottom w:val="nil"/>
              <w:right w:val="nil"/>
            </w:tcBorders>
            <w:shd w:val="clear" w:color="auto" w:fill="auto"/>
            <w:vAlign w:val="center"/>
          </w:tcPr>
          <w:p w14:paraId="73749DEB"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 xml:space="preserve">The status of IHR implementation from 2010 to 2017 was assessed through the IHR monitoring questionnaire. Since 2018, it has been submitted online by IHR SPAR, and some contents have been revised. </w:t>
            </w:r>
            <w:r w:rsidRPr="009A5251">
              <w:rPr>
                <w:rFonts w:ascii="Times New Roman" w:eastAsia="DengXian" w:hAnsi="Times New Roman" w:cs="Times New Roman" w:hint="eastAsia"/>
                <w:color w:val="000000"/>
                <w:kern w:val="0"/>
                <w:sz w:val="16"/>
                <w:szCs w:val="16"/>
              </w:rPr>
              <w:t>Thus</w:t>
            </w:r>
            <w:r w:rsidRPr="009A5251">
              <w:rPr>
                <w:rFonts w:ascii="Times New Roman" w:eastAsia="DengXian" w:hAnsi="Times New Roman" w:cs="Times New Roman"/>
                <w:color w:val="000000"/>
                <w:kern w:val="0"/>
                <w:sz w:val="16"/>
                <w:szCs w:val="16"/>
              </w:rPr>
              <w:t>, in order to maintain consistency of capacities for the period 2010-2019, this study consolidated Response and Preparedness capacities for 2010-2017 into the National health emergency framework capacity, while the capacity C1.2, C1.3 and C9 (Health service provision) for 2018 and 2019 were removed.</w:t>
            </w:r>
          </w:p>
        </w:tc>
        <w:tc>
          <w:tcPr>
            <w:tcW w:w="2287" w:type="dxa"/>
            <w:vMerge w:val="restart"/>
            <w:tcBorders>
              <w:top w:val="nil"/>
              <w:left w:val="nil"/>
              <w:bottom w:val="nil"/>
              <w:right w:val="nil"/>
            </w:tcBorders>
            <w:shd w:val="clear" w:color="auto" w:fill="auto"/>
            <w:vAlign w:val="center"/>
          </w:tcPr>
          <w:p w14:paraId="5BDB38DB" w14:textId="77777777" w:rsidR="001D2CBE" w:rsidRPr="009A5251" w:rsidRDefault="009A5251">
            <w:pPr>
              <w:widowControl/>
              <w:wordWrap w:val="0"/>
              <w:rPr>
                <w:rFonts w:ascii="Times New Roman" w:eastAsia="DengXian" w:hAnsi="Times New Roman" w:cs="Times New Roman"/>
                <w:kern w:val="0"/>
                <w:sz w:val="16"/>
                <w:szCs w:val="16"/>
              </w:rPr>
            </w:pPr>
            <w:hyperlink r:id="rId13" w:anchor="capacity-score" w:history="1">
              <w:r w:rsidRPr="009A5251">
                <w:rPr>
                  <w:rFonts w:ascii="Times New Roman" w:eastAsia="DengXian" w:hAnsi="Times New Roman" w:cs="Times New Roman"/>
                  <w:kern w:val="0"/>
                  <w:sz w:val="16"/>
                  <w:szCs w:val="16"/>
                </w:rPr>
                <w:t>https://extranet.who.int/e-spar#capacity-score</w:t>
              </w:r>
            </w:hyperlink>
          </w:p>
        </w:tc>
      </w:tr>
      <w:tr w:rsidR="001D2CBE" w:rsidRPr="009A5251" w14:paraId="18A92D7D" w14:textId="77777777">
        <w:trPr>
          <w:trHeight w:val="311"/>
        </w:trPr>
        <w:tc>
          <w:tcPr>
            <w:tcW w:w="1845" w:type="dxa"/>
            <w:vMerge/>
            <w:tcBorders>
              <w:top w:val="nil"/>
              <w:left w:val="nil"/>
              <w:bottom w:val="nil"/>
              <w:right w:val="nil"/>
            </w:tcBorders>
            <w:vAlign w:val="center"/>
          </w:tcPr>
          <w:p w14:paraId="01FF2C8F"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355D1196"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I16</w:t>
            </w:r>
          </w:p>
        </w:tc>
        <w:tc>
          <w:tcPr>
            <w:tcW w:w="5788" w:type="dxa"/>
            <w:tcBorders>
              <w:top w:val="nil"/>
              <w:left w:val="nil"/>
              <w:bottom w:val="nil"/>
              <w:right w:val="nil"/>
            </w:tcBorders>
            <w:shd w:val="clear" w:color="auto" w:fill="auto"/>
            <w:vAlign w:val="center"/>
          </w:tcPr>
          <w:p w14:paraId="4E7884B4"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Risk communication (%)</w:t>
            </w:r>
          </w:p>
        </w:tc>
        <w:tc>
          <w:tcPr>
            <w:tcW w:w="993" w:type="dxa"/>
            <w:tcBorders>
              <w:top w:val="nil"/>
              <w:left w:val="nil"/>
              <w:bottom w:val="nil"/>
              <w:right w:val="nil"/>
            </w:tcBorders>
            <w:shd w:val="clear" w:color="auto" w:fill="auto"/>
            <w:vAlign w:val="center"/>
          </w:tcPr>
          <w:p w14:paraId="0087DCBD"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vMerge/>
            <w:tcBorders>
              <w:top w:val="nil"/>
              <w:left w:val="nil"/>
              <w:bottom w:val="nil"/>
              <w:right w:val="nil"/>
            </w:tcBorders>
            <w:vAlign w:val="center"/>
          </w:tcPr>
          <w:p w14:paraId="772BEEFC"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6B7C3FD1"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751F6334" w14:textId="77777777">
        <w:trPr>
          <w:trHeight w:val="311"/>
        </w:trPr>
        <w:tc>
          <w:tcPr>
            <w:tcW w:w="1845" w:type="dxa"/>
            <w:vMerge/>
            <w:tcBorders>
              <w:top w:val="nil"/>
              <w:left w:val="nil"/>
              <w:bottom w:val="nil"/>
              <w:right w:val="nil"/>
            </w:tcBorders>
            <w:vAlign w:val="center"/>
          </w:tcPr>
          <w:p w14:paraId="2D42D1EE"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777C4FCE"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I17</w:t>
            </w:r>
          </w:p>
        </w:tc>
        <w:tc>
          <w:tcPr>
            <w:tcW w:w="5788" w:type="dxa"/>
            <w:tcBorders>
              <w:top w:val="nil"/>
              <w:left w:val="nil"/>
              <w:bottom w:val="nil"/>
              <w:right w:val="nil"/>
            </w:tcBorders>
            <w:shd w:val="clear" w:color="auto" w:fill="auto"/>
            <w:vAlign w:val="center"/>
          </w:tcPr>
          <w:p w14:paraId="770E8273"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Laboratory (%)</w:t>
            </w:r>
          </w:p>
        </w:tc>
        <w:tc>
          <w:tcPr>
            <w:tcW w:w="993" w:type="dxa"/>
            <w:tcBorders>
              <w:top w:val="nil"/>
              <w:left w:val="nil"/>
              <w:bottom w:val="nil"/>
              <w:right w:val="nil"/>
            </w:tcBorders>
            <w:shd w:val="clear" w:color="auto" w:fill="auto"/>
            <w:vAlign w:val="center"/>
          </w:tcPr>
          <w:p w14:paraId="02AF7649"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vMerge/>
            <w:tcBorders>
              <w:top w:val="nil"/>
              <w:left w:val="nil"/>
              <w:bottom w:val="nil"/>
              <w:right w:val="nil"/>
            </w:tcBorders>
            <w:vAlign w:val="center"/>
          </w:tcPr>
          <w:p w14:paraId="20596F6A"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22140563"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78C50C58" w14:textId="77777777">
        <w:trPr>
          <w:trHeight w:val="311"/>
        </w:trPr>
        <w:tc>
          <w:tcPr>
            <w:tcW w:w="1845" w:type="dxa"/>
            <w:vMerge/>
            <w:tcBorders>
              <w:top w:val="nil"/>
              <w:left w:val="nil"/>
              <w:bottom w:val="nil"/>
              <w:right w:val="nil"/>
            </w:tcBorders>
            <w:vAlign w:val="center"/>
          </w:tcPr>
          <w:p w14:paraId="502DC397"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06B561E2"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I18</w:t>
            </w:r>
          </w:p>
        </w:tc>
        <w:tc>
          <w:tcPr>
            <w:tcW w:w="5788" w:type="dxa"/>
            <w:tcBorders>
              <w:top w:val="nil"/>
              <w:left w:val="nil"/>
              <w:bottom w:val="nil"/>
              <w:right w:val="nil"/>
            </w:tcBorders>
            <w:shd w:val="clear" w:color="auto" w:fill="auto"/>
            <w:vAlign w:val="center"/>
          </w:tcPr>
          <w:p w14:paraId="7778CF66"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Surveillance (%)</w:t>
            </w:r>
          </w:p>
        </w:tc>
        <w:tc>
          <w:tcPr>
            <w:tcW w:w="993" w:type="dxa"/>
            <w:tcBorders>
              <w:top w:val="nil"/>
              <w:left w:val="nil"/>
              <w:bottom w:val="nil"/>
              <w:right w:val="nil"/>
            </w:tcBorders>
            <w:shd w:val="clear" w:color="auto" w:fill="auto"/>
            <w:vAlign w:val="center"/>
          </w:tcPr>
          <w:p w14:paraId="70B97403"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vMerge/>
            <w:tcBorders>
              <w:top w:val="nil"/>
              <w:left w:val="nil"/>
              <w:bottom w:val="nil"/>
              <w:right w:val="nil"/>
            </w:tcBorders>
            <w:vAlign w:val="center"/>
          </w:tcPr>
          <w:p w14:paraId="15A48FF4"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653336AA"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39B1E82C" w14:textId="77777777">
        <w:trPr>
          <w:trHeight w:val="311"/>
        </w:trPr>
        <w:tc>
          <w:tcPr>
            <w:tcW w:w="1845" w:type="dxa"/>
            <w:vMerge/>
            <w:tcBorders>
              <w:top w:val="nil"/>
              <w:left w:val="nil"/>
              <w:bottom w:val="nil"/>
              <w:right w:val="nil"/>
            </w:tcBorders>
            <w:vAlign w:val="center"/>
          </w:tcPr>
          <w:p w14:paraId="3A777E16"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152CDE0C"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I19</w:t>
            </w:r>
          </w:p>
        </w:tc>
        <w:tc>
          <w:tcPr>
            <w:tcW w:w="5788" w:type="dxa"/>
            <w:tcBorders>
              <w:top w:val="nil"/>
              <w:left w:val="nil"/>
              <w:bottom w:val="nil"/>
              <w:right w:val="nil"/>
            </w:tcBorders>
            <w:shd w:val="clear" w:color="auto" w:fill="auto"/>
            <w:vAlign w:val="center"/>
          </w:tcPr>
          <w:p w14:paraId="754F33D8"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 xml:space="preserve">Coordination and </w:t>
            </w:r>
            <w:r w:rsidRPr="009A5251">
              <w:rPr>
                <w:rFonts w:ascii="Times New Roman" w:eastAsia="DengXian" w:hAnsi="Times New Roman" w:cs="Times New Roman" w:hint="eastAsia"/>
                <w:kern w:val="0"/>
                <w:sz w:val="18"/>
                <w:szCs w:val="18"/>
              </w:rPr>
              <w:t>NAP</w:t>
            </w:r>
            <w:r w:rsidRPr="009A5251">
              <w:rPr>
                <w:rFonts w:ascii="Times New Roman" w:eastAsia="DengXian" w:hAnsi="Times New Roman" w:cs="Times New Roman"/>
                <w:kern w:val="0"/>
                <w:sz w:val="18"/>
                <w:szCs w:val="18"/>
              </w:rPr>
              <w:t xml:space="preserve"> communications (%)</w:t>
            </w:r>
          </w:p>
        </w:tc>
        <w:tc>
          <w:tcPr>
            <w:tcW w:w="993" w:type="dxa"/>
            <w:tcBorders>
              <w:top w:val="nil"/>
              <w:left w:val="nil"/>
              <w:bottom w:val="nil"/>
              <w:right w:val="nil"/>
            </w:tcBorders>
            <w:shd w:val="clear" w:color="auto" w:fill="auto"/>
            <w:vAlign w:val="center"/>
          </w:tcPr>
          <w:p w14:paraId="7A84DC3A"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vMerge/>
            <w:tcBorders>
              <w:top w:val="nil"/>
              <w:left w:val="nil"/>
              <w:bottom w:val="nil"/>
              <w:right w:val="nil"/>
            </w:tcBorders>
            <w:vAlign w:val="center"/>
          </w:tcPr>
          <w:p w14:paraId="56019986"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166B9EA5"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137C54A0" w14:textId="77777777">
        <w:trPr>
          <w:trHeight w:val="311"/>
        </w:trPr>
        <w:tc>
          <w:tcPr>
            <w:tcW w:w="1845" w:type="dxa"/>
            <w:vMerge/>
            <w:tcBorders>
              <w:top w:val="nil"/>
              <w:left w:val="nil"/>
              <w:bottom w:val="nil"/>
              <w:right w:val="nil"/>
            </w:tcBorders>
            <w:vAlign w:val="center"/>
          </w:tcPr>
          <w:p w14:paraId="7924BDB7"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118F1E9A"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I20</w:t>
            </w:r>
          </w:p>
        </w:tc>
        <w:tc>
          <w:tcPr>
            <w:tcW w:w="5788" w:type="dxa"/>
            <w:tcBorders>
              <w:top w:val="nil"/>
              <w:left w:val="nil"/>
              <w:bottom w:val="nil"/>
              <w:right w:val="nil"/>
            </w:tcBorders>
            <w:shd w:val="clear" w:color="auto" w:fill="auto"/>
            <w:vAlign w:val="center"/>
          </w:tcPr>
          <w:p w14:paraId="3A95BD02"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Zoonotic events (%)</w:t>
            </w:r>
          </w:p>
        </w:tc>
        <w:tc>
          <w:tcPr>
            <w:tcW w:w="993" w:type="dxa"/>
            <w:tcBorders>
              <w:top w:val="nil"/>
              <w:left w:val="nil"/>
              <w:bottom w:val="nil"/>
              <w:right w:val="nil"/>
            </w:tcBorders>
            <w:shd w:val="clear" w:color="auto" w:fill="auto"/>
            <w:vAlign w:val="center"/>
          </w:tcPr>
          <w:p w14:paraId="1D80BF02"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vMerge/>
            <w:tcBorders>
              <w:top w:val="nil"/>
              <w:left w:val="nil"/>
              <w:bottom w:val="nil"/>
              <w:right w:val="nil"/>
            </w:tcBorders>
            <w:vAlign w:val="center"/>
          </w:tcPr>
          <w:p w14:paraId="6F2C7BED"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189B28E3"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494339F4" w14:textId="77777777">
        <w:trPr>
          <w:trHeight w:val="311"/>
        </w:trPr>
        <w:tc>
          <w:tcPr>
            <w:tcW w:w="1845" w:type="dxa"/>
            <w:vMerge/>
            <w:tcBorders>
              <w:top w:val="nil"/>
              <w:left w:val="nil"/>
              <w:bottom w:val="nil"/>
              <w:right w:val="nil"/>
            </w:tcBorders>
            <w:vAlign w:val="center"/>
          </w:tcPr>
          <w:p w14:paraId="23C72E88"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2B50D7EC"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I21</w:t>
            </w:r>
          </w:p>
        </w:tc>
        <w:tc>
          <w:tcPr>
            <w:tcW w:w="5788" w:type="dxa"/>
            <w:tcBorders>
              <w:top w:val="nil"/>
              <w:left w:val="nil"/>
              <w:bottom w:val="nil"/>
              <w:right w:val="nil"/>
            </w:tcBorders>
            <w:shd w:val="clear" w:color="auto" w:fill="auto"/>
            <w:vAlign w:val="center"/>
          </w:tcPr>
          <w:p w14:paraId="57783B45"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National legislation, policy and financing (%)</w:t>
            </w:r>
          </w:p>
        </w:tc>
        <w:tc>
          <w:tcPr>
            <w:tcW w:w="993" w:type="dxa"/>
            <w:tcBorders>
              <w:top w:val="nil"/>
              <w:left w:val="nil"/>
              <w:bottom w:val="nil"/>
              <w:right w:val="nil"/>
            </w:tcBorders>
            <w:shd w:val="clear" w:color="auto" w:fill="auto"/>
            <w:vAlign w:val="center"/>
          </w:tcPr>
          <w:p w14:paraId="3A86AB4C"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vMerge/>
            <w:tcBorders>
              <w:top w:val="nil"/>
              <w:left w:val="nil"/>
              <w:bottom w:val="nil"/>
              <w:right w:val="nil"/>
            </w:tcBorders>
            <w:vAlign w:val="center"/>
          </w:tcPr>
          <w:p w14:paraId="5B66454B"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7D7D4168"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3B2D4234" w14:textId="77777777">
        <w:trPr>
          <w:trHeight w:val="311"/>
        </w:trPr>
        <w:tc>
          <w:tcPr>
            <w:tcW w:w="1845" w:type="dxa"/>
            <w:vMerge/>
            <w:tcBorders>
              <w:top w:val="nil"/>
              <w:left w:val="nil"/>
              <w:bottom w:val="nil"/>
              <w:right w:val="nil"/>
            </w:tcBorders>
            <w:vAlign w:val="center"/>
          </w:tcPr>
          <w:p w14:paraId="33131331"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7DD41890"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I22</w:t>
            </w:r>
          </w:p>
        </w:tc>
        <w:tc>
          <w:tcPr>
            <w:tcW w:w="5788" w:type="dxa"/>
            <w:tcBorders>
              <w:top w:val="nil"/>
              <w:left w:val="nil"/>
              <w:bottom w:val="nil"/>
              <w:right w:val="nil"/>
            </w:tcBorders>
            <w:shd w:val="clear" w:color="auto" w:fill="auto"/>
            <w:vAlign w:val="center"/>
          </w:tcPr>
          <w:p w14:paraId="4CBF3D61"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Human resource capacity (%)</w:t>
            </w:r>
          </w:p>
        </w:tc>
        <w:tc>
          <w:tcPr>
            <w:tcW w:w="993" w:type="dxa"/>
            <w:tcBorders>
              <w:top w:val="nil"/>
              <w:left w:val="nil"/>
              <w:bottom w:val="nil"/>
              <w:right w:val="nil"/>
            </w:tcBorders>
            <w:shd w:val="clear" w:color="auto" w:fill="auto"/>
            <w:vAlign w:val="center"/>
          </w:tcPr>
          <w:p w14:paraId="5FA28FD2"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vMerge/>
            <w:tcBorders>
              <w:top w:val="nil"/>
              <w:left w:val="nil"/>
              <w:bottom w:val="nil"/>
              <w:right w:val="nil"/>
            </w:tcBorders>
            <w:vAlign w:val="center"/>
          </w:tcPr>
          <w:p w14:paraId="7A746678"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5E8BFB1C"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4C3CCA45" w14:textId="77777777">
        <w:trPr>
          <w:trHeight w:val="311"/>
        </w:trPr>
        <w:tc>
          <w:tcPr>
            <w:tcW w:w="1845" w:type="dxa"/>
            <w:vMerge/>
            <w:tcBorders>
              <w:top w:val="nil"/>
              <w:left w:val="nil"/>
              <w:bottom w:val="nil"/>
              <w:right w:val="nil"/>
            </w:tcBorders>
            <w:vAlign w:val="center"/>
          </w:tcPr>
          <w:p w14:paraId="5251A758"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218DCEBC"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I23</w:t>
            </w:r>
          </w:p>
        </w:tc>
        <w:tc>
          <w:tcPr>
            <w:tcW w:w="5788" w:type="dxa"/>
            <w:tcBorders>
              <w:top w:val="nil"/>
              <w:left w:val="nil"/>
              <w:bottom w:val="nil"/>
              <w:right w:val="nil"/>
            </w:tcBorders>
            <w:shd w:val="clear" w:color="auto" w:fill="auto"/>
            <w:vAlign w:val="center"/>
          </w:tcPr>
          <w:p w14:paraId="5840CE20"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Chemical events (%)</w:t>
            </w:r>
          </w:p>
        </w:tc>
        <w:tc>
          <w:tcPr>
            <w:tcW w:w="993" w:type="dxa"/>
            <w:tcBorders>
              <w:top w:val="nil"/>
              <w:left w:val="nil"/>
              <w:bottom w:val="nil"/>
              <w:right w:val="nil"/>
            </w:tcBorders>
            <w:shd w:val="clear" w:color="auto" w:fill="auto"/>
            <w:vAlign w:val="center"/>
          </w:tcPr>
          <w:p w14:paraId="49307492"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vMerge/>
            <w:tcBorders>
              <w:top w:val="nil"/>
              <w:left w:val="nil"/>
              <w:bottom w:val="nil"/>
              <w:right w:val="nil"/>
            </w:tcBorders>
            <w:vAlign w:val="center"/>
          </w:tcPr>
          <w:p w14:paraId="62F4E1CC"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67874A5D"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2FEBE73B" w14:textId="77777777">
        <w:trPr>
          <w:trHeight w:val="311"/>
        </w:trPr>
        <w:tc>
          <w:tcPr>
            <w:tcW w:w="1845" w:type="dxa"/>
            <w:vMerge/>
            <w:tcBorders>
              <w:top w:val="nil"/>
              <w:left w:val="nil"/>
              <w:bottom w:val="nil"/>
              <w:right w:val="nil"/>
            </w:tcBorders>
            <w:vAlign w:val="center"/>
          </w:tcPr>
          <w:p w14:paraId="532895E7"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570B9AC7"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I24</w:t>
            </w:r>
          </w:p>
        </w:tc>
        <w:tc>
          <w:tcPr>
            <w:tcW w:w="5788" w:type="dxa"/>
            <w:tcBorders>
              <w:top w:val="nil"/>
              <w:left w:val="nil"/>
              <w:bottom w:val="nil"/>
              <w:right w:val="nil"/>
            </w:tcBorders>
            <w:shd w:val="clear" w:color="auto" w:fill="auto"/>
            <w:vAlign w:val="center"/>
          </w:tcPr>
          <w:p w14:paraId="733DB8A7"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 xml:space="preserve">Food </w:t>
            </w:r>
            <w:r w:rsidRPr="009A5251">
              <w:rPr>
                <w:rFonts w:ascii="Times New Roman" w:eastAsia="DengXian" w:hAnsi="Times New Roman" w:cs="Times New Roman"/>
                <w:kern w:val="0"/>
                <w:sz w:val="18"/>
                <w:szCs w:val="18"/>
              </w:rPr>
              <w:t>safety (%)</w:t>
            </w:r>
          </w:p>
        </w:tc>
        <w:tc>
          <w:tcPr>
            <w:tcW w:w="993" w:type="dxa"/>
            <w:tcBorders>
              <w:top w:val="nil"/>
              <w:left w:val="nil"/>
              <w:bottom w:val="nil"/>
              <w:right w:val="nil"/>
            </w:tcBorders>
            <w:shd w:val="clear" w:color="auto" w:fill="auto"/>
            <w:vAlign w:val="center"/>
          </w:tcPr>
          <w:p w14:paraId="21E1E23F"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vMerge/>
            <w:tcBorders>
              <w:top w:val="nil"/>
              <w:left w:val="nil"/>
              <w:bottom w:val="nil"/>
              <w:right w:val="nil"/>
            </w:tcBorders>
            <w:vAlign w:val="center"/>
          </w:tcPr>
          <w:p w14:paraId="71B13CDC"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3778CA0B"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063606C" w14:textId="77777777">
        <w:trPr>
          <w:trHeight w:val="311"/>
        </w:trPr>
        <w:tc>
          <w:tcPr>
            <w:tcW w:w="1845" w:type="dxa"/>
            <w:vMerge/>
            <w:tcBorders>
              <w:top w:val="nil"/>
              <w:left w:val="nil"/>
              <w:bottom w:val="nil"/>
              <w:right w:val="nil"/>
            </w:tcBorders>
            <w:vAlign w:val="center"/>
          </w:tcPr>
          <w:p w14:paraId="0812971B"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4C3BA406"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I25</w:t>
            </w:r>
          </w:p>
        </w:tc>
        <w:tc>
          <w:tcPr>
            <w:tcW w:w="5788" w:type="dxa"/>
            <w:tcBorders>
              <w:top w:val="nil"/>
              <w:left w:val="nil"/>
              <w:bottom w:val="nil"/>
              <w:right w:val="nil"/>
            </w:tcBorders>
            <w:shd w:val="clear" w:color="auto" w:fill="auto"/>
            <w:vAlign w:val="center"/>
          </w:tcPr>
          <w:p w14:paraId="27106361"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Points of entry (%)</w:t>
            </w:r>
          </w:p>
        </w:tc>
        <w:tc>
          <w:tcPr>
            <w:tcW w:w="993" w:type="dxa"/>
            <w:tcBorders>
              <w:top w:val="nil"/>
              <w:left w:val="nil"/>
              <w:bottom w:val="nil"/>
              <w:right w:val="nil"/>
            </w:tcBorders>
            <w:shd w:val="clear" w:color="auto" w:fill="auto"/>
            <w:vAlign w:val="center"/>
          </w:tcPr>
          <w:p w14:paraId="3AC15AFA"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vMerge/>
            <w:tcBorders>
              <w:top w:val="nil"/>
              <w:left w:val="nil"/>
              <w:bottom w:val="nil"/>
              <w:right w:val="nil"/>
            </w:tcBorders>
            <w:vAlign w:val="center"/>
          </w:tcPr>
          <w:p w14:paraId="26CC0163"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7B5E0143"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23792D9D" w14:textId="77777777">
        <w:trPr>
          <w:trHeight w:val="311"/>
        </w:trPr>
        <w:tc>
          <w:tcPr>
            <w:tcW w:w="1845" w:type="dxa"/>
            <w:vMerge/>
            <w:tcBorders>
              <w:top w:val="nil"/>
              <w:left w:val="nil"/>
              <w:bottom w:val="nil"/>
              <w:right w:val="nil"/>
            </w:tcBorders>
            <w:vAlign w:val="center"/>
          </w:tcPr>
          <w:p w14:paraId="5F76FD74"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72E62C65"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I26</w:t>
            </w:r>
          </w:p>
        </w:tc>
        <w:tc>
          <w:tcPr>
            <w:tcW w:w="5788" w:type="dxa"/>
            <w:tcBorders>
              <w:top w:val="nil"/>
              <w:left w:val="nil"/>
              <w:bottom w:val="nil"/>
              <w:right w:val="nil"/>
            </w:tcBorders>
            <w:shd w:val="clear" w:color="auto" w:fill="auto"/>
            <w:vAlign w:val="center"/>
          </w:tcPr>
          <w:p w14:paraId="0342160E"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Radiation emergencies (%)</w:t>
            </w:r>
          </w:p>
        </w:tc>
        <w:tc>
          <w:tcPr>
            <w:tcW w:w="993" w:type="dxa"/>
            <w:tcBorders>
              <w:top w:val="nil"/>
              <w:left w:val="nil"/>
              <w:bottom w:val="nil"/>
              <w:right w:val="nil"/>
            </w:tcBorders>
            <w:shd w:val="clear" w:color="auto" w:fill="auto"/>
            <w:vAlign w:val="center"/>
          </w:tcPr>
          <w:p w14:paraId="1954D834"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vMerge/>
            <w:tcBorders>
              <w:top w:val="nil"/>
              <w:left w:val="nil"/>
              <w:bottom w:val="nil"/>
              <w:right w:val="nil"/>
            </w:tcBorders>
            <w:vAlign w:val="center"/>
          </w:tcPr>
          <w:p w14:paraId="66F6F073"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2A73470B"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B479619" w14:textId="77777777">
        <w:trPr>
          <w:trHeight w:val="500"/>
        </w:trPr>
        <w:tc>
          <w:tcPr>
            <w:tcW w:w="1845" w:type="dxa"/>
            <w:vMerge w:val="restart"/>
            <w:tcBorders>
              <w:top w:val="nil"/>
              <w:left w:val="nil"/>
              <w:bottom w:val="nil"/>
              <w:right w:val="nil"/>
            </w:tcBorders>
            <w:shd w:val="clear" w:color="auto" w:fill="auto"/>
            <w:vAlign w:val="center"/>
          </w:tcPr>
          <w:p w14:paraId="7AD7B7D9" w14:textId="77777777" w:rsidR="001D2CBE" w:rsidRPr="009A5251" w:rsidRDefault="009A5251">
            <w:pPr>
              <w:widowControl/>
              <w:jc w:val="left"/>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The Global Burden of Disease Study 2019 Air Pollution Exposure Estimates 1990-2019</w:t>
            </w:r>
          </w:p>
        </w:tc>
        <w:tc>
          <w:tcPr>
            <w:tcW w:w="872" w:type="dxa"/>
            <w:tcBorders>
              <w:top w:val="nil"/>
              <w:left w:val="nil"/>
              <w:bottom w:val="nil"/>
              <w:right w:val="nil"/>
            </w:tcBorders>
            <w:shd w:val="clear" w:color="auto" w:fill="auto"/>
            <w:vAlign w:val="center"/>
          </w:tcPr>
          <w:p w14:paraId="40B4FB8A"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I27</w:t>
            </w:r>
          </w:p>
        </w:tc>
        <w:tc>
          <w:tcPr>
            <w:tcW w:w="5788" w:type="dxa"/>
            <w:tcBorders>
              <w:top w:val="nil"/>
              <w:left w:val="nil"/>
              <w:bottom w:val="nil"/>
              <w:right w:val="nil"/>
            </w:tcBorders>
            <w:shd w:val="clear" w:color="auto" w:fill="auto"/>
            <w:vAlign w:val="center"/>
          </w:tcPr>
          <w:p w14:paraId="7A22B2C6"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Ambient particulate matter pollution (ug/m</w:t>
            </w:r>
            <w:r w:rsidRPr="009A5251">
              <w:rPr>
                <w:rFonts w:ascii="Times New Roman" w:eastAsia="DengXian" w:hAnsi="Times New Roman" w:cs="Times New Roman"/>
                <w:color w:val="000000"/>
                <w:kern w:val="0"/>
                <w:sz w:val="18"/>
                <w:szCs w:val="18"/>
                <w:vertAlign w:val="superscript"/>
              </w:rPr>
              <w:t>3</w:t>
            </w:r>
            <w:r w:rsidRPr="009A5251">
              <w:rPr>
                <w:rFonts w:ascii="Times New Roman" w:eastAsia="DengXian" w:hAnsi="Times New Roman" w:cs="Times New Roman"/>
                <w:color w:val="000000"/>
                <w:kern w:val="0"/>
                <w:sz w:val="18"/>
                <w:szCs w:val="18"/>
              </w:rPr>
              <w:t>)</w:t>
            </w:r>
          </w:p>
        </w:tc>
        <w:tc>
          <w:tcPr>
            <w:tcW w:w="993" w:type="dxa"/>
            <w:tcBorders>
              <w:top w:val="nil"/>
              <w:left w:val="nil"/>
              <w:bottom w:val="nil"/>
              <w:right w:val="nil"/>
            </w:tcBorders>
            <w:shd w:val="clear" w:color="auto" w:fill="auto"/>
            <w:vAlign w:val="center"/>
          </w:tcPr>
          <w:p w14:paraId="20314760"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vAlign w:val="center"/>
          </w:tcPr>
          <w:p w14:paraId="1D8BE1A7"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 xml:space="preserve">The </w:t>
            </w:r>
            <w:r w:rsidRPr="009A5251">
              <w:rPr>
                <w:rFonts w:ascii="Times New Roman" w:eastAsia="DengXian" w:hAnsi="Times New Roman" w:cs="Times New Roman"/>
                <w:color w:val="000000"/>
                <w:kern w:val="0"/>
                <w:sz w:val="16"/>
                <w:szCs w:val="16"/>
              </w:rPr>
              <w:t>population-weighted annual average mass concentration of particles with an aerodynamic diameter less than 2.5 micrometers (PM</w:t>
            </w:r>
            <w:r w:rsidRPr="009A5251">
              <w:rPr>
                <w:rFonts w:ascii="Times New Roman" w:eastAsia="DengXian" w:hAnsi="Times New Roman" w:cs="Times New Roman"/>
                <w:color w:val="000000"/>
                <w:kern w:val="0"/>
                <w:sz w:val="16"/>
                <w:szCs w:val="16"/>
                <w:vertAlign w:val="subscript"/>
              </w:rPr>
              <w:t>2.5</w:t>
            </w:r>
            <w:r w:rsidRPr="009A5251">
              <w:rPr>
                <w:rFonts w:ascii="Times New Roman" w:eastAsia="DengXian" w:hAnsi="Times New Roman" w:cs="Times New Roman"/>
                <w:color w:val="000000"/>
                <w:kern w:val="0"/>
                <w:sz w:val="16"/>
                <w:szCs w:val="16"/>
              </w:rPr>
              <w:t xml:space="preserve">) in a cubic meter of air. </w:t>
            </w:r>
            <w:r w:rsidRPr="009A5251">
              <w:rPr>
                <w:rFonts w:ascii="Times New Roman" w:eastAsia="DengXian" w:hAnsi="Times New Roman" w:cs="Times New Roman"/>
                <w:color w:val="000000"/>
                <w:kern w:val="0"/>
                <w:sz w:val="16"/>
                <w:szCs w:val="16"/>
                <w:vertAlign w:val="superscript"/>
              </w:rPr>
              <w:fldChar w:fldCharType="begin"/>
            </w:r>
            <w:r w:rsidRPr="009A5251">
              <w:rPr>
                <w:rFonts w:ascii="Times New Roman" w:eastAsia="DengXian" w:hAnsi="Times New Roman" w:cs="Times New Roman"/>
                <w:color w:val="000000"/>
                <w:kern w:val="0"/>
                <w:sz w:val="16"/>
                <w:szCs w:val="16"/>
                <w:vertAlign w:val="superscript"/>
              </w:rPr>
              <w:instrText xml:space="preserve"> ADDIN ZOTERO_ITEM CSL_CITATION {"citationID":"H3qMuer6","properties":{"formattedCitation":"(3)","plainCitation":"(3)","dontUpdate":true,"noteIndex":0},"citationItems":[{"id":661,"uris":["http://zotero.org/users/13033046/items/EA7K57EK"],"itemData":{"id":661,"type":"article-journal","container-title":"The Lancet","DOI":"10.1016/S0140-6736(20)30752-2","ISSN":"0140-6736, 1474-547X","issue":"10258","journalAbbreviation":"The Lancet","language":"English","note":"publisher: Elsevier\nPMID: 33069327","page":"1223</w:instrText>
            </w:r>
            <w:r w:rsidRPr="009A5251">
              <w:rPr>
                <w:rFonts w:ascii="Times New Roman" w:eastAsia="DengXian" w:hAnsi="Times New Roman" w:cs="Times New Roman"/>
                <w:color w:val="000000"/>
                <w:kern w:val="0"/>
                <w:sz w:val="16"/>
                <w:szCs w:val="16"/>
                <w:vertAlign w:val="superscript"/>
              </w:rPr>
              <w:instrText>-1249","source":"www.thelancet.com","title":"Global burden of 87 risk factors in 204 countries and territories, 1990–2019: a systematic analysis for the Global Burden of Disease Study 2019","title-short":"Global burden of 87 risk factors in 204 countries and territories, 1990–2019","volume":"396","author":[{"family":"Murray","given":"Christopher J. L."},{"family":"Aravkin","given":"Aleksandr Y."},{"family":"Zheng","given":"Peng"},{"family":"Abbafati","given":"Cristiana"},{"family":"Abbas","given":"Kaja M."}</w:instrText>
            </w:r>
            <w:r w:rsidRPr="009A5251">
              <w:rPr>
                <w:rFonts w:ascii="Times New Roman" w:eastAsia="DengXian" w:hAnsi="Times New Roman" w:cs="Times New Roman"/>
                <w:color w:val="000000"/>
                <w:kern w:val="0"/>
                <w:sz w:val="16"/>
                <w:szCs w:val="16"/>
                <w:vertAlign w:val="superscript"/>
              </w:rPr>
              <w:instrText>,{"family":"Abbasi-Kangevari","given":"Mohsen"},{"family":"Abd-Allah","given":"Foad"},{"family":"Abdelalim","given":"Ahmed"},{"family":"Abdollahi","given":"Mohammad"},{"family":"Abdollahpour","given":"Ibrahim"},{"family":"Abegaz","given":"Kedir Hussein"},{"family":"Abolhassani","given":"Hassan"},{"family":"Aboyans","given":"Victor"},{"family":"Abreu","given":"Lucas Guimarães"},{"family":"Abrigo","given":"Michael R. M."},{"family":"Abualhasan","given":"Ahmed"},{"family":"Abu-Raddad","given":"Laith Jamal"},{"</w:instrText>
            </w:r>
            <w:r w:rsidRPr="009A5251">
              <w:rPr>
                <w:rFonts w:ascii="Times New Roman" w:eastAsia="DengXian" w:hAnsi="Times New Roman" w:cs="Times New Roman"/>
                <w:color w:val="000000"/>
                <w:kern w:val="0"/>
                <w:sz w:val="16"/>
                <w:szCs w:val="16"/>
                <w:vertAlign w:val="superscript"/>
              </w:rPr>
              <w:instrText>family":"Abushouk","given":"Abdelrahman I."},{"family":"Adabi","given":"Maryam"},{"family":"Adekanmbi","given":"Victor"},{"family":"Adeoye","given":"Abiodun Moshood"},{"family":"Adetokunboh","given":"Olatunji O."},{"family":"Adham","given":"Davoud"},{"family":"Advani","given":"Shailesh M."},{"family":"Agarwal","given":"Gina"},{"family":"Aghamir","given":"Seyed Mohammad Kazem"},{"family":"Agrawal","given":"Anurag"},{"family":"Ahmad","given":"Tauseef"},{"family":"Ahmadi","given":"Keivan"},{"family":"Ahmadi","</w:instrText>
            </w:r>
            <w:r w:rsidRPr="009A5251">
              <w:rPr>
                <w:rFonts w:ascii="Times New Roman" w:eastAsia="DengXian" w:hAnsi="Times New Roman" w:cs="Times New Roman"/>
                <w:color w:val="000000"/>
                <w:kern w:val="0"/>
                <w:sz w:val="16"/>
                <w:szCs w:val="16"/>
                <w:vertAlign w:val="superscript"/>
              </w:rPr>
              <w:instrText>given":"Mehdi"},{"family":"Ahmadieh","given":"Hamid"},{"family":"Ahmed","given":"Muktar Beshir"},{"family":"Akalu","given":"Temesgen Yihunie"},{"family":"Akinyemi","given":"Rufus Olusola"},{"family":"Akinyemiju","given":"Tomi"},{"family":"Akombi","given":"Blessing"},{"family":"Akunna","given":"Chisom Joyqueenet"},{"family":"Alahdab","given":"Fares"},{"family":"Al-Aly","given":"Ziyad"},{"family":"Alam","given":"Khurshid"},{"family":"Alam","given":"Samiah"},{"family":"Alam","given":"Tahiya"},{"family":"Alanez</w:instrText>
            </w:r>
            <w:r w:rsidRPr="009A5251">
              <w:rPr>
                <w:rFonts w:ascii="Times New Roman" w:eastAsia="DengXian" w:hAnsi="Times New Roman" w:cs="Times New Roman"/>
                <w:color w:val="000000"/>
                <w:kern w:val="0"/>
                <w:sz w:val="16"/>
                <w:szCs w:val="16"/>
                <w:vertAlign w:val="superscript"/>
              </w:rPr>
              <w:instrText>i","given":"Fahad Mashhour"},{"family":"Alanzi","given":"Turki M."},{"family":"Alemu","given":"Biresaw","dropping-particle":"wassihun"},{"family":"Alhabib","given":"Khalid F."},{"family":"Ali","given":"Muhammad"},{"family":"Ali","given":"Saqib"},{"family":"Alicandro","given":"Gianfranco"},{"family":"Alinia","given":"Cyrus"},{"family":"Alipour","given":"Vahid"},{"family":"Alizade","given":"Hesam"},{"family":"Aljunid","given":"Syed Mohamed"},{"family":"Alla","given":"François"},{"family":"Allebeck","given":"P</w:instrText>
            </w:r>
            <w:r w:rsidRPr="009A5251">
              <w:rPr>
                <w:rFonts w:ascii="Times New Roman" w:eastAsia="DengXian" w:hAnsi="Times New Roman" w:cs="Times New Roman"/>
                <w:color w:val="000000"/>
                <w:kern w:val="0"/>
                <w:sz w:val="16"/>
                <w:szCs w:val="16"/>
                <w:vertAlign w:val="superscript"/>
              </w:rPr>
              <w:instrText>eter"},{"family":"Almasi-Hashiani","given":"Amir"},{"family":"Al-Mekhlafi","given":"Hesham M."},{"family":"Alonso","given":"Jordi"},{"family":"Altirkawi","given":"Khalid A."},{"family":"Amini-Rarani","given":"Mostafa"},{"family":"Amiri","given":"Fatemeh"},{"family":"Amugsi","given":"Dickson A."},{"family":"Ancuceanu","given":"Robert"},{"family":"Anderlini","given":"Deanna"},{"family":"Anderson","given":"Jason A."},{"family":"Andrei","given":"Catalina Liliana"},{"family":"Andrei","given":"Tudorel"},{"family"</w:instrText>
            </w:r>
            <w:r w:rsidRPr="009A5251">
              <w:rPr>
                <w:rFonts w:ascii="Times New Roman" w:eastAsia="DengXian" w:hAnsi="Times New Roman" w:cs="Times New Roman"/>
                <w:color w:val="000000"/>
                <w:kern w:val="0"/>
                <w:sz w:val="16"/>
                <w:szCs w:val="16"/>
                <w:vertAlign w:val="superscript"/>
              </w:rPr>
              <w:instrText>:"Angus","given":"Colin"},{"family":"Anjomshoa","given":"Mina"},{"family":"Ansari","given":"Fereshteh"},{"family":"Ansari-Moghaddam","given":"Alireza"},{"family":"Antonazzo","given":"Ippazio Cosimo"},{"family":"Antonio","given":"Carl Abelardo T."},{"family":"Antony","given":"Catherine M."},{"family":"Antriyandarti","given":"Ernoiz"},{"family":"Anvari","given":"Davood"},{"family":"Anwer","given":"Razique"},{"family":"Appiah","given":"Seth Christopher Yaw"},{"family":"Arabloo","given":"Jalal"},{"family":"Arab</w:instrText>
            </w:r>
            <w:r w:rsidRPr="009A5251">
              <w:rPr>
                <w:rFonts w:ascii="Times New Roman" w:eastAsia="DengXian" w:hAnsi="Times New Roman" w:cs="Times New Roman"/>
                <w:color w:val="000000"/>
                <w:kern w:val="0"/>
                <w:sz w:val="16"/>
                <w:szCs w:val="16"/>
                <w:vertAlign w:val="superscript"/>
              </w:rPr>
              <w:instrText>-Zozani","given":"Morteza"},{"family":"Ariani","given":"Filippo"},{"family":"Armoon","given":"Bahram"},{"family":"Ärnlöv","given":"Johan"},{"family":"Arzani","given":"Afsaneh"},{"family":"Asadi-Aliabadi","given":"Mehran"},{"family":"Asadi-Pooya","given":"Ali A."},{"family":"Ashbaugh","given":"Charlie"},{"family":"Assmus","given":"Michael"},{"family":"Atafar","given":"Zahra"},{"family":"Atnafu","given":"Desta Debalkie"},{"family":"Atout","given":"Maha Moh'd Wahbi"},{"family":"Ausloos","given":"Floriane"},{"f</w:instrText>
            </w:r>
            <w:r w:rsidRPr="009A5251">
              <w:rPr>
                <w:rFonts w:ascii="Times New Roman" w:eastAsia="DengXian" w:hAnsi="Times New Roman" w:cs="Times New Roman"/>
                <w:color w:val="000000"/>
                <w:kern w:val="0"/>
                <w:sz w:val="16"/>
                <w:szCs w:val="16"/>
                <w:vertAlign w:val="superscript"/>
              </w:rPr>
              <w:instrText>amily":"Ausloos","given":"Marcel"},{"family":"Quintanilla","given":"Beatriz Paulina Ayala"},{"family":"Ayano","given":"Getinet"},{"family":"Ayanore","given":"Martin Amogre"},{"family":"Azari","given":"Samad"},{"family":"Azarian","given":"Ghasem"},{"family":"Azene","given":"Zelalem Nigussie"},{"family":"Badawi","given":"Alaa"},{"family":"Badiye","given":"Ashish D."},{"family":"Bahrami","given":"Mohammad Amin"},{"family":"Bakhshaei","given":"Mohammad Hossein"},{"family":"Bakhtiari","given":"Ahad"},{"family":"</w:instrText>
            </w:r>
            <w:r w:rsidRPr="009A5251">
              <w:rPr>
                <w:rFonts w:ascii="Times New Roman" w:eastAsia="DengXian" w:hAnsi="Times New Roman" w:cs="Times New Roman"/>
                <w:color w:val="000000"/>
                <w:kern w:val="0"/>
                <w:sz w:val="16"/>
                <w:szCs w:val="16"/>
                <w:vertAlign w:val="superscript"/>
              </w:rPr>
              <w:instrText>Bakkannavar","given":"Shankar M."},{"family":"Baldasseroni","given":"Alberto"},{"family":"Ball","given":"Kylie"},{"family":"Ballew","given":"Shoshana H."},{"family":"Balzi","given":"Daniela"},{"family":"Banach","given":"Maciej"},{"family":"Banerjee","given":"Srikanta K."},{"family":"Bante","given":"Agegnehu Bante"},{"family":"Baraki","given":"Adhanom Gebreegziabher"},{"family":"Barker-Collo","given":"Suzanne Lyn"},{"family":"Bärnighausen","given":"Till Winfried"},{"family":"Barrero","given":"Lope H."},{"fam</w:instrText>
            </w:r>
            <w:r w:rsidRPr="009A5251">
              <w:rPr>
                <w:rFonts w:ascii="Times New Roman" w:eastAsia="DengXian" w:hAnsi="Times New Roman" w:cs="Times New Roman"/>
                <w:color w:val="000000"/>
                <w:kern w:val="0"/>
                <w:sz w:val="16"/>
                <w:szCs w:val="16"/>
                <w:vertAlign w:val="superscript"/>
              </w:rPr>
              <w:instrText>ily":"Barthelemy","given":"Celine M."},{"family":"Barua","given":"Lingkan"},{"family":"Basu","given":"Sanjay"},{"family":"Baune","given":"Bernhard T."},{"family":"Bayati","given":"Mohsen"},{"family":"Becker","given":"Jacob S."},{"family":"Bedi","given":"Neeraj"},{"family":"Beghi","given":"Ettore"},{"family":"Béjot","given":"Yannick"},{"family":"Bell","given":"Michellr L."},{"family":"Bennitt","given":"Fiona B."},{"family":"Bensenor","given":"Isabela M."},{"family":"Berhe","given":"Kidanemaryam"},{"family":"</w:instrText>
            </w:r>
            <w:r w:rsidRPr="009A5251">
              <w:rPr>
                <w:rFonts w:ascii="Times New Roman" w:eastAsia="DengXian" w:hAnsi="Times New Roman" w:cs="Times New Roman"/>
                <w:color w:val="000000"/>
                <w:kern w:val="0"/>
                <w:sz w:val="16"/>
                <w:szCs w:val="16"/>
                <w:vertAlign w:val="superscript"/>
              </w:rPr>
              <w:instrText>Berman","given":"Adam E."},{"family":"Bhagavathula","given":"Akshaya Srikanth"},{"family":"Bhageerathy","given":"Reshmi"},{"family":"Bhala","given":"Neeraj"},{"family":"Bhandari","given":"Dinesh"},{"family":"Bhattacharyya","given":"Krittika"},{"family":"Bhutta","given":"Zulfiqar A."},{"family":"Bijani","given":"Ali"},{"family":"Bikbov","given":"Boris"},{"family":"Sayeed","given":"Muhammad Shahdaat Bin"},{"family":"Biondi","given":"Antonio"},{"family":"Birihane","given":"Binyam Minuye"},{"family":"Bisignano"</w:instrText>
            </w:r>
            <w:r w:rsidRPr="009A5251">
              <w:rPr>
                <w:rFonts w:ascii="Times New Roman" w:eastAsia="DengXian" w:hAnsi="Times New Roman" w:cs="Times New Roman"/>
                <w:color w:val="000000"/>
                <w:kern w:val="0"/>
                <w:sz w:val="16"/>
                <w:szCs w:val="16"/>
                <w:vertAlign w:val="superscript"/>
              </w:rPr>
              <w:instrText xml:space="preserve">,"given":"Catherine"},{"family":"Biswas","given":"Raaj Kishore"},{"family":"Bitew","given":"Helen"},{"family":"Bohlouli","given":"Somayeh"},{"family":"Bohluli","given":"Mehdi"},{"family":"Boon-Dooley","given":"Alexandra S."},{"family":"Borges","given":"Guilherme"},{"family":"Borzì","given":"Antonio Maria"},{"family":"Borzouei","given":"Shiva"},{"family":"Bosetti","given":"Cristina"},{"family":"Boufous","given":"Soufiane"},{"family":"Braithwaite","given":"Dejana"},{"family":"Breitborde","given":"Nicholas J. </w:instrText>
            </w:r>
            <w:r w:rsidRPr="009A5251">
              <w:rPr>
                <w:rFonts w:ascii="Times New Roman" w:eastAsia="DengXian" w:hAnsi="Times New Roman" w:cs="Times New Roman"/>
                <w:color w:val="000000"/>
                <w:kern w:val="0"/>
                <w:sz w:val="16"/>
                <w:szCs w:val="16"/>
                <w:vertAlign w:val="superscript"/>
              </w:rPr>
              <w:instrText>K."},{"family":"Breitner","given":"Susanne"},{"family":"Brenner","given":"Hermann"},{"family":"Briant","given":"Paul Svitil"},{"family":"Briko","given":"Andrey Nikolaevich"},{"family":"Briko","given":"Nikolay Ivanovich"},{"family":"Britton","given":"Gabrielle B."},{"family":"Bryazka","given":"Dana"},{"family":"Bumgarner","given":"Blair R."},{"family":"Burkart","given":"Katrin"},{"family":"Burnett","given":"Richard Thomas"},{"family":"Nagaraja","given":"Sharath Burugina"},{"family":"Butt","given":"Zahid A."}</w:instrText>
            </w:r>
            <w:r w:rsidRPr="009A5251">
              <w:rPr>
                <w:rFonts w:ascii="Times New Roman" w:eastAsia="DengXian" w:hAnsi="Times New Roman" w:cs="Times New Roman"/>
                <w:color w:val="000000"/>
                <w:kern w:val="0"/>
                <w:sz w:val="16"/>
                <w:szCs w:val="16"/>
                <w:vertAlign w:val="superscript"/>
              </w:rPr>
              <w:instrText>,{"family":"Santos","given":"Florentino Luciano Caetano","dropping-particle":"dos"},{"family":"Cahill","given":"Leah E."},{"family":"Cámera","given":"Luis LA Alberto"},{"family":"Campos-Nonato","given":"Ismael R."},{"family":"Cárdenas","given":"Rosario"},{"family":"Carreras","given":"Giulia"},{"family":"Carrero","given":"Juan J."},{"family":"Carvalho","given":"Felix"},{"family":"Castaldelli-Maia","given":"Joao Mauricio"},{"family":"Castañeda-Orjuela","given":"Carlos A."},{"family":"Castelpietra","given":"Gi</w:instrText>
            </w:r>
            <w:r w:rsidRPr="009A5251">
              <w:rPr>
                <w:rFonts w:ascii="Times New Roman" w:eastAsia="DengXian" w:hAnsi="Times New Roman" w:cs="Times New Roman"/>
                <w:color w:val="000000"/>
                <w:kern w:val="0"/>
                <w:sz w:val="16"/>
                <w:szCs w:val="16"/>
                <w:vertAlign w:val="superscript"/>
              </w:rPr>
              <w:instrText>ulio"},{"family":"Castro","given":"Franz"},{"family":"Causey","given":"Kate"},{"family":"Cederroth","given":"Christopher R."},{"family":"Cercy","given":"Kelly M."},{"family":"Cerin","given":"Ester"},{"family":"Chandan","given":"Joht Singh"},{"family":"Chang","given":"Kai-Lan"},{"family":"Charlson","given":"Fiona J."},{"family":"Chattu","given":"Vijay Kumar"},{"family":"Chaturvedi","given":"Sarika"},{"family":"Cherbuin","given":"Nicolas"},{"family":"Chimed-Ochir","given":"Odgerel"},{"family":"Cho","given":"D</w:instrText>
            </w:r>
            <w:r w:rsidRPr="009A5251">
              <w:rPr>
                <w:rFonts w:ascii="Times New Roman" w:eastAsia="DengXian" w:hAnsi="Times New Roman" w:cs="Times New Roman"/>
                <w:color w:val="000000"/>
                <w:kern w:val="0"/>
                <w:sz w:val="16"/>
                <w:szCs w:val="16"/>
                <w:vertAlign w:val="superscript"/>
              </w:rPr>
              <w:instrText>aniel Youngwhan"},{"family":"Choi","given":"Jee-Young Jasmine"},{"family":"Christensen","given":"Hanne"},{"family":"Chu","given":"Dinh-Toi"},{"family":"Chung","given":"Michael T."},{"family":"Chung","given":"Sheng-Chia"},{"family":"Cicuttini","given":"Flavia M."},{"family":"Ciobanu","given":"Liliana G."},{"family":"Cirillo","given":"Massimo"},{"family":"Classen","given":"Thomas Khaled Dwayne"},{"family":"Cohen","given":"Aaron J."},{"family":"Compton","given":"Kelly"},{"family":"Cooper","given":"Owen R."},{"</w:instrText>
            </w:r>
            <w:r w:rsidRPr="009A5251">
              <w:rPr>
                <w:rFonts w:ascii="Times New Roman" w:eastAsia="DengXian" w:hAnsi="Times New Roman" w:cs="Times New Roman"/>
                <w:color w:val="000000"/>
                <w:kern w:val="0"/>
                <w:sz w:val="16"/>
                <w:szCs w:val="16"/>
                <w:vertAlign w:val="superscript"/>
              </w:rPr>
              <w:instrText>family":"Costa","given":"Vera Marisa"},{"family":"Cousin","given":"Ewerton"},{"family":"Cowden","given":"Richard G."},{"family":"Cross","given":"Di H."},{"family":"Cruz","given":"Jessica A."},{"family":"Dahlawi","given":"Saad M. A."},{"family":"Damasceno","given":"Albertino Antonio Moura"},{"family":"Damiani","given":"Giovanni"},{"family":"Dandona","given":"Lalit"},{"family":"Dandona","given":"Rakhi"},{"family":"Dangel","given":"William James"},{"family":"Danielsson","given":"Anna-Karin"},{"family":"Dargan"</w:instrText>
            </w:r>
            <w:r w:rsidRPr="009A5251">
              <w:rPr>
                <w:rFonts w:ascii="Times New Roman" w:eastAsia="DengXian" w:hAnsi="Times New Roman" w:cs="Times New Roman"/>
                <w:color w:val="000000"/>
                <w:kern w:val="0"/>
                <w:sz w:val="16"/>
                <w:szCs w:val="16"/>
                <w:vertAlign w:val="superscript"/>
              </w:rPr>
              <w:instrText>,"given":"Paul I."},{"family":"Darwesh","given":"Aso Mohammad"},{"family":"Daryani","given":"Ahmad"},{"family":"Das","given":"Jai K."},{"family":"Gupta","given":"Rajat Das"},{"family":"Neves","given":"José","dropping-particle":"das"},{"family":"Dávila-Cervantes","given":"Claudio Alberto"},{"family":"Davitoiu","given":"Dragos Virgil"},{"family":"Leo","given":"Diego De"},{"family":"Degenhardt","given":"Louisa"},{"family":"DeLang","given":"Marissa"},{"family":"Dellavalle","given":"Robert Paul"},{"family":"Deme</w:instrText>
            </w:r>
            <w:r w:rsidRPr="009A5251">
              <w:rPr>
                <w:rFonts w:ascii="Times New Roman" w:eastAsia="DengXian" w:hAnsi="Times New Roman" w:cs="Times New Roman"/>
                <w:color w:val="000000"/>
                <w:kern w:val="0"/>
                <w:sz w:val="16"/>
                <w:szCs w:val="16"/>
                <w:vertAlign w:val="superscript"/>
              </w:rPr>
              <w:instrText>ke","given":"Feleke Mekonnen"},{"family":"Demoz","given":"Gebre Teklemariam"},{"family":"Demsie","given":"Desalegn Getnet"},{"family":"Denova-Gutiérrez","given":"Edgar"},{"family":"Dervenis","given":"Nikolaos"},{"family":"Dhungana","given":"Govinda Prasad"},{"family":"Dianatinasab","given":"Mostafa"},{"family":"Silva","given":"Diana Dias","dropping-particle":"da"},{"family":"Diaz","given":"Daniel"},{"family":"Forooshani","given":"Zahra Sadat Dibaji"},{"family":"Djalalinia","given":"Shirin"},{"family":"Do","</w:instrText>
            </w:r>
            <w:r w:rsidRPr="009A5251">
              <w:rPr>
                <w:rFonts w:ascii="Times New Roman" w:eastAsia="DengXian" w:hAnsi="Times New Roman" w:cs="Times New Roman"/>
                <w:color w:val="000000"/>
                <w:kern w:val="0"/>
                <w:sz w:val="16"/>
                <w:szCs w:val="16"/>
                <w:vertAlign w:val="superscript"/>
              </w:rPr>
              <w:instrText>given":"Hoa Thi"},{"family":"Dokova","given":"Klara"},{"family":"Dorostkar","given":"Fariba"},{"family":"Doshmangir","given":"Leila"},{"family":"Driscoll","given":"Tim Robert"},{"family":"Duncan","given":"Bruce B."},{"family":"Duraes","given":"Andre Rodrigues"},{"family":"Eagan","given":"Arielle Wilder"},{"family":"Edvardsson","given":"David"},{"family":"Nahas","given":"Nevine El"},{"family":"Sayed","given":"Iman El"},{"family":"Tantawi","given":"Maha El"},{"family":"Elbarazi","given":"Iffat"},{"family":"El</w:instrText>
            </w:r>
            <w:r w:rsidRPr="009A5251">
              <w:rPr>
                <w:rFonts w:ascii="Times New Roman" w:eastAsia="DengXian" w:hAnsi="Times New Roman" w:cs="Times New Roman"/>
                <w:color w:val="000000"/>
                <w:kern w:val="0"/>
                <w:sz w:val="16"/>
                <w:szCs w:val="16"/>
                <w:vertAlign w:val="superscript"/>
              </w:rPr>
              <w:instrText>gendy","given":"Islam Y."},{"family":"El-Jaafary","given":"Shaimaa I."},{"family":"Elyazar","given":"Iqbal RF"},{"family":"Emmons-Bell","given":"Sophia"},{"family":"Erskine","given":"Holly E."},{"family":"Eskandarieh","given":"Sharareh"},{"family":"Esmaeilnejad","given":"Saman"},{"family":"Esteghamati","given":"Alireza"},{"family":"Estep","given":"Kara"},{"family":"Etemadi","given":"Arash"},{"family":"Etisso","given":"Atkilt Esaiyas"},{"family":"Fanzo","given":"Jessica"},{"family":"Farahmand","given":"Moham</w:instrText>
            </w:r>
            <w:r w:rsidRPr="009A5251">
              <w:rPr>
                <w:rFonts w:ascii="Times New Roman" w:eastAsia="DengXian" w:hAnsi="Times New Roman" w:cs="Times New Roman"/>
                <w:color w:val="000000"/>
                <w:kern w:val="0"/>
                <w:sz w:val="16"/>
                <w:szCs w:val="16"/>
                <w:vertAlign w:val="superscript"/>
              </w:rPr>
              <w:instrText>mad"},{"family":"Fareed","given":"Mohammad"},{"family":"Faridnia","given":"Roghiyeh"},{"family":"Farioli","given":"Andrea"},{"family":"Faro","given":"Andre"},{"family":"Faruque","given":"Mithila"},{"family":"Farzadfar","given":"Farshad"},{"family":"Fattahi","given":"Nazir"},{"family":"Fazlzadeh","given":"Mehdi"},{"family":"Feigin","given":"Valery L."},{"family":"Feldman","given":"Rachel"},{"family":"Fereshtehnejad","given":"Seyed-Mohammad"},{"family":"Fernandes","given":"Eduarda"},{"family":"Ferrara","given</w:instrText>
            </w:r>
            <w:r w:rsidRPr="009A5251">
              <w:rPr>
                <w:rFonts w:ascii="Times New Roman" w:eastAsia="DengXian" w:hAnsi="Times New Roman" w:cs="Times New Roman"/>
                <w:color w:val="000000"/>
                <w:kern w:val="0"/>
                <w:sz w:val="16"/>
                <w:szCs w:val="16"/>
                <w:vertAlign w:val="superscript"/>
              </w:rPr>
              <w:instrText>":"Giannina"},{"family":"Ferrari","given":"Alize J."},{"family":"Ferreira","given":"Manuela L."},{"family":"Filip","given":"Irina"},{"family":"Fischer","given":"Florian"},{"family":"Fisher","given":"James L."},{"family":"Flor","given":"Luisa Sorio"},{"family":"Foigt","given":"Nataliya A."},{"family":"Folayan","given":"Morenike Oluwatoyin"},{"family":"Fomenkov","given":"Artem Alekseevich"},{"family":"Force","given":"Lisa M."},{"family":"Foroutan","given":"Masoud"},{"family":"Franklin","given":"Richard Charle</w:instrText>
            </w:r>
            <w:r w:rsidRPr="009A5251">
              <w:rPr>
                <w:rFonts w:ascii="Times New Roman" w:eastAsia="DengXian" w:hAnsi="Times New Roman" w:cs="Times New Roman"/>
                <w:color w:val="000000"/>
                <w:kern w:val="0"/>
                <w:sz w:val="16"/>
                <w:szCs w:val="16"/>
                <w:vertAlign w:val="superscript"/>
              </w:rPr>
              <w:instrText>s"},{"family":"Freitas","given":"Marisa"},{"family":"Fu","given":"Weijia"},{"family":"Fukumoto","given":"Takeshi"},{"family":"Furtado","given":"João M."},{"family":"Gad","given":"Mohamed M."},{"family":"Gakidou","given":"Emmanuela"},{"family":"Gallus","given":"Silvano"},{"family":"Garcia-Basteiro","given":"Alberto L."},{"family":"Gardner","given":"William M."},{"family":"Geberemariyam","given":"Biniyam Sahiledengle"},{"family":"Gebreslassie","given":"Assefa Ayalew Ayalew Ayalew"},{"family":"Geremew","given"</w:instrText>
            </w:r>
            <w:r w:rsidRPr="009A5251">
              <w:rPr>
                <w:rFonts w:ascii="Times New Roman" w:eastAsia="DengXian" w:hAnsi="Times New Roman" w:cs="Times New Roman"/>
                <w:color w:val="000000"/>
                <w:kern w:val="0"/>
                <w:sz w:val="16"/>
                <w:szCs w:val="16"/>
                <w:vertAlign w:val="superscript"/>
              </w:rPr>
              <w:instrText>:"Abraham"},{"family":"Hayoon","given":"Anna Gershberg"},{"family":"Gething","given":"Peter W."},{"family":"Ghadimi","given":"Maryam"},{"family":"Ghadiri","given":"Keyghobad"},{"family":"Ghaffarifar","given":"Fatemeh"},{"family":"Ghafourifard","given":"Mansour"},{"family":"Ghamari","given":"Farhad"},{"family":"Ghashghaee","given":"Ahmad"},{"family":"Ghiasvand","given":"Hesam"},{"family":"Ghith","given":"Nermin"},{"family":"Gholamian","given":"Asadollah"},{"family":"Ghosh","given":"Rakesh"},{"family":"Gill",</w:instrText>
            </w:r>
            <w:r w:rsidRPr="009A5251">
              <w:rPr>
                <w:rFonts w:ascii="Times New Roman" w:eastAsia="DengXian" w:hAnsi="Times New Roman" w:cs="Times New Roman"/>
                <w:color w:val="000000"/>
                <w:kern w:val="0"/>
                <w:sz w:val="16"/>
                <w:szCs w:val="16"/>
                <w:vertAlign w:val="superscript"/>
              </w:rPr>
              <w:instrText>"given":"Paramjit Singh"},{"family":"Ginindza","given":"Themba G. G."},{"family":"Giussani","given":"Giorgia"},{"family":"Gnedovskaya","given":"Elena V."},{"family":"Goharinezhad","given":"Salime"},{"family":"Gopalani","given":"Sameer Vali"},{"family":"Gorini","given":"Giuseppe"},{"family":"Goudarzi","given":"Houman"},{"family":"Goulart","given":"Alessandra C."},{"family":"Greaves","given":"Felix"},{"family":"Grivna","given":"Michal"},{"family":"Grosso","given":"Giuseppe"},{"family":"Gubari","given":"Mohamm</w:instrText>
            </w:r>
            <w:r w:rsidRPr="009A5251">
              <w:rPr>
                <w:rFonts w:ascii="Times New Roman" w:eastAsia="DengXian" w:hAnsi="Times New Roman" w:cs="Times New Roman"/>
                <w:color w:val="000000"/>
                <w:kern w:val="0"/>
                <w:sz w:val="16"/>
                <w:szCs w:val="16"/>
                <w:vertAlign w:val="superscript"/>
              </w:rPr>
              <w:instrText>ed Ibrahim Mohialdeen"},{"family":"Gugnani","given":"Harish Chander"},{"family":"Guimarães","given":"Rafael Alves"},{"family":"Guled","given":"Rashid Abdi"},{"family":"Guo","given":"Gaorui"},{"family":"Guo","given":"Yuming"},{"family":"Gupta","given":"Rajeev"},{"family":"Gupta","given":"Tarun"},{"family":"Haddock","given":"Beatrix"},{"family":"Hafezi-Nejad","given":"Nima"},{"family":"Hafiz","given":"Abdul"},{"family":"Haj-Mirzaian","given":"Arvin"},{"family":"Haj-Mirzaian","given":"Arya"},{"family":"Hall","</w:instrText>
            </w:r>
            <w:r w:rsidRPr="009A5251">
              <w:rPr>
                <w:rFonts w:ascii="Times New Roman" w:eastAsia="DengXian" w:hAnsi="Times New Roman" w:cs="Times New Roman"/>
                <w:color w:val="000000"/>
                <w:kern w:val="0"/>
                <w:sz w:val="16"/>
                <w:szCs w:val="16"/>
                <w:vertAlign w:val="superscript"/>
              </w:rPr>
              <w:instrText>given":"Brian J."},{"family":"Halvaei","given":"Iman"},{"family":"Hamadeh","given":"Randah R."},{"family":"Hamidi","given":"Samer"},{"family":"Hammer","given":"Melanie S."},{"family":"Hankey","given":"Graeme J."},{"family":"Haririan","given":"Hamidreza"},{"family":"Haro","given":"Josep Maria"},{"family":"Hasaballah","given":"Ahmed I."},{"family":"Hasan","given":"Md Mehedi"},{"family":"Hasanpoor","given":"Edris"},{"family":"Hashi","given":"Abdiwahab"},{"family":"Hassanipour","given":"Soheil"},{"family":"Hass</w:instrText>
            </w:r>
            <w:r w:rsidRPr="009A5251">
              <w:rPr>
                <w:rFonts w:ascii="Times New Roman" w:eastAsia="DengXian" w:hAnsi="Times New Roman" w:cs="Times New Roman"/>
                <w:color w:val="000000"/>
                <w:kern w:val="0"/>
                <w:sz w:val="16"/>
                <w:szCs w:val="16"/>
                <w:vertAlign w:val="superscript"/>
              </w:rPr>
              <w:instrText>ankhani","given":"Hadi"},{"family":"Havmoeller","given":"Rasmus J."},{"family":"Hay","given":"Simon I."},{"family":"Hayat","given":"Khezar"},{"family":"Heidari","given":"Golnaz"},{"family":"Heidari-Soureshjani","given":"Reza"},{"family":"Henrikson","given":"Hannah J."},{"family":"Herbert","given":"Molly E."},{"family":"Herteliu","given":"Claudiu"},{"family":"Heydarpour","given":"Fatemeh"},{"family":"Hird","given":"Thomas R."},{"family":"Hoek","given":"Hans W."},{"family":"Holla","given":"Ramesh"},{"family":</w:instrText>
            </w:r>
            <w:r w:rsidRPr="009A5251">
              <w:rPr>
                <w:rFonts w:ascii="Times New Roman" w:eastAsia="DengXian" w:hAnsi="Times New Roman" w:cs="Times New Roman"/>
                <w:color w:val="000000"/>
                <w:kern w:val="0"/>
                <w:sz w:val="16"/>
                <w:szCs w:val="16"/>
                <w:vertAlign w:val="superscript"/>
              </w:rPr>
              <w:instrText>"Hoogar","given":"Praveen"},{"family":"Hosgood","given":"H. Dean"},{"family":"Hossain","given":"Naznin"},{"family":"Hosseini","given":"Mostafa"},{"family":"Hosseinzadeh","given":"Mehdi"},{"family":"Hostiuc","given":"Mihaela"},{"family":"Hostiuc","given":"Sorin"},{"family":"Househ","given":"Mowafa"},{"family":"Hsairi","given":"Mohamed"},{"family":"Hsieh","given":"Vivian Chia-rong"},{"family":"Hu","given":"Guoqing"},{"family":"Hu","given":"Kejia"},{"family":"Huda","given":"Tanvir M."},{"family":"Humayun","giv</w:instrText>
            </w:r>
            <w:r w:rsidRPr="009A5251">
              <w:rPr>
                <w:rFonts w:ascii="Times New Roman" w:eastAsia="DengXian" w:hAnsi="Times New Roman" w:cs="Times New Roman"/>
                <w:color w:val="000000"/>
                <w:kern w:val="0"/>
                <w:sz w:val="16"/>
                <w:szCs w:val="16"/>
                <w:vertAlign w:val="superscript"/>
              </w:rPr>
              <w:instrText>en":"Ayesha"},{"family":"Huynh","given":"Chantal K."},{"family":"Hwang","given":"Bing-Fang"},{"family":"Iannucci","given":"Vincent C."},{"family":"Ibitoye","given":"Segun Emmanuel"},{"family":"Ikeda","given":"Nayu"},{"family":"Ikuta","given":"Kevin S."},{"family":"Ilesanmi","given":"Olayinka Stephen"},{"family":"Ilic","given":"Irena M."},{"family":"Ilic","given":"Milena D."},{"family":"Inbaraj","given":"Leeberk Raja"},{"family":"Ippolito","given":"Helen"},{"family":"Iqbal","given":"Usman"},{"family":"Irvani</w:instrText>
            </w:r>
            <w:r w:rsidRPr="009A5251">
              <w:rPr>
                <w:rFonts w:ascii="Times New Roman" w:eastAsia="DengXian" w:hAnsi="Times New Roman" w:cs="Times New Roman"/>
                <w:color w:val="000000"/>
                <w:kern w:val="0"/>
                <w:sz w:val="16"/>
                <w:szCs w:val="16"/>
                <w:vertAlign w:val="superscript"/>
              </w:rPr>
              <w:instrText>","given":"Seyed Sina Naghibi"},{"family":"Irvine","given":"Caleb Mackay Salpeter"},{"family":"Islam","given":"M. Mofizul"},{"family":"Islam","given":"Sheikh Mohammed Shariful"},{"family":"Iso","given":"Hiroyasu"},{"family":"Ivers","given":"Rebecca Q."},{"family":"Iwu","given":"Chidozie C. D."},{"family":"Iwu","given":"Chinwe Juliana"},{"family":"Iyamu","given":"Ihoghosa Osamuyi"},{"family":"Jaafari","given":"Jalil"},{"family":"Jacobsen","given":"Kathryn H."},{"family":"Jafari","given":"Hussain"},{"family":</w:instrText>
            </w:r>
            <w:r w:rsidRPr="009A5251">
              <w:rPr>
                <w:rFonts w:ascii="Times New Roman" w:eastAsia="DengXian" w:hAnsi="Times New Roman" w:cs="Times New Roman"/>
                <w:color w:val="000000"/>
                <w:kern w:val="0"/>
                <w:sz w:val="16"/>
                <w:szCs w:val="16"/>
                <w:vertAlign w:val="superscript"/>
              </w:rPr>
              <w:instrText>"Jafarinia","given":"Morteza"},{"family":"Jahani","given":"Mohammad Ali"},{"family":"Jakovljevic","given":"Mihajlo"},{"family":"Jalilian","given":"Farzad"},{"family":"James","given":"Spencer L."},{"family":"Janjani","given":"Hosna"},{"family":"Javaheri","given":"Tahereh"},{"family":"Javidnia","given":"Javad"},{"family":"Jeemon","given":"Panniyammakal"},{"family":"Jenabi","given":"Ensiyeh"},{"family":"Jha","given":"Ravi Prakash"},{"family":"Jha","given":"Vivekanand"},{"family":"Ji","given":"John S."},{"famil</w:instrText>
            </w:r>
            <w:r w:rsidRPr="009A5251">
              <w:rPr>
                <w:rFonts w:ascii="Times New Roman" w:eastAsia="DengXian" w:hAnsi="Times New Roman" w:cs="Times New Roman"/>
                <w:color w:val="000000"/>
                <w:kern w:val="0"/>
                <w:sz w:val="16"/>
                <w:szCs w:val="16"/>
                <w:vertAlign w:val="superscript"/>
              </w:rPr>
              <w:instrText>y":"Johansson","given":"Lars"},{"family":"John","given":"Oommen"},{"family":"John-Akinola","given":"Yetunde O."},{"family":"Johnson","given":"Catherine Owens"},{"family":"Jonas","given":"Jost B."},{"family":"Joukar","given":"Farahnaz"},{"family":"Jozwiak","given":"Jacek Jerzy"},{"family":"Jürisson","given":"Mikk"},{"family":"Kabir","given":"Ali"},{"family":"Kabir","given":"Zubair"},{"family":"Kalani","given":"Hamed"},{"family":"Kalani","given":"Rizwan"},{"family":"Kalankesh","given":"Leila R."},{"family":"K</w:instrText>
            </w:r>
            <w:r w:rsidRPr="009A5251">
              <w:rPr>
                <w:rFonts w:ascii="Times New Roman" w:eastAsia="DengXian" w:hAnsi="Times New Roman" w:cs="Times New Roman"/>
                <w:color w:val="000000"/>
                <w:kern w:val="0"/>
                <w:sz w:val="16"/>
                <w:szCs w:val="16"/>
                <w:vertAlign w:val="superscript"/>
              </w:rPr>
              <w:instrText>alhor","given":"Rohollah"},{"family":"Kanchan","given":"Tanuj"},{"family":"Kapoor","given":"Neeti"},{"family":"Matin","given":"Behzad Karami"},{"family":"Karch","given":"André"},{"family":"Karim","given":"Mohd Anisul"},{"family":"Kassa","given":"Getachew Mullu"},{"family":"Katikireddi","given":"Srinivasa Vittal"},{"family":"Kayode","given":"Gbenga A."},{"family":"Karyani","given":"Ali Kazemi"},{"family":"Keiyoro","given":"Peter Njenga"},{"family":"Keller","given":"Cathleen"},{"family":"Kemmer","given":"Laur</w:instrText>
            </w:r>
            <w:r w:rsidRPr="009A5251">
              <w:rPr>
                <w:rFonts w:ascii="Times New Roman" w:eastAsia="DengXian" w:hAnsi="Times New Roman" w:cs="Times New Roman"/>
                <w:color w:val="000000"/>
                <w:kern w:val="0"/>
                <w:sz w:val="16"/>
                <w:szCs w:val="16"/>
                <w:vertAlign w:val="superscript"/>
              </w:rPr>
              <w:instrText xml:space="preserve">a"},{"family":"Kendrick","given":"Parkes J."},{"family":"Khalid","given":"Nauman"},{"family":"Khammarnia","given":"Mohammad"},{"family":"Khan","given":"Ejaz Ahmad"},{"family":"Khan","given":"Maseer"},{"family":"Khatab","given":"Khaled"},{"family":"Khater","given":"Mona M."},{"family":"Khatib","given":"Mahalaqua Nazli"},{"family":"Khayamzadeh","given":"Maryam"},{"family":"Khazaei","given":"Salman"},{"family":"Kieling","given":"Christian"},{"family":"Kim","given":"Yun Jin"},{"family":"Kimokoti","given":"Ruth </w:instrText>
            </w:r>
            <w:r w:rsidRPr="009A5251">
              <w:rPr>
                <w:rFonts w:ascii="Times New Roman" w:eastAsia="DengXian" w:hAnsi="Times New Roman" w:cs="Times New Roman"/>
                <w:color w:val="000000"/>
                <w:kern w:val="0"/>
                <w:sz w:val="16"/>
                <w:szCs w:val="16"/>
                <w:vertAlign w:val="superscript"/>
              </w:rPr>
              <w:instrText>W."},{"family":"Kisa","given":"Adnan"},{"family":"Kisa","given":"Sezer"},{"family":"Kivimäki","given":"Mika"},{"family":"Knibbs","given":"Luke D."},{"family":"Knudsen","given":"Ann Kristin Skrindo"},{"family":"Kocarnik","given":"Jonathan M."},{"family":"Kochhar","given":"Sonali"},{"family":"Kopec","given":"Jacek A."},{"family":"Korshunov","given":"Vladimir Andreevich"},{"family":"Koul","given":"Parvaiz A."},{"family":"Koyanagi","given":"Ai"},{"family":"Kraemer","given":"Moritz U. G."},{"family":"Krishan","g</w:instrText>
            </w:r>
            <w:r w:rsidRPr="009A5251">
              <w:rPr>
                <w:rFonts w:ascii="Times New Roman" w:eastAsia="DengXian" w:hAnsi="Times New Roman" w:cs="Times New Roman"/>
                <w:color w:val="000000"/>
                <w:kern w:val="0"/>
                <w:sz w:val="16"/>
                <w:szCs w:val="16"/>
                <w:vertAlign w:val="superscript"/>
              </w:rPr>
              <w:instrText>iven":"Kewal"},{"family":"Krohn","given":"Kris J."},{"family":"Kromhout","given":"Hans"},{"family":"Defo","given":"Barthelemy Kuate"},{"family":"Kumar","given":"G. Anil"},{"family":"Kumar","given":"Vivek"},{"family":"Kurmi","given":"Om P."},{"family":"Kusuma","given":"Dian"},{"family":"Vecchia","given":"Carlo La"},{"family":"Lacey","given":"Ben"},{"family":"Lal","given":"Dharmesh Kumar"},{"family":"Lalloo","given":"Ratilal"},{"family":"Lallukka","given":"Tea"},{"family":"Lami","given":"Faris Hasan"},{"famil</w:instrText>
            </w:r>
            <w:r w:rsidRPr="009A5251">
              <w:rPr>
                <w:rFonts w:ascii="Times New Roman" w:eastAsia="DengXian" w:hAnsi="Times New Roman" w:cs="Times New Roman"/>
                <w:color w:val="000000"/>
                <w:kern w:val="0"/>
                <w:sz w:val="16"/>
                <w:szCs w:val="16"/>
                <w:vertAlign w:val="superscript"/>
              </w:rPr>
              <w:instrText>y":"Landires","given":"Iván"},{"family":"Lang","given":"Justin J."},{"family":"Langan","given":"Sinéad M."},{"family":"Larsson","given":"Anders O."},{"family":"Lasrado","given":"Savita"},{"family":"Lauriola","given":"Paolo"},{"family":"Lazarus","given":"Jeffrey V."},{"family":"Lee","given":"Paul H."},{"family":"Lee","given":"Shaun Wen Huey"},{"family":"LeGrand","given":"Kate E."},{"family":"Leigh","given":"James"},{"family":"Leonardi","given":"Matilde"},{"family":"Lescinsky","given":"Haley"},{"family":"Leun</w:instrText>
            </w:r>
            <w:r w:rsidRPr="009A5251">
              <w:rPr>
                <w:rFonts w:ascii="Times New Roman" w:eastAsia="DengXian" w:hAnsi="Times New Roman" w:cs="Times New Roman"/>
                <w:color w:val="000000"/>
                <w:kern w:val="0"/>
                <w:sz w:val="16"/>
                <w:szCs w:val="16"/>
                <w:vertAlign w:val="superscript"/>
              </w:rPr>
              <w:instrText>g","given":"Janni"},{"family":"Levi","given":"Miriam"},{"family":"Li","given":"Shanshan"},{"family":"Lim","given":"Lee-Ling"},{"family":"Linn","given":"Shai"},{"family":"Liu","given":"Shiwei"},{"family":"Liu","given":"Simin"},{"family":"Liu","given":"Yang"},{"family":"Lo","given":"Justin"},{"family":"Lopez","given":"Alan D."},{"family":"Lopez","given":"Jaifred Christian F."},{"family":"Lopukhov","given":"Platon D."},{"family":"Lorkowski","given":"Stefan"},{"family":"Lotufo","given":"Paulo A."},{"family":"Lu</w:instrText>
            </w:r>
            <w:r w:rsidRPr="009A5251">
              <w:rPr>
                <w:rFonts w:ascii="Times New Roman" w:eastAsia="DengXian" w:hAnsi="Times New Roman" w:cs="Times New Roman"/>
                <w:color w:val="000000"/>
                <w:kern w:val="0"/>
                <w:sz w:val="16"/>
                <w:szCs w:val="16"/>
                <w:vertAlign w:val="superscript"/>
              </w:rPr>
              <w:instrText>","given":"Alton"},{"family":"Lugo","given":"Alessandra"},{"family":"Maddison","given":"Emilie R."},{"family":"Mahasha","given":"Phetole Walter"},{"family":"Mahdavi","given":"Mokhtar Mahdavi"},{"family":"Mahmoudi","given":"Morteza"},{"family":"Majeed","given":"Azeem"},{"family":"Maleki","given":"Afshin"},{"family":"Maleki","given":"Shokofeh"},{"family":"Malekzadeh","given":"Reza"},{"family":"Malta","given":"Deborah Carvalho"},{"family":"Mamun","given":"Abdullah A."},{"family":"Manda","given":"Ana Laura"},{"</w:instrText>
            </w:r>
            <w:r w:rsidRPr="009A5251">
              <w:rPr>
                <w:rFonts w:ascii="Times New Roman" w:eastAsia="DengXian" w:hAnsi="Times New Roman" w:cs="Times New Roman"/>
                <w:color w:val="000000"/>
                <w:kern w:val="0"/>
                <w:sz w:val="16"/>
                <w:szCs w:val="16"/>
                <w:vertAlign w:val="superscript"/>
              </w:rPr>
              <w:instrText>family":"Manguerra","given":"Helena"},{"family":"Mansour-Ghanaei","given":"Fariborz"},{"family":"Mansouri","given":"Borhan"},{"family":"Mansournia","given":"Mohammad Ali"},{"family":"Herrera","given":"Ana M. Mantilla"},{"family":"Maravilla","given":"Joemer C."},{"family":"Marks","given":"Ashley"},{"family":"Martin","given":"Randall V."},{"family":"Martini","given":"Santi"},{"family":"Martins-Melo","given":"Francisco Rogerlândio"},{"family":"Masaka","given":"Anthony"},{"family":"Masoumi","given":"Seyedeh Zah</w:instrText>
            </w:r>
            <w:r w:rsidRPr="009A5251">
              <w:rPr>
                <w:rFonts w:ascii="Times New Roman" w:eastAsia="DengXian" w:hAnsi="Times New Roman" w:cs="Times New Roman"/>
                <w:color w:val="000000"/>
                <w:kern w:val="0"/>
                <w:sz w:val="16"/>
                <w:szCs w:val="16"/>
                <w:vertAlign w:val="superscript"/>
              </w:rPr>
              <w:instrText>ra"},{"family":"Mathur","given":"Manu Raj"},{"family":"Matsushita","given":"Kunihiro"},{"family":"Maulik","given":"Pallab K."},{"family":"McAlinden","given":"Colm"},{"family":"McGrath","given":"John J."},{"family":"McKee","given":"Martin"},{"family":"Mehndiratta","given":"Man Mohan"},{"family":"Mehri","given":"Fereshteh"},{"family":"Mehta","given":"Kala M."},{"family":"Memish","given":"Ziad A."},{"family":"Mendoza","given":"Walter"},{"family":"Menezes","given":"Ritesh G."},{"family":"Mengesha","given":"Enda</w:instrText>
            </w:r>
            <w:r w:rsidRPr="009A5251">
              <w:rPr>
                <w:rFonts w:ascii="Times New Roman" w:eastAsia="DengXian" w:hAnsi="Times New Roman" w:cs="Times New Roman"/>
                <w:color w:val="000000"/>
                <w:kern w:val="0"/>
                <w:sz w:val="16"/>
                <w:szCs w:val="16"/>
                <w:vertAlign w:val="superscript"/>
              </w:rPr>
              <w:instrText>lkachew Worku"},{"family":"Mereke","given":"Alibek"},{"family":"Mereta","given":"Seid Tiku"},{"family":"Meretoja","given":"Atte"},{"family":"Meretoja","given":"Tuomo J."},{"family":"Mestrovic","given":"Tomislav"},{"family":"Miazgowski","given":"Bartosz"},{"family":"Miazgowski","given":"Tomasz"},{"family":"Michalek","given":"Irmina Maria"},{"family":"Miller","given":"Ted R."},{"family":"Mills","given":"Edward J."},{"family":"Mini","given":"G. K."},{"family":"Miri","given":"Mohammad"},{"family":"Mirica","give</w:instrText>
            </w:r>
            <w:r w:rsidRPr="009A5251">
              <w:rPr>
                <w:rFonts w:ascii="Times New Roman" w:eastAsia="DengXian" w:hAnsi="Times New Roman" w:cs="Times New Roman"/>
                <w:color w:val="000000"/>
                <w:kern w:val="0"/>
                <w:sz w:val="16"/>
                <w:szCs w:val="16"/>
                <w:vertAlign w:val="superscript"/>
              </w:rPr>
              <w:instrText>n":"Andreea"},{"family":"Mirrakhimov","given":"Erkin M."},{"family":"Mirzaei","given":"Hamed"},{"family":"Mirzaei","given":"Maryam"},{"family":"Mirzaei","given":"Roya"},{"family":"Mirzaei-Alavijeh","given":"Mehdi"},{"family":"Misganaw","given":"Awoke Temesgen"},{"family":"Mithra","given":"Prasanna"},{"family":"Moazen","given":"Babak"},{"family":"Mohammad","given":"Dara K."},{"family":"Mohammad","given":"Yousef"},{"family":"Mezerji","given":"Naser Mohammad Gholi"},{"family":"Mohammadian-Hafshejani","given":"</w:instrText>
            </w:r>
            <w:r w:rsidRPr="009A5251">
              <w:rPr>
                <w:rFonts w:ascii="Times New Roman" w:eastAsia="DengXian" w:hAnsi="Times New Roman" w:cs="Times New Roman"/>
                <w:color w:val="000000"/>
                <w:kern w:val="0"/>
                <w:sz w:val="16"/>
                <w:szCs w:val="16"/>
                <w:vertAlign w:val="superscript"/>
              </w:rPr>
              <w:instrText>Abdollah"},{"family":"Mohammadifard","given":"Noushin"},{"family":"Mohammadpourhodki","given":"Reza"},{"family":"Mohammed","given":"Ammas Siraj"},{"family":"Mohammed","given":"Hussen"},{"family":"Mohammed","given":"Jemal Abdu"},{"family":"Mohammed","given":"Shafiu"},{"family":"Mokdad","given":"Ali H."},{"family":"Molokhia","given":"Mariam"},{"family":"Monasta","given":"Lorenzo"},{"family":"Mooney","given":"Meghan D."},{"family":"Moradi","given":"Ghobad"},{"family":"Moradi","given":"Masoud"},{"family":"Morad</w:instrText>
            </w:r>
            <w:r w:rsidRPr="009A5251">
              <w:rPr>
                <w:rFonts w:ascii="Times New Roman" w:eastAsia="DengXian" w:hAnsi="Times New Roman" w:cs="Times New Roman"/>
                <w:color w:val="000000"/>
                <w:kern w:val="0"/>
                <w:sz w:val="16"/>
                <w:szCs w:val="16"/>
                <w:vertAlign w:val="superscript"/>
              </w:rPr>
              <w:instrText>i-Lakeh","given":"Maziar"},{"family":"Moradzadeh","given":"Rahmatollah"},{"family":"Moraga","given":"Paula"},{"family":"Morawska","given":"Lidia"},{"family":"Morgado-da-Costa","given":"Joana"},{"family":"Morrison","given":"Shane Douglas"},{"family":"Mosapour","given":"Abbas"},{"family":"Mosser","given":"Jonathan F."},{"family":"Mouodi","given":"Simin"},{"family":"Mousavi","given":"Seyyed Meysam"},{"family":"Khaneghah","given":"Amin Mousavi"},{"family":"Mueller","given":"Ulrich Otto"},{"family":"Mukhopadhyay</w:instrText>
            </w:r>
            <w:r w:rsidRPr="009A5251">
              <w:rPr>
                <w:rFonts w:ascii="Times New Roman" w:eastAsia="DengXian" w:hAnsi="Times New Roman" w:cs="Times New Roman"/>
                <w:color w:val="000000"/>
                <w:kern w:val="0"/>
                <w:sz w:val="16"/>
                <w:szCs w:val="16"/>
                <w:vertAlign w:val="superscript"/>
              </w:rPr>
              <w:instrText>","given":"Satinath"},{"family":"Mullany","given":"Erin C."},{"family":"Musa","given":"Kamarul Imran"},{"family":"Muthupandian","given":"Saravanan"},{"family":"Nabhan","given":"Ashraf F."},{"family":"Naderi","given":"Mehdi"},{"family":"Nagarajan","given":"Ahamarshan Jayaraman"},{"family":"Nagel","given":"Gabriele"},{"family":"Naghavi","given":"Mohsen"},{"family":"Naghshtabrizi","given":"Behshad"},{"family":"Naimzada","given":"Mukhammad David"},{"family":"Najafi","given":"Farid"},{"family":"Nangia","given":"</w:instrText>
            </w:r>
            <w:r w:rsidRPr="009A5251">
              <w:rPr>
                <w:rFonts w:ascii="Times New Roman" w:eastAsia="DengXian" w:hAnsi="Times New Roman" w:cs="Times New Roman"/>
                <w:color w:val="000000"/>
                <w:kern w:val="0"/>
                <w:sz w:val="16"/>
                <w:szCs w:val="16"/>
                <w:vertAlign w:val="superscript"/>
              </w:rPr>
              <w:instrText>Vinay"},{"family":"Nansseu","given":"Jobert Richie"},{"family":"Naserbakht","given":"Morteza"},{"family":"Nayak","given":"Vinod C."},{"family":"Negoi","given":"Ionut"},{"family":"Ngunjiri","given":"Josephine W."},{"family":"Nguyen","given":"Cuong Tat"},{"family":"Nguyen","given":"Huong Lan Thi"},{"family":"Nguyen","given":"Minh"},{"family":"Nigatu","given":"Yeshambel T."},{"family":"Nikbakhsh","given":"Rajan"},{"family":"Nixon","given":"Molly R."},{"family":"Nnaji","given":"Chukwudi A."},{"family":"Nomura",</w:instrText>
            </w:r>
            <w:r w:rsidRPr="009A5251">
              <w:rPr>
                <w:rFonts w:ascii="Times New Roman" w:eastAsia="DengXian" w:hAnsi="Times New Roman" w:cs="Times New Roman"/>
                <w:color w:val="000000"/>
                <w:kern w:val="0"/>
                <w:sz w:val="16"/>
                <w:szCs w:val="16"/>
                <w:vertAlign w:val="superscript"/>
              </w:rPr>
              <w:instrText>"given":"Shuhei"},{"family":"Norrving","given":"Bo"},{"family":"Noubiap","given":"Jean Jacques"},{"family":"Nowak","given":"Christoph"},{"family":"Nunez-Samudio","given":"Virginia"},{"family":"Oţoiu","given":"Adrian"},{"family":"Oancea","given":"Bogdan"},{"family":"Odell","given":"Christopher M."},{"family":"Ogbo","given":"Felix Akpojene"},{"family":"Oh","given":"In-Hwan"},{"family":"Okunga","given":"Emmanuel Wandera"},{"family":"Oladnabi","given":"Morteza"},{"family":"Olagunju","given":"Andrew T."},{"famil</w:instrText>
            </w:r>
            <w:r w:rsidRPr="009A5251">
              <w:rPr>
                <w:rFonts w:ascii="Times New Roman" w:eastAsia="DengXian" w:hAnsi="Times New Roman" w:cs="Times New Roman"/>
                <w:color w:val="000000"/>
                <w:kern w:val="0"/>
                <w:sz w:val="16"/>
                <w:szCs w:val="16"/>
                <w:vertAlign w:val="superscript"/>
              </w:rPr>
              <w:instrText>y":"Olusanya","given":"Bolajoko Olubukunola"},{"family":"Olusanya","given":"Jacob Olusegun"},{"family":"Omer","given":"Muktar Omer"},{"family":"Ong","given":"Kanyin L."},{"family":"Onwujekwe","given":"Obinna E."},{"family":"Orpana","given":"Heather M."},{"family":"Ortiz","given":"Alberto"},{"family":"Osarenotor","given":"Osayomwanbo"},{"family":"Osei","given":"Frank B."},{"family":"Ostroff","given":"Samuel M."},{"family":"Otstavnov","given":"Nikita"},{"family":"Otstavnov","given":"Stanislav S."},{"family":"</w:instrText>
            </w:r>
            <w:r w:rsidRPr="009A5251">
              <w:rPr>
                <w:rFonts w:ascii="Times New Roman" w:eastAsia="DengXian" w:hAnsi="Times New Roman" w:cs="Times New Roman"/>
                <w:color w:val="000000"/>
                <w:kern w:val="0"/>
                <w:sz w:val="16"/>
                <w:szCs w:val="16"/>
                <w:vertAlign w:val="superscript"/>
              </w:rPr>
              <w:instrText>Øverland","given":"Simon"},{"family":"Owolabi","given":"Mayowa O."},{"family":"A","given":"Mahesh P."},{"family":"Padubidri","given":"Jagadish Rao"},{"family":"Palladino","given":"Raffaele"},{"family":"Panda-Jonas","given":"Songhomitra"},{"family":"Pandey","given":"Anamika"},{"family":"Parry","given":"Charles D. H."},{"family":"Pasovic","given":"Maja"},{"family":"Pasupula","given":"Deepak Kumar"},{"family":"Patel","given":"Sangram Kishor"},{"family":"Pathak","given":"Mona"},{"family":"Patten","given":"Scott</w:instrText>
            </w:r>
            <w:r w:rsidRPr="009A5251">
              <w:rPr>
                <w:rFonts w:ascii="Times New Roman" w:eastAsia="DengXian" w:hAnsi="Times New Roman" w:cs="Times New Roman"/>
                <w:color w:val="000000"/>
                <w:kern w:val="0"/>
                <w:sz w:val="16"/>
                <w:szCs w:val="16"/>
                <w:vertAlign w:val="superscript"/>
              </w:rPr>
              <w:instrText xml:space="preserve"> B."},{"family":"Patton","given":"George C."},{"family":"Toroudi","given":"Hamidreza Pazoki"},{"family":"Peden","given":"Amy E."},{"family":"Pennini","given":"Alyssa"},{"family":"Pepito","given":"Veincent Christian Filipino"},{"family":"Peprah","given":"Emmanuel K."},{"family":"Pereira","given":"David M."},{"family":"Pesudovs","given":"Konrad"},{"family":"Pham","given":"Hai Quang"},{"family":"Phillips","given":"Michael R."},{"family":"Piccinelli","given":"Cristiano"},{"family":"Pilz","given":"Tessa M."},{"f</w:instrText>
            </w:r>
            <w:r w:rsidRPr="009A5251">
              <w:rPr>
                <w:rFonts w:ascii="Times New Roman" w:eastAsia="DengXian" w:hAnsi="Times New Roman" w:cs="Times New Roman"/>
                <w:color w:val="000000"/>
                <w:kern w:val="0"/>
                <w:sz w:val="16"/>
                <w:szCs w:val="16"/>
                <w:vertAlign w:val="superscript"/>
              </w:rPr>
              <w:instrText>amily":"Piradov","given":"Michael A."},{"family":"Pirsaheb","given":"Meghdad"},{"family":"Plass","given":"Dietrich"},{"family":"Polinder","given":"Suzanne"},{"family":"Polkinghorne","given":"Kevan R."},{"family":"Pond","given":"Constance Dimity"},{"family":"Postma","given":"Maarten J."},{"family":"Pourjafar","given":"Hadi"},{"family":"Pourmalek","given":"Farshad"},{"family":"Poznańska","given":"Anna"},{"family":"Prada","given":"Sergio I."},{"family":"Prakash","given":"V."},{"family":"Pribadi","given":"Dimas</w:instrText>
            </w:r>
            <w:r w:rsidRPr="009A5251">
              <w:rPr>
                <w:rFonts w:ascii="Times New Roman" w:eastAsia="DengXian" w:hAnsi="Times New Roman" w:cs="Times New Roman"/>
                <w:color w:val="000000"/>
                <w:kern w:val="0"/>
                <w:sz w:val="16"/>
                <w:szCs w:val="16"/>
                <w:vertAlign w:val="superscript"/>
              </w:rPr>
              <w:instrText xml:space="preserve"> Ria Angga"},{"family":"Pupillo","given":"Elisabetta"},{"family":"Syed","given":"Zahiruddin Quazi"},{"family":"Rabiee","given":"Mohammad"},{"family":"Rabiee","given":"Navid"},{"family":"Radfar","given":"Amir"},{"family":"Rafiee","given":"Ata"},{"family":"Raggi","given":"Alberto"},{"family":"Rahman","given":"Muhammad Aziz"},{"family":"Rajabpour-Sanati","given":"Ali"},{"family":"Rajati","given":"Fatemeh"},{"family":"Rakovac","given":"Ivo"},{"family":"Ram","given":"Pradhum"},{"family":"Ramezanzadeh","given":"K</w:instrText>
            </w:r>
            <w:r w:rsidRPr="009A5251">
              <w:rPr>
                <w:rFonts w:ascii="Times New Roman" w:eastAsia="DengXian" w:hAnsi="Times New Roman" w:cs="Times New Roman"/>
                <w:color w:val="000000"/>
                <w:kern w:val="0"/>
                <w:sz w:val="16"/>
                <w:szCs w:val="16"/>
                <w:vertAlign w:val="superscript"/>
              </w:rPr>
              <w:instrText>iana"},{"family":"Ranabhat","given":"Chhabi Lal"},{"family":"Rao","given":"Puja C."},{"family":"Rao","given":"Sowmya J."},{"family":"Rashedi","given":"Vahid"},{"family":"Rathi","given":"Priya"},{"family":"Rawaf","given":"David Laith"},{"family":"Rawaf","given":"Salman"},{"family":"Rawal","given":"Lal"},{"family":"Rawassizadeh","given":"Reza"},{"family":"Rawat","given":"Ramu"},{"family":"Razo","given":"Christian"},{"family":"Redford","given":"Sofia Boston"},{"family":"Reiner","given":"Robert C."},{"family":"</w:instrText>
            </w:r>
            <w:r w:rsidRPr="009A5251">
              <w:rPr>
                <w:rFonts w:ascii="Times New Roman" w:eastAsia="DengXian" w:hAnsi="Times New Roman" w:cs="Times New Roman"/>
                <w:color w:val="000000"/>
                <w:kern w:val="0"/>
                <w:sz w:val="16"/>
                <w:szCs w:val="16"/>
                <w:vertAlign w:val="superscript"/>
              </w:rPr>
              <w:instrText>Reitsma","given":"Marissa Bettay"},{"family":"Remuzzi","given":"Giuseppe"},{"family":"Renjith","given":"Vishnu"},{"family":"Renzaho","given":"Andre M. N."},{"family":"Resnikoff","given":"Serge"},{"family":"Rezaei","given":"Negar"},{"family":"Rezaei","given":"Nima"},{"family":"Rezapour","given":"Aziz"},{"family":"Rhinehart","given":"Phoebe-Anne"},{"family":"Riahi","given":"Seyed Mohammad"},{"family":"Ribeiro","given":"Daniel Cury"},{"family":"Ribeiro","given":"Daniela"},{"family":"Rickard","given":"Jennifer"</w:instrText>
            </w:r>
            <w:r w:rsidRPr="009A5251">
              <w:rPr>
                <w:rFonts w:ascii="Times New Roman" w:eastAsia="DengXian" w:hAnsi="Times New Roman" w:cs="Times New Roman"/>
                <w:color w:val="000000"/>
                <w:kern w:val="0"/>
                <w:sz w:val="16"/>
                <w:szCs w:val="16"/>
                <w:vertAlign w:val="superscript"/>
              </w:rPr>
              <w:instrText>},{"family":"Rivera","given":"Juan A."},{"family":"Roberts","given":"Nicholas L. S."},{"family":"Rodríguez-Ramírez","given":"Sonia"},{"family":"Roever","given":"Leonardo"},{"family":"Ronfani","given":"Luca"},{"family":"Room","given":"Robin"},{"family":"Roshandel","given":"Gholamreza"},{"family":"Roth","given":"Gregory A."},{"family":"Rothenbacher","given":"Dietrich"},{"family":"Rubagotti","given":"Enrico"},{"family":"Rwegerera","given":"Godfrey M."},{"family":"Sabour","given":"Siamak"},{"family":"Sachdev","</w:instrText>
            </w:r>
            <w:r w:rsidRPr="009A5251">
              <w:rPr>
                <w:rFonts w:ascii="Times New Roman" w:eastAsia="DengXian" w:hAnsi="Times New Roman" w:cs="Times New Roman"/>
                <w:color w:val="000000"/>
                <w:kern w:val="0"/>
                <w:sz w:val="16"/>
                <w:szCs w:val="16"/>
                <w:vertAlign w:val="superscript"/>
              </w:rPr>
              <w:instrText>given":"Perminder S."},{"family":"Saddik","given":"Basema"},{"family":"Sadeghi","given":"Ehsan"},{"family":"Sadeghi","given":"Masoumeh"},{"family":"Saeedi","given":"Reza"},{"family":"Moghaddam","given":"Sahar Saeedi"},{"family":"Safari","given":"Yahya"},{"family":"Safi","given":"Sare"},{"family":"Safiri","given":"Saeid"},{"family":"Sagar","given":"Rajesh"},{"family":"Sahebkar","given":"Amirhossein"},{"family":"Sajadi","given":"S. Mohammad"},{"family":"Salam","given":"Nasir"},{"family":"Salamati","given":"Pa</w:instrText>
            </w:r>
            <w:r w:rsidRPr="009A5251">
              <w:rPr>
                <w:rFonts w:ascii="Times New Roman" w:eastAsia="DengXian" w:hAnsi="Times New Roman" w:cs="Times New Roman"/>
                <w:color w:val="000000"/>
                <w:kern w:val="0"/>
                <w:sz w:val="16"/>
                <w:szCs w:val="16"/>
                <w:vertAlign w:val="superscript"/>
              </w:rPr>
              <w:instrText>yman"},{"family":"Salem","given":"Hosni"},{"family":"Salem","given":"Marwa R. Rashad"},{"family":"Salimzadeh","given":"Hamideh"},{"family":"Salman","given":"Omar Mukhtar"},{"family":"Salomon","given":"Joshua A."},{"family":"Samad","given":"Zainab"},{"family":"Kafil","given":"Hossein Samadi"},{"family":"Sambala","given":"Evanson Zondani"},{"family":"Samy","given":"Abdallah M."},{"family":"Sanabria","given":"Juan"},{"family":"Sánchez-Pimienta","given":"Tania G."},{"family":"Santomauro","given":"Damian Frances</w:instrText>
            </w:r>
            <w:r w:rsidRPr="009A5251">
              <w:rPr>
                <w:rFonts w:ascii="Times New Roman" w:eastAsia="DengXian" w:hAnsi="Times New Roman" w:cs="Times New Roman"/>
                <w:color w:val="000000"/>
                <w:kern w:val="0"/>
                <w:sz w:val="16"/>
                <w:szCs w:val="16"/>
                <w:vertAlign w:val="superscript"/>
              </w:rPr>
              <w:instrText>co"},{"family":"Santos","given":"Itamar S."},{"family":"Santos","given":"João Vasco"},{"family":"Santric-Milicevic","given":"Milena M."},{"family":"Saraswathy","given":"Sivan Yegnanarayana Iyer"},{"family":"Sarmiento-Suárez","given":"Rodrigo"},{"family":"Sarrafzadegan","given":"Nizal"},{"family":"Sartorius","given":"Benn"},{"family":"Sarveazad","given":"Arash"},{"family":"Sathian","given":"Brijesh"},{"family":"Sathish","given":"Thirunavukkarasu"},{"family":"Sattin","given":"Davide"},{"family":"Saxena","give</w:instrText>
            </w:r>
            <w:r w:rsidRPr="009A5251">
              <w:rPr>
                <w:rFonts w:ascii="Times New Roman" w:eastAsia="DengXian" w:hAnsi="Times New Roman" w:cs="Times New Roman"/>
                <w:color w:val="000000"/>
                <w:kern w:val="0"/>
                <w:sz w:val="16"/>
                <w:szCs w:val="16"/>
                <w:vertAlign w:val="superscript"/>
              </w:rPr>
              <w:instrText>n":"Sonia"},{"family":"Schaeffer","given":"Lauren E."},{"family":"Schiavolin","given":"Silvia"},{"family":"Schlaich","given":"Markus P."},{"family":"Schmidt","given":"Maria Inês"},{"family":"Schutte","given":"Aletta Elisabeth"},{"family":"Schwebel","given":"David C."},{"family":"Schwendicke","given":"Falk"},{"family":"Senbeta","given":"Anbissa Muleta"},{"family":"Senthilkumaran","given":"Subramanian"},{"family":"Sepanlou","given":"Sadaf G."},{"family":"Serdar","given":"Berrin"},{"family":"Serre","given":"Ma</w:instrText>
            </w:r>
            <w:r w:rsidRPr="009A5251">
              <w:rPr>
                <w:rFonts w:ascii="Times New Roman" w:eastAsia="DengXian" w:hAnsi="Times New Roman" w:cs="Times New Roman"/>
                <w:color w:val="000000"/>
                <w:kern w:val="0"/>
                <w:sz w:val="16"/>
                <w:szCs w:val="16"/>
                <w:vertAlign w:val="superscript"/>
              </w:rPr>
              <w:instrText>rc L."},{"family":"Shadid","given":"Jamileh"},{"family":"Shafaat","given":"Omid"},{"family":"Shahabi","given":"Saeed"},{"family":"Shaheen","given":"Amira A."},{"family":"Shaikh","given":"Masood Ali"},{"family":"Shalash","given":"Ali S."},{"family":"Shams-Beyranvand","given":"Mehran"},{"family":"Shamsizadeh","given":"Morteza"},{"family":"Sharafi","given":"Kiomars"},{"family":"Sheikh","given":"Aziz"},{"family":"Sheikhtaheri","given":"Abbas"},{"family":"Shibuya","given":"Kenji"},{"family":"Shield","given":"Kev</w:instrText>
            </w:r>
            <w:r w:rsidRPr="009A5251">
              <w:rPr>
                <w:rFonts w:ascii="Times New Roman" w:eastAsia="DengXian" w:hAnsi="Times New Roman" w:cs="Times New Roman"/>
                <w:color w:val="000000"/>
                <w:kern w:val="0"/>
                <w:sz w:val="16"/>
                <w:szCs w:val="16"/>
                <w:vertAlign w:val="superscript"/>
              </w:rPr>
              <w:instrText>in David"},{"family":"Shigematsu","given":"Mika"},{"family":"Shin","given":"Jae Il"},{"family":"Shin","given":"Min-Jeong"},{"family":"Shiri","given":"Rahman"},{"family":"Shirkoohi","given":"Reza"},{"family":"Shuval","given":"Kerem"},{"family":"Siabani","given":"Soraya"},{"family":"Sierpinski","given":"Radoslaw"},{"family":"Sigfusdottir","given":"Inga Dora"},{"family":"Sigurvinsdottir","given":"Rannveig"},{"family":"Silva","given":"João Pedro"},{"family":"Simpson","given":"Kyle E."},{"family":"Singh","given"</w:instrText>
            </w:r>
            <w:r w:rsidRPr="009A5251">
              <w:rPr>
                <w:rFonts w:ascii="Times New Roman" w:eastAsia="DengXian" w:hAnsi="Times New Roman" w:cs="Times New Roman"/>
                <w:color w:val="000000"/>
                <w:kern w:val="0"/>
                <w:sz w:val="16"/>
                <w:szCs w:val="16"/>
                <w:vertAlign w:val="superscript"/>
              </w:rPr>
              <w:instrText>:"Jasvinder A."},{"family":"Singh","given":"Pushpendra"},{"family":"Skiadaresi","given":"Eirini"},{"family":"Skou","given":"Søren T."},{"family":"Skryabin","given":"Valentin Yurievich"},{"family":"Smith","given":"Emma U. R."},{"family":"Soheili","given":"Amin"},{"family":"Soltani","given":"Shahin"},{"family":"Soofi","given":"Moslem"},{"family":"Sorensen","given":"Reed J. D."},{"family":"Soriano","given":"Joan B."},{"family":"Sorrie","given":"Muluken Bekele"},{"family":"Soshnikov","given":"Sergey"},{"family"</w:instrText>
            </w:r>
            <w:r w:rsidRPr="009A5251">
              <w:rPr>
                <w:rFonts w:ascii="Times New Roman" w:eastAsia="DengXian" w:hAnsi="Times New Roman" w:cs="Times New Roman"/>
                <w:color w:val="000000"/>
                <w:kern w:val="0"/>
                <w:sz w:val="16"/>
                <w:szCs w:val="16"/>
                <w:vertAlign w:val="superscript"/>
              </w:rPr>
              <w:instrText>:"Soyiri","given":"Ireneous N."},{"family":"Spencer","given":"Cory N."},{"family":"Spotin","given":"Adel"},{"family":"Sreeramareddy","given":"Chandrashekhar T."},{"family":"Srinivasan","given":"Vinay"},{"family":"Stanaway","given":"Jeffrey D."},{"family":"Stein","given":"Caroline"},{"family":"Stein","given":"Dan J."},{"family":"Steiner","given":"Caitlyn"},{"family":"Stockfelt","given":"Leo"},{"family":"Stokes","given":"Mark A."},{"family":"Straif","given":"Kurt"},{"family":"Stubbs","given":"Jacob L."},{"fam</w:instrText>
            </w:r>
            <w:r w:rsidRPr="009A5251">
              <w:rPr>
                <w:rFonts w:ascii="Times New Roman" w:eastAsia="DengXian" w:hAnsi="Times New Roman" w:cs="Times New Roman"/>
                <w:color w:val="000000"/>
                <w:kern w:val="0"/>
                <w:sz w:val="16"/>
                <w:szCs w:val="16"/>
                <w:vertAlign w:val="superscript"/>
              </w:rPr>
              <w:instrText>ily":"Sufiyan","given":"Mu'awiyyah Babale"},{"family":"Suleria","given":"Hafiz Ansar Rasul"},{"family":"Abdulkader","given":"Rizwan Suliankatchi"},{"family":"Sulo","given":"Gerhard"},{"family":"Sultan","given":"Iyad"},{"family":"Szumowski","given":"Łukasz"},{"family":"Tabarés-Seisdedos","given":"Rafael"},{"family":"Tabb","given":"Karen M."},{"family":"Tabuchi","given":"Takahiro"},{"family":"Taherkhani","given":"Amir"},{"family":"Tajdini","given":"Masih"},{"family":"Takahashi","given":"Ken"},{"family":"Takal</w:instrText>
            </w:r>
            <w:r w:rsidRPr="009A5251">
              <w:rPr>
                <w:rFonts w:ascii="Times New Roman" w:eastAsia="DengXian" w:hAnsi="Times New Roman" w:cs="Times New Roman"/>
                <w:color w:val="000000"/>
                <w:kern w:val="0"/>
                <w:sz w:val="16"/>
                <w:szCs w:val="16"/>
                <w:vertAlign w:val="superscript"/>
              </w:rPr>
              <w:instrText>a","given":"Jukka S."},{"family":"Tamiru","given":"Animut Tagele"},{"family":"Taveira","given":"Nuno"},{"family":"Tehrani-Banihashemi","given":"Arash"},{"family":"Temsah","given":"Mohamad-Hani"},{"family":"Tesema","given":"Getayeneh Antehunegn"},{"family":"Tessema","given":"Zemenu Tadesse"},{"family":"Thurston","given":"George D."},{"family":"Titova","given":"Mariya Vladimirovna"},{"family":"Tohidinik","given":"Hamid Reza"},{"family":"Tonelli","given":"Marcello"},{"family":"Topor-Madry","given":"Roman"},{"f</w:instrText>
            </w:r>
            <w:r w:rsidRPr="009A5251">
              <w:rPr>
                <w:rFonts w:ascii="Times New Roman" w:eastAsia="DengXian" w:hAnsi="Times New Roman" w:cs="Times New Roman"/>
                <w:color w:val="000000"/>
                <w:kern w:val="0"/>
                <w:sz w:val="16"/>
                <w:szCs w:val="16"/>
                <w:vertAlign w:val="superscript"/>
              </w:rPr>
              <w:instrText>amily":"Topouzis","given":"Fotis"},{"family":"Torre","given":"Anna E."},{"family":"Touvier","given":"Mathilde"},{"family":"Tovani-Palone","given":"Marcos Roberto Roberto"},{"family":"Tran","given":"Bach Xuan"},{"family":"Travillian","given":"Ravensara"},{"family":"Tsatsakis","given":"Aristidis"},{"family":"Car","given":"Lorainne Tudor"},{"family":"Tyrovolas","given":"Stefanos"},{"family":"Uddin","given":"Riaz"},{"family":"Umeokonkwo","given":"Chukwuma David"},{"family":"Unnikrishnan","given":"Bhaskaran"},{"</w:instrText>
            </w:r>
            <w:r w:rsidRPr="009A5251">
              <w:rPr>
                <w:rFonts w:ascii="Times New Roman" w:eastAsia="DengXian" w:hAnsi="Times New Roman" w:cs="Times New Roman"/>
                <w:color w:val="000000"/>
                <w:kern w:val="0"/>
                <w:sz w:val="16"/>
                <w:szCs w:val="16"/>
                <w:vertAlign w:val="superscript"/>
              </w:rPr>
              <w:instrText>family":"Upadhyay","given":"Era"},{"family":"Vacante","given":"Marco"},{"family":"Valdez","given":"Pascual R."},{"family":"Donkelaar","given":"Aaron","dropping-particle":"van"},{"family":"Vasankari","given":"Tommi Juhani"},{"family":"Vasseghian","given":"Yasser"},{"family":"Veisani","given":"Yousef"},{"family":"Venketasubramanian","given":"Narayanaswamy"},{"family":"Violante","given":"Francesco S."},{"family":"Vlassov","given":"Vasily"},{"family":"Vollset","given":"Stein Emil"},{"family":"Vos","given":"Theo</w:instrText>
            </w:r>
            <w:r w:rsidRPr="009A5251">
              <w:rPr>
                <w:rFonts w:ascii="Times New Roman" w:eastAsia="DengXian" w:hAnsi="Times New Roman" w:cs="Times New Roman"/>
                <w:color w:val="000000"/>
                <w:kern w:val="0"/>
                <w:sz w:val="16"/>
                <w:szCs w:val="16"/>
                <w:vertAlign w:val="superscript"/>
              </w:rPr>
              <w:instrText>"},{"family":"Vukovic","given":"Rade"},{"family":"Waheed","given":"Yasir"},{"family":"Wallin","given":"Mitchell Taylor"},{"family":"Wang","given":"Yafeng"},{"family":"Wang","given":"Yuan-Pang"},{"family":"Watson","given":"Alexandrea"},{"family":"Wei","given":"Jingkai"},{"family":"Wei","given":"Melissa Y. Wei"},{"family":"Weintraub","given":"Robert G."},{"family":"Weiss","given":"Jordan"},{"family":"Werdecker","given":"Andrea"},{"family":"West","given":"J. Jason"},{"family":"Westerman","given":"Ronny"},{"fam</w:instrText>
            </w:r>
            <w:r w:rsidRPr="009A5251">
              <w:rPr>
                <w:rFonts w:ascii="Times New Roman" w:eastAsia="DengXian" w:hAnsi="Times New Roman" w:cs="Times New Roman"/>
                <w:color w:val="000000"/>
                <w:kern w:val="0"/>
                <w:sz w:val="16"/>
                <w:szCs w:val="16"/>
                <w:vertAlign w:val="superscript"/>
              </w:rPr>
              <w:instrText>ily":"Whisnant","given":"Joanna L."},{"family":"Whiteford","given":"Harvey A."},{"family":"Wiens","given":"Kirsten E."},{"family":"Wolfe","given":"Charles D. A."},{"family":"Wozniak","given":"Sarah S."},{"family":"Wu","given":"Ai-Min"},{"family":"Wu","given":"Junjie"},{"family":"Hanson","given":"Sarah Wulf"},{"family":"Xu","given":"Gelin"},{"family":"Xu","given":"Rixing"},{"family":"Yadgir","given":"Simon"},{"family":"Jabbari","given":"Seyed Hossein Yahyazadeh"},{"family":"Yamagishi","given":"Kazumasa"},{"f</w:instrText>
            </w:r>
            <w:r w:rsidRPr="009A5251">
              <w:rPr>
                <w:rFonts w:ascii="Times New Roman" w:eastAsia="DengXian" w:hAnsi="Times New Roman" w:cs="Times New Roman"/>
                <w:color w:val="000000"/>
                <w:kern w:val="0"/>
                <w:sz w:val="16"/>
                <w:szCs w:val="16"/>
                <w:vertAlign w:val="superscript"/>
              </w:rPr>
              <w:instrText>amily":"Yaminfirooz","given":"Mousa"},{"family":"Yano","given":"Yuichiro"},{"family":"Yaya","given":"Sanni"},{"family":"Yazdi-Feyzabadi","given":"Vahid"},{"family":"Yeheyis","given":"Tomas Y."},{"family":"Yilgwan","given":"Christopher Sabo"},{"family":"Yilma","given":"Mekdes Tigistu"},{"family":"Yip","given":"Paul"},{"family":"Yonemoto","given":"Naohiro"},{"family":"Younis","given":"Mustafa Z."},{"family":"Younker","given":"Theodore Patrick"},{"family":"Yousefi","given":"Bahman"},{"family":"Yousefi","given"</w:instrText>
            </w:r>
            <w:r w:rsidRPr="009A5251">
              <w:rPr>
                <w:rFonts w:ascii="Times New Roman" w:eastAsia="DengXian" w:hAnsi="Times New Roman" w:cs="Times New Roman"/>
                <w:color w:val="000000"/>
                <w:kern w:val="0"/>
                <w:sz w:val="16"/>
                <w:szCs w:val="16"/>
                <w:vertAlign w:val="superscript"/>
              </w:rPr>
              <w:instrText>:"Zabihollah"},{"family":"Yousefinezhadi","given":"Taraneh"},{"family":"Yousuf","given":"Abdilahi Yousuf"},{"family":"Yu","given":"Chuanhua"},{"family":"Yusefzadeh","given":"Hasan"},{"family":"Moghadam","given":"Telma Zahirian"},{"family":"Zamani","given":"Mohammad"},{"family":"Zamanian","given":"Maryam"},{"family":"Zandian","given":"Hamed"},{"family":"Zastrozhin","given":"Mikhail Sergeevich"},{"family":"Zhang","given":"Yunquan"},{"family":"Zhang","given":"Zhi-Jiang"},{"family":"Zhao","given":"Jeff T."},{"f</w:instrText>
            </w:r>
            <w:r w:rsidRPr="009A5251">
              <w:rPr>
                <w:rFonts w:ascii="Times New Roman" w:eastAsia="DengXian" w:hAnsi="Times New Roman" w:cs="Times New Roman"/>
                <w:color w:val="000000"/>
                <w:kern w:val="0"/>
                <w:sz w:val="16"/>
                <w:szCs w:val="16"/>
                <w:vertAlign w:val="superscript"/>
              </w:rPr>
              <w:instrText xml:space="preserve">amily":"Zhao","given":"Xiu-Ju George"},{"family":"Zhao","given":"Yingxi"},{"family":"Zhou","given":"Maigeng"},{"family":"Ziapour","given":"Arash"},{"family":"Zimsen","given":"Stephanie R. M."},{"family":"Brauer","given":"Michael"},{"family":"Afshin","given":"Ashkan"},{"family":"Lim","given":"Stephen S."}],"issued":{"date-parts":[["2020",10,17]]}},"locator":"1"}],"schema":"https://github.com/citation-style-language/schema/raw/master/csl-citation.json"} </w:instrText>
            </w:r>
            <w:r w:rsidRPr="009A5251">
              <w:rPr>
                <w:rFonts w:ascii="Times New Roman" w:eastAsia="DengXian" w:hAnsi="Times New Roman" w:cs="Times New Roman"/>
                <w:color w:val="000000"/>
                <w:kern w:val="0"/>
                <w:sz w:val="16"/>
                <w:szCs w:val="16"/>
                <w:vertAlign w:val="superscript"/>
              </w:rPr>
              <w:fldChar w:fldCharType="separate"/>
            </w:r>
            <w:r w:rsidRPr="009A5251">
              <w:rPr>
                <w:rFonts w:ascii="Times New Roman" w:hAnsi="Times New Roman" w:cs="Times New Roman" w:hint="eastAsia"/>
                <w:sz w:val="16"/>
                <w:vertAlign w:val="superscript"/>
              </w:rPr>
              <w:t>3</w:t>
            </w:r>
            <w:r w:rsidRPr="009A5251">
              <w:rPr>
                <w:rFonts w:ascii="Times New Roman" w:eastAsia="DengXian" w:hAnsi="Times New Roman" w:cs="Times New Roman"/>
                <w:color w:val="000000"/>
                <w:kern w:val="0"/>
                <w:sz w:val="16"/>
                <w:szCs w:val="16"/>
                <w:vertAlign w:val="superscript"/>
              </w:rPr>
              <w:fldChar w:fldCharType="end"/>
            </w:r>
          </w:p>
        </w:tc>
        <w:tc>
          <w:tcPr>
            <w:tcW w:w="2287" w:type="dxa"/>
            <w:vMerge w:val="restart"/>
            <w:tcBorders>
              <w:top w:val="nil"/>
              <w:left w:val="nil"/>
              <w:bottom w:val="nil"/>
              <w:right w:val="nil"/>
            </w:tcBorders>
            <w:shd w:val="clear" w:color="auto" w:fill="auto"/>
            <w:vAlign w:val="center"/>
          </w:tcPr>
          <w:p w14:paraId="1A5C8ADA" w14:textId="77777777" w:rsidR="001D2CBE" w:rsidRPr="009A5251" w:rsidRDefault="009A5251">
            <w:pPr>
              <w:widowControl/>
              <w:wordWrap w:val="0"/>
              <w:rPr>
                <w:rFonts w:ascii="Times New Roman" w:eastAsia="DengXian" w:hAnsi="Times New Roman" w:cs="Times New Roman"/>
                <w:kern w:val="0"/>
                <w:sz w:val="16"/>
                <w:szCs w:val="16"/>
              </w:rPr>
            </w:pPr>
            <w:hyperlink r:id="rId14" w:history="1">
              <w:r w:rsidRPr="009A5251">
                <w:rPr>
                  <w:rFonts w:ascii="Times New Roman" w:eastAsia="DengXian" w:hAnsi="Times New Roman" w:cs="Times New Roman"/>
                  <w:kern w:val="0"/>
                  <w:sz w:val="16"/>
                  <w:szCs w:val="16"/>
                </w:rPr>
                <w:t>https://ghdx.healthdata.org/record/global-burden-disease-study-2019-gbd-2019-air-pollution-exposure-estimates-1990-2019</w:t>
              </w:r>
            </w:hyperlink>
          </w:p>
        </w:tc>
      </w:tr>
      <w:tr w:rsidR="001D2CBE" w:rsidRPr="009A5251" w14:paraId="7505FF85" w14:textId="77777777">
        <w:trPr>
          <w:trHeight w:val="500"/>
        </w:trPr>
        <w:tc>
          <w:tcPr>
            <w:tcW w:w="1845" w:type="dxa"/>
            <w:vMerge/>
            <w:tcBorders>
              <w:top w:val="nil"/>
              <w:left w:val="nil"/>
              <w:bottom w:val="nil"/>
              <w:right w:val="nil"/>
            </w:tcBorders>
            <w:vAlign w:val="center"/>
          </w:tcPr>
          <w:p w14:paraId="3456332C"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69F5DCA6"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I28</w:t>
            </w:r>
          </w:p>
        </w:tc>
        <w:tc>
          <w:tcPr>
            <w:tcW w:w="5788" w:type="dxa"/>
            <w:tcBorders>
              <w:top w:val="nil"/>
              <w:left w:val="nil"/>
              <w:bottom w:val="nil"/>
              <w:right w:val="nil"/>
            </w:tcBorders>
            <w:shd w:val="clear" w:color="auto" w:fill="auto"/>
            <w:vAlign w:val="center"/>
          </w:tcPr>
          <w:p w14:paraId="181EB8F4"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Ambient ozone pollution (ppd)</w:t>
            </w:r>
          </w:p>
        </w:tc>
        <w:tc>
          <w:tcPr>
            <w:tcW w:w="993" w:type="dxa"/>
            <w:tcBorders>
              <w:top w:val="nil"/>
              <w:left w:val="nil"/>
              <w:bottom w:val="nil"/>
              <w:right w:val="nil"/>
            </w:tcBorders>
            <w:shd w:val="clear" w:color="auto" w:fill="auto"/>
            <w:vAlign w:val="center"/>
          </w:tcPr>
          <w:p w14:paraId="6DAA2AA6"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vAlign w:val="center"/>
          </w:tcPr>
          <w:p w14:paraId="3433237B"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The highest seasonal (six-month) average of eight-hour daily maximum ozone concentrations, in parts per billion</w:t>
            </w:r>
          </w:p>
        </w:tc>
        <w:tc>
          <w:tcPr>
            <w:tcW w:w="2287" w:type="dxa"/>
            <w:vMerge/>
            <w:tcBorders>
              <w:top w:val="nil"/>
              <w:left w:val="nil"/>
              <w:bottom w:val="nil"/>
              <w:right w:val="nil"/>
            </w:tcBorders>
            <w:vAlign w:val="center"/>
          </w:tcPr>
          <w:p w14:paraId="28E50538"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5BD317D" w14:textId="77777777">
        <w:trPr>
          <w:trHeight w:val="375"/>
        </w:trPr>
        <w:tc>
          <w:tcPr>
            <w:tcW w:w="1845" w:type="dxa"/>
            <w:vMerge w:val="restart"/>
            <w:tcBorders>
              <w:top w:val="nil"/>
              <w:left w:val="nil"/>
              <w:bottom w:val="nil"/>
              <w:right w:val="nil"/>
            </w:tcBorders>
            <w:shd w:val="clear" w:color="auto" w:fill="auto"/>
            <w:vAlign w:val="center"/>
          </w:tcPr>
          <w:p w14:paraId="02288AC7" w14:textId="77777777" w:rsidR="001D2CBE" w:rsidRPr="009A5251" w:rsidRDefault="009A5251">
            <w:pPr>
              <w:widowControl/>
              <w:jc w:val="left"/>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 xml:space="preserve">The Global Burden of Disease Study 2019 Results Tool </w:t>
            </w:r>
            <w:r w:rsidRPr="009A5251">
              <w:rPr>
                <w:rFonts w:ascii="Times New Roman" w:eastAsia="DengXian" w:hAnsi="Times New Roman" w:cs="Times New Roman"/>
                <w:color w:val="000000"/>
                <w:kern w:val="0"/>
                <w:sz w:val="16"/>
                <w:szCs w:val="16"/>
              </w:rPr>
              <w:t>database</w:t>
            </w:r>
          </w:p>
        </w:tc>
        <w:tc>
          <w:tcPr>
            <w:tcW w:w="872" w:type="dxa"/>
            <w:tcBorders>
              <w:top w:val="nil"/>
              <w:left w:val="nil"/>
              <w:bottom w:val="nil"/>
              <w:right w:val="nil"/>
            </w:tcBorders>
            <w:shd w:val="clear" w:color="auto" w:fill="auto"/>
            <w:vAlign w:val="center"/>
          </w:tcPr>
          <w:p w14:paraId="6860B8B3"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I29</w:t>
            </w:r>
          </w:p>
        </w:tc>
        <w:tc>
          <w:tcPr>
            <w:tcW w:w="5788" w:type="dxa"/>
            <w:tcBorders>
              <w:top w:val="nil"/>
              <w:left w:val="nil"/>
              <w:bottom w:val="nil"/>
              <w:right w:val="nil"/>
            </w:tcBorders>
            <w:shd w:val="clear" w:color="auto" w:fill="auto"/>
            <w:noWrap/>
            <w:vAlign w:val="center"/>
          </w:tcPr>
          <w:p w14:paraId="619AA503"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Cardiovascular diseases mortality attributable to high temperature (per 100,000 population)</w:t>
            </w:r>
          </w:p>
        </w:tc>
        <w:tc>
          <w:tcPr>
            <w:tcW w:w="993" w:type="dxa"/>
            <w:tcBorders>
              <w:top w:val="nil"/>
              <w:left w:val="nil"/>
              <w:bottom w:val="nil"/>
              <w:right w:val="nil"/>
            </w:tcBorders>
            <w:shd w:val="clear" w:color="auto" w:fill="auto"/>
            <w:vAlign w:val="center"/>
          </w:tcPr>
          <w:p w14:paraId="04B949D9"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val="restart"/>
            <w:tcBorders>
              <w:top w:val="nil"/>
              <w:left w:val="nil"/>
              <w:right w:val="nil"/>
            </w:tcBorders>
            <w:shd w:val="clear" w:color="auto" w:fill="auto"/>
            <w:noWrap/>
            <w:vAlign w:val="bottom"/>
          </w:tcPr>
          <w:p w14:paraId="5352B092"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 xml:space="preserve">Twelve causes were included as outcomes associated with non-optimal temperature: ischaemic heart disease, stroke, </w:t>
            </w:r>
            <w:r w:rsidRPr="009A5251">
              <w:rPr>
                <w:rFonts w:ascii="Times New Roman" w:eastAsia="DengXian" w:hAnsi="Times New Roman" w:cs="Times New Roman"/>
                <w:color w:val="000000"/>
                <w:kern w:val="0"/>
                <w:sz w:val="16"/>
                <w:szCs w:val="16"/>
              </w:rPr>
              <w:lastRenderedPageBreak/>
              <w:t>hypertensive heart disease, diabetes, chronic kidney disease, lower respiratory infection, chronic obstructive pulmonary disease, homicide, suicide, mechanical injuries, transport-related injuries, and drowning. Cardiovascular diseases attributed to temperature extremes included ischaemic heart disease, stroke and hypertensive heart disease. Chronic respiratory diseases attributed to temperature extremes included lower respiratory infection and chronic obstructive pulmonary disease.</w:t>
            </w:r>
          </w:p>
        </w:tc>
        <w:tc>
          <w:tcPr>
            <w:tcW w:w="2287" w:type="dxa"/>
            <w:vMerge w:val="restart"/>
            <w:tcBorders>
              <w:top w:val="nil"/>
              <w:left w:val="nil"/>
              <w:bottom w:val="nil"/>
              <w:right w:val="nil"/>
            </w:tcBorders>
            <w:shd w:val="clear" w:color="auto" w:fill="auto"/>
            <w:vAlign w:val="center"/>
          </w:tcPr>
          <w:p w14:paraId="264CA75C" w14:textId="77777777" w:rsidR="001D2CBE" w:rsidRPr="009A5251" w:rsidRDefault="009A5251">
            <w:pPr>
              <w:widowControl/>
              <w:wordWrap w:val="0"/>
              <w:rPr>
                <w:rFonts w:ascii="Times New Roman" w:eastAsia="DengXian" w:hAnsi="Times New Roman" w:cs="Times New Roman"/>
                <w:kern w:val="0"/>
                <w:sz w:val="16"/>
                <w:szCs w:val="16"/>
              </w:rPr>
            </w:pPr>
            <w:hyperlink r:id="rId15" w:history="1">
              <w:r w:rsidRPr="009A5251">
                <w:rPr>
                  <w:rFonts w:ascii="Times New Roman" w:eastAsia="DengXian" w:hAnsi="Times New Roman" w:cs="Times New Roman"/>
                  <w:kern w:val="0"/>
                  <w:sz w:val="16"/>
                  <w:szCs w:val="16"/>
                </w:rPr>
                <w:t>https://vizhub.healthdata.org/gbd-results/</w:t>
              </w:r>
            </w:hyperlink>
          </w:p>
        </w:tc>
      </w:tr>
      <w:tr w:rsidR="001D2CBE" w:rsidRPr="009A5251" w14:paraId="50E14D52" w14:textId="77777777">
        <w:trPr>
          <w:trHeight w:val="311"/>
        </w:trPr>
        <w:tc>
          <w:tcPr>
            <w:tcW w:w="1845" w:type="dxa"/>
            <w:vMerge/>
            <w:tcBorders>
              <w:top w:val="nil"/>
              <w:left w:val="nil"/>
              <w:bottom w:val="nil"/>
              <w:right w:val="nil"/>
            </w:tcBorders>
            <w:vAlign w:val="center"/>
          </w:tcPr>
          <w:p w14:paraId="262063AD"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439CA077"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I30</w:t>
            </w:r>
          </w:p>
        </w:tc>
        <w:tc>
          <w:tcPr>
            <w:tcW w:w="5788" w:type="dxa"/>
            <w:tcBorders>
              <w:top w:val="nil"/>
              <w:left w:val="nil"/>
              <w:bottom w:val="nil"/>
              <w:right w:val="nil"/>
            </w:tcBorders>
            <w:shd w:val="clear" w:color="auto" w:fill="auto"/>
            <w:noWrap/>
            <w:vAlign w:val="center"/>
          </w:tcPr>
          <w:p w14:paraId="6AC4CD0B"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Cardiovascular diseases YLL attributable to high temperature (per 100,000 population)</w:t>
            </w:r>
          </w:p>
        </w:tc>
        <w:tc>
          <w:tcPr>
            <w:tcW w:w="993" w:type="dxa"/>
            <w:tcBorders>
              <w:top w:val="nil"/>
              <w:left w:val="nil"/>
              <w:bottom w:val="nil"/>
              <w:right w:val="nil"/>
            </w:tcBorders>
            <w:shd w:val="clear" w:color="auto" w:fill="auto"/>
            <w:vAlign w:val="center"/>
          </w:tcPr>
          <w:p w14:paraId="1AFB1AB5"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tcBorders>
              <w:left w:val="nil"/>
              <w:right w:val="nil"/>
            </w:tcBorders>
            <w:shd w:val="clear" w:color="auto" w:fill="auto"/>
            <w:noWrap/>
            <w:vAlign w:val="center"/>
          </w:tcPr>
          <w:p w14:paraId="2E3C4109"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5897C159"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4548976F" w14:textId="77777777">
        <w:trPr>
          <w:trHeight w:val="311"/>
        </w:trPr>
        <w:tc>
          <w:tcPr>
            <w:tcW w:w="1845" w:type="dxa"/>
            <w:vMerge/>
            <w:tcBorders>
              <w:top w:val="nil"/>
              <w:left w:val="nil"/>
              <w:bottom w:val="nil"/>
              <w:right w:val="nil"/>
            </w:tcBorders>
            <w:vAlign w:val="center"/>
          </w:tcPr>
          <w:p w14:paraId="6E602265"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79147433"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I31</w:t>
            </w:r>
          </w:p>
        </w:tc>
        <w:tc>
          <w:tcPr>
            <w:tcW w:w="5788" w:type="dxa"/>
            <w:tcBorders>
              <w:top w:val="nil"/>
              <w:left w:val="nil"/>
              <w:bottom w:val="nil"/>
              <w:right w:val="nil"/>
            </w:tcBorders>
            <w:shd w:val="clear" w:color="auto" w:fill="auto"/>
            <w:noWrap/>
            <w:vAlign w:val="center"/>
          </w:tcPr>
          <w:p w14:paraId="20BABDF1"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 xml:space="preserve">All-cause mortality attributable to high </w:t>
            </w:r>
            <w:r w:rsidRPr="009A5251">
              <w:rPr>
                <w:rFonts w:ascii="Times New Roman" w:eastAsia="DengXian" w:hAnsi="Times New Roman" w:cs="Times New Roman"/>
                <w:kern w:val="0"/>
                <w:sz w:val="18"/>
                <w:szCs w:val="18"/>
              </w:rPr>
              <w:t>temperature (per 100,000 population)</w:t>
            </w:r>
          </w:p>
        </w:tc>
        <w:tc>
          <w:tcPr>
            <w:tcW w:w="993" w:type="dxa"/>
            <w:tcBorders>
              <w:top w:val="nil"/>
              <w:left w:val="nil"/>
              <w:bottom w:val="nil"/>
              <w:right w:val="nil"/>
            </w:tcBorders>
            <w:shd w:val="clear" w:color="auto" w:fill="auto"/>
            <w:vAlign w:val="center"/>
          </w:tcPr>
          <w:p w14:paraId="3715924E"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tcBorders>
              <w:left w:val="nil"/>
              <w:right w:val="nil"/>
            </w:tcBorders>
            <w:shd w:val="clear" w:color="auto" w:fill="auto"/>
            <w:noWrap/>
            <w:vAlign w:val="center"/>
          </w:tcPr>
          <w:p w14:paraId="519A8650"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301F8BF2"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CB7F2E6" w14:textId="77777777">
        <w:trPr>
          <w:trHeight w:val="311"/>
        </w:trPr>
        <w:tc>
          <w:tcPr>
            <w:tcW w:w="1845" w:type="dxa"/>
            <w:vMerge/>
            <w:tcBorders>
              <w:top w:val="nil"/>
              <w:left w:val="nil"/>
              <w:bottom w:val="nil"/>
              <w:right w:val="nil"/>
            </w:tcBorders>
            <w:vAlign w:val="center"/>
          </w:tcPr>
          <w:p w14:paraId="0CE652F8"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7B09BF2B"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I32</w:t>
            </w:r>
          </w:p>
        </w:tc>
        <w:tc>
          <w:tcPr>
            <w:tcW w:w="5788" w:type="dxa"/>
            <w:tcBorders>
              <w:top w:val="nil"/>
              <w:left w:val="nil"/>
              <w:bottom w:val="nil"/>
              <w:right w:val="nil"/>
            </w:tcBorders>
            <w:shd w:val="clear" w:color="auto" w:fill="auto"/>
            <w:noWrap/>
            <w:vAlign w:val="center"/>
          </w:tcPr>
          <w:p w14:paraId="3FF7D4F9"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All-cause YLL attributable to high temperature (per 100,000 population)</w:t>
            </w:r>
          </w:p>
        </w:tc>
        <w:tc>
          <w:tcPr>
            <w:tcW w:w="993" w:type="dxa"/>
            <w:tcBorders>
              <w:top w:val="nil"/>
              <w:left w:val="nil"/>
              <w:bottom w:val="nil"/>
              <w:right w:val="nil"/>
            </w:tcBorders>
            <w:shd w:val="clear" w:color="auto" w:fill="auto"/>
            <w:vAlign w:val="center"/>
          </w:tcPr>
          <w:p w14:paraId="21B23425"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tcBorders>
              <w:left w:val="nil"/>
              <w:right w:val="nil"/>
            </w:tcBorders>
            <w:shd w:val="clear" w:color="auto" w:fill="auto"/>
            <w:noWrap/>
            <w:vAlign w:val="center"/>
          </w:tcPr>
          <w:p w14:paraId="4C872131"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77114604"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51FF4DB4" w14:textId="77777777">
        <w:trPr>
          <w:trHeight w:val="311"/>
        </w:trPr>
        <w:tc>
          <w:tcPr>
            <w:tcW w:w="1845" w:type="dxa"/>
            <w:vMerge/>
            <w:tcBorders>
              <w:top w:val="nil"/>
              <w:left w:val="nil"/>
              <w:bottom w:val="nil"/>
              <w:right w:val="nil"/>
            </w:tcBorders>
            <w:vAlign w:val="center"/>
          </w:tcPr>
          <w:p w14:paraId="67EE4DAD"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3C26C3E2"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I33</w:t>
            </w:r>
          </w:p>
        </w:tc>
        <w:tc>
          <w:tcPr>
            <w:tcW w:w="5788" w:type="dxa"/>
            <w:tcBorders>
              <w:top w:val="nil"/>
              <w:left w:val="nil"/>
              <w:bottom w:val="nil"/>
              <w:right w:val="nil"/>
            </w:tcBorders>
            <w:shd w:val="clear" w:color="auto" w:fill="auto"/>
            <w:noWrap/>
            <w:vAlign w:val="center"/>
          </w:tcPr>
          <w:p w14:paraId="36358D5E"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Chronic respiratory diseases YLL attributable to high temperature (per 100,000 population)</w:t>
            </w:r>
          </w:p>
        </w:tc>
        <w:tc>
          <w:tcPr>
            <w:tcW w:w="993" w:type="dxa"/>
            <w:tcBorders>
              <w:top w:val="nil"/>
              <w:left w:val="nil"/>
              <w:bottom w:val="nil"/>
              <w:right w:val="nil"/>
            </w:tcBorders>
            <w:shd w:val="clear" w:color="auto" w:fill="auto"/>
            <w:vAlign w:val="center"/>
          </w:tcPr>
          <w:p w14:paraId="3F7D27F0"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tcBorders>
              <w:left w:val="nil"/>
              <w:right w:val="nil"/>
            </w:tcBorders>
            <w:shd w:val="clear" w:color="auto" w:fill="auto"/>
            <w:noWrap/>
            <w:vAlign w:val="center"/>
          </w:tcPr>
          <w:p w14:paraId="3F720565"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1445BA0D"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414A6385" w14:textId="77777777">
        <w:trPr>
          <w:trHeight w:val="311"/>
        </w:trPr>
        <w:tc>
          <w:tcPr>
            <w:tcW w:w="1845" w:type="dxa"/>
            <w:vMerge/>
            <w:tcBorders>
              <w:top w:val="nil"/>
              <w:left w:val="nil"/>
              <w:bottom w:val="nil"/>
              <w:right w:val="nil"/>
            </w:tcBorders>
            <w:vAlign w:val="center"/>
          </w:tcPr>
          <w:p w14:paraId="4A54C915"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31B30A8A"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I34</w:t>
            </w:r>
          </w:p>
        </w:tc>
        <w:tc>
          <w:tcPr>
            <w:tcW w:w="5788" w:type="dxa"/>
            <w:tcBorders>
              <w:top w:val="nil"/>
              <w:left w:val="nil"/>
              <w:bottom w:val="nil"/>
              <w:right w:val="nil"/>
            </w:tcBorders>
            <w:shd w:val="clear" w:color="auto" w:fill="auto"/>
            <w:noWrap/>
            <w:vAlign w:val="center"/>
          </w:tcPr>
          <w:p w14:paraId="3CA816CA" w14:textId="77777777" w:rsidR="001D2CBE" w:rsidRPr="009A5251" w:rsidRDefault="009A5251">
            <w:pPr>
              <w:widowControl/>
              <w:jc w:val="left"/>
              <w:rPr>
                <w:rFonts w:ascii="Times New Roman" w:eastAsia="DengXian" w:hAnsi="Times New Roman" w:cs="Times New Roman"/>
                <w:kern w:val="0"/>
                <w:sz w:val="18"/>
                <w:szCs w:val="18"/>
              </w:rPr>
            </w:pPr>
            <w:r w:rsidRPr="009A5251">
              <w:rPr>
                <w:rFonts w:ascii="Times New Roman" w:eastAsia="DengXian" w:hAnsi="Times New Roman" w:cs="Times New Roman"/>
                <w:kern w:val="0"/>
                <w:sz w:val="18"/>
                <w:szCs w:val="18"/>
              </w:rPr>
              <w:t>Chronic respiratory diseases mortality attributable to high temperature (per 100,000 population)</w:t>
            </w:r>
          </w:p>
        </w:tc>
        <w:tc>
          <w:tcPr>
            <w:tcW w:w="993" w:type="dxa"/>
            <w:tcBorders>
              <w:top w:val="nil"/>
              <w:left w:val="nil"/>
              <w:bottom w:val="nil"/>
              <w:right w:val="nil"/>
            </w:tcBorders>
            <w:shd w:val="clear" w:color="auto" w:fill="auto"/>
            <w:vAlign w:val="center"/>
          </w:tcPr>
          <w:p w14:paraId="177F283D"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tcBorders>
              <w:left w:val="nil"/>
              <w:right w:val="nil"/>
            </w:tcBorders>
            <w:shd w:val="clear" w:color="auto" w:fill="auto"/>
            <w:noWrap/>
            <w:vAlign w:val="center"/>
          </w:tcPr>
          <w:p w14:paraId="0437725F"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5E2B618E"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43D77E1F" w14:textId="77777777">
        <w:trPr>
          <w:trHeight w:val="311"/>
        </w:trPr>
        <w:tc>
          <w:tcPr>
            <w:tcW w:w="1845" w:type="dxa"/>
            <w:vMerge/>
            <w:tcBorders>
              <w:top w:val="nil"/>
              <w:left w:val="nil"/>
              <w:bottom w:val="nil"/>
              <w:right w:val="nil"/>
            </w:tcBorders>
            <w:vAlign w:val="center"/>
          </w:tcPr>
          <w:p w14:paraId="5DD8C479"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5FF64A05"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I35</w:t>
            </w:r>
          </w:p>
        </w:tc>
        <w:tc>
          <w:tcPr>
            <w:tcW w:w="5788" w:type="dxa"/>
            <w:tcBorders>
              <w:top w:val="nil"/>
              <w:left w:val="nil"/>
              <w:bottom w:val="nil"/>
              <w:right w:val="nil"/>
            </w:tcBorders>
            <w:shd w:val="clear" w:color="auto" w:fill="auto"/>
            <w:noWrap/>
            <w:vAlign w:val="center"/>
          </w:tcPr>
          <w:p w14:paraId="06828985"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All-cause YLL attributable to low temperature (per 100,000 population)</w:t>
            </w:r>
          </w:p>
        </w:tc>
        <w:tc>
          <w:tcPr>
            <w:tcW w:w="993" w:type="dxa"/>
            <w:tcBorders>
              <w:top w:val="nil"/>
              <w:left w:val="nil"/>
              <w:bottom w:val="nil"/>
              <w:right w:val="nil"/>
            </w:tcBorders>
            <w:shd w:val="clear" w:color="auto" w:fill="auto"/>
            <w:vAlign w:val="center"/>
          </w:tcPr>
          <w:p w14:paraId="58E275C7"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tcBorders>
              <w:left w:val="nil"/>
              <w:right w:val="nil"/>
            </w:tcBorders>
            <w:shd w:val="clear" w:color="auto" w:fill="auto"/>
            <w:noWrap/>
            <w:vAlign w:val="center"/>
          </w:tcPr>
          <w:p w14:paraId="02CD318F"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14F2DB65"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189A1DBF" w14:textId="77777777">
        <w:trPr>
          <w:trHeight w:val="311"/>
        </w:trPr>
        <w:tc>
          <w:tcPr>
            <w:tcW w:w="1845" w:type="dxa"/>
            <w:vMerge/>
            <w:tcBorders>
              <w:top w:val="nil"/>
              <w:left w:val="nil"/>
              <w:bottom w:val="nil"/>
              <w:right w:val="nil"/>
            </w:tcBorders>
            <w:vAlign w:val="center"/>
          </w:tcPr>
          <w:p w14:paraId="3D0E403B"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66C2F085"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I36</w:t>
            </w:r>
          </w:p>
        </w:tc>
        <w:tc>
          <w:tcPr>
            <w:tcW w:w="5788" w:type="dxa"/>
            <w:tcBorders>
              <w:top w:val="nil"/>
              <w:left w:val="nil"/>
              <w:bottom w:val="nil"/>
              <w:right w:val="nil"/>
            </w:tcBorders>
            <w:shd w:val="clear" w:color="auto" w:fill="auto"/>
            <w:noWrap/>
            <w:vAlign w:val="center"/>
          </w:tcPr>
          <w:p w14:paraId="5F921D65"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 xml:space="preserve">All-cause mortality attributable to low </w:t>
            </w:r>
            <w:r w:rsidRPr="009A5251">
              <w:rPr>
                <w:rFonts w:ascii="Times New Roman" w:eastAsia="DengXian" w:hAnsi="Times New Roman" w:cs="Times New Roman"/>
                <w:color w:val="000000"/>
                <w:kern w:val="0"/>
                <w:sz w:val="18"/>
                <w:szCs w:val="18"/>
              </w:rPr>
              <w:t>temperature (per 100,000 population)</w:t>
            </w:r>
          </w:p>
        </w:tc>
        <w:tc>
          <w:tcPr>
            <w:tcW w:w="993" w:type="dxa"/>
            <w:tcBorders>
              <w:top w:val="nil"/>
              <w:left w:val="nil"/>
              <w:bottom w:val="nil"/>
              <w:right w:val="nil"/>
            </w:tcBorders>
            <w:shd w:val="clear" w:color="auto" w:fill="auto"/>
            <w:vAlign w:val="center"/>
          </w:tcPr>
          <w:p w14:paraId="037E87EF"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tcBorders>
              <w:left w:val="nil"/>
              <w:right w:val="nil"/>
            </w:tcBorders>
            <w:shd w:val="clear" w:color="auto" w:fill="auto"/>
            <w:noWrap/>
            <w:vAlign w:val="center"/>
          </w:tcPr>
          <w:p w14:paraId="28317FF1"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0E060929"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3541CA56" w14:textId="77777777">
        <w:trPr>
          <w:trHeight w:val="311"/>
        </w:trPr>
        <w:tc>
          <w:tcPr>
            <w:tcW w:w="1845" w:type="dxa"/>
            <w:vMerge/>
            <w:tcBorders>
              <w:top w:val="nil"/>
              <w:left w:val="nil"/>
              <w:bottom w:val="nil"/>
              <w:right w:val="nil"/>
            </w:tcBorders>
            <w:vAlign w:val="center"/>
          </w:tcPr>
          <w:p w14:paraId="6B73F689"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5AC5D0EA"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I37</w:t>
            </w:r>
          </w:p>
        </w:tc>
        <w:tc>
          <w:tcPr>
            <w:tcW w:w="5788" w:type="dxa"/>
            <w:tcBorders>
              <w:top w:val="nil"/>
              <w:left w:val="nil"/>
              <w:bottom w:val="nil"/>
              <w:right w:val="nil"/>
            </w:tcBorders>
            <w:shd w:val="clear" w:color="auto" w:fill="auto"/>
            <w:noWrap/>
            <w:vAlign w:val="center"/>
          </w:tcPr>
          <w:p w14:paraId="71EC979E"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Cardiovascular diseases YLL attributable to low temperature (per 100,000 population)</w:t>
            </w:r>
          </w:p>
        </w:tc>
        <w:tc>
          <w:tcPr>
            <w:tcW w:w="993" w:type="dxa"/>
            <w:tcBorders>
              <w:top w:val="nil"/>
              <w:left w:val="nil"/>
              <w:bottom w:val="nil"/>
              <w:right w:val="nil"/>
            </w:tcBorders>
            <w:shd w:val="clear" w:color="auto" w:fill="auto"/>
            <w:vAlign w:val="center"/>
          </w:tcPr>
          <w:p w14:paraId="1C8176D8"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tcBorders>
              <w:left w:val="nil"/>
              <w:right w:val="nil"/>
            </w:tcBorders>
            <w:shd w:val="clear" w:color="auto" w:fill="auto"/>
            <w:noWrap/>
            <w:vAlign w:val="center"/>
          </w:tcPr>
          <w:p w14:paraId="2DB90C6B"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2F1E3772"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347F2ACB" w14:textId="77777777">
        <w:trPr>
          <w:trHeight w:val="311"/>
        </w:trPr>
        <w:tc>
          <w:tcPr>
            <w:tcW w:w="1845" w:type="dxa"/>
            <w:vMerge/>
            <w:tcBorders>
              <w:top w:val="nil"/>
              <w:left w:val="nil"/>
              <w:bottom w:val="nil"/>
              <w:right w:val="nil"/>
            </w:tcBorders>
            <w:vAlign w:val="center"/>
          </w:tcPr>
          <w:p w14:paraId="37FC0861"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5ADA417C"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I38</w:t>
            </w:r>
          </w:p>
        </w:tc>
        <w:tc>
          <w:tcPr>
            <w:tcW w:w="5788" w:type="dxa"/>
            <w:tcBorders>
              <w:top w:val="nil"/>
              <w:left w:val="nil"/>
              <w:bottom w:val="nil"/>
              <w:right w:val="nil"/>
            </w:tcBorders>
            <w:shd w:val="clear" w:color="auto" w:fill="auto"/>
            <w:noWrap/>
            <w:vAlign w:val="center"/>
          </w:tcPr>
          <w:p w14:paraId="020F207F"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 xml:space="preserve">Cardiovascular diseases mortality attributable to low temperature (per 100,000 </w:t>
            </w:r>
            <w:r w:rsidRPr="009A5251">
              <w:rPr>
                <w:rFonts w:ascii="Times New Roman" w:eastAsia="DengXian" w:hAnsi="Times New Roman" w:cs="Times New Roman"/>
                <w:color w:val="000000"/>
                <w:kern w:val="0"/>
                <w:sz w:val="18"/>
                <w:szCs w:val="18"/>
              </w:rPr>
              <w:t>population)</w:t>
            </w:r>
          </w:p>
        </w:tc>
        <w:tc>
          <w:tcPr>
            <w:tcW w:w="993" w:type="dxa"/>
            <w:tcBorders>
              <w:top w:val="nil"/>
              <w:left w:val="nil"/>
              <w:bottom w:val="nil"/>
              <w:right w:val="nil"/>
            </w:tcBorders>
            <w:shd w:val="clear" w:color="auto" w:fill="auto"/>
            <w:vAlign w:val="center"/>
          </w:tcPr>
          <w:p w14:paraId="195E5193"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tcBorders>
              <w:left w:val="nil"/>
              <w:right w:val="nil"/>
            </w:tcBorders>
            <w:shd w:val="clear" w:color="auto" w:fill="auto"/>
            <w:noWrap/>
            <w:vAlign w:val="center"/>
          </w:tcPr>
          <w:p w14:paraId="526C390A"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1CD50DCD"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280BE258" w14:textId="77777777">
        <w:trPr>
          <w:trHeight w:val="311"/>
        </w:trPr>
        <w:tc>
          <w:tcPr>
            <w:tcW w:w="1845" w:type="dxa"/>
            <w:vMerge/>
            <w:tcBorders>
              <w:top w:val="nil"/>
              <w:left w:val="nil"/>
              <w:bottom w:val="nil"/>
              <w:right w:val="nil"/>
            </w:tcBorders>
            <w:vAlign w:val="center"/>
          </w:tcPr>
          <w:p w14:paraId="0D9985DD"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55B13A23"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I39</w:t>
            </w:r>
          </w:p>
        </w:tc>
        <w:tc>
          <w:tcPr>
            <w:tcW w:w="5788" w:type="dxa"/>
            <w:tcBorders>
              <w:top w:val="nil"/>
              <w:left w:val="nil"/>
              <w:bottom w:val="nil"/>
              <w:right w:val="nil"/>
            </w:tcBorders>
            <w:shd w:val="clear" w:color="auto" w:fill="auto"/>
            <w:noWrap/>
            <w:vAlign w:val="center"/>
          </w:tcPr>
          <w:p w14:paraId="0B103C2A"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Chronic respiratory diseases YLL attributable to low temperature (per 100,000 population)</w:t>
            </w:r>
          </w:p>
        </w:tc>
        <w:tc>
          <w:tcPr>
            <w:tcW w:w="993" w:type="dxa"/>
            <w:tcBorders>
              <w:top w:val="nil"/>
              <w:left w:val="nil"/>
              <w:bottom w:val="nil"/>
              <w:right w:val="nil"/>
            </w:tcBorders>
            <w:shd w:val="clear" w:color="auto" w:fill="auto"/>
            <w:vAlign w:val="center"/>
          </w:tcPr>
          <w:p w14:paraId="08E0DCDF"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tcBorders>
              <w:left w:val="nil"/>
              <w:right w:val="nil"/>
            </w:tcBorders>
            <w:shd w:val="clear" w:color="auto" w:fill="auto"/>
            <w:noWrap/>
            <w:vAlign w:val="center"/>
          </w:tcPr>
          <w:p w14:paraId="358600AC"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70D4A005"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36DC387B" w14:textId="77777777">
        <w:trPr>
          <w:trHeight w:val="311"/>
        </w:trPr>
        <w:tc>
          <w:tcPr>
            <w:tcW w:w="1845" w:type="dxa"/>
            <w:vMerge/>
            <w:tcBorders>
              <w:top w:val="nil"/>
              <w:left w:val="nil"/>
              <w:bottom w:val="nil"/>
              <w:right w:val="nil"/>
            </w:tcBorders>
            <w:vAlign w:val="center"/>
          </w:tcPr>
          <w:p w14:paraId="6AF70DA0"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22D2B427"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I40</w:t>
            </w:r>
          </w:p>
        </w:tc>
        <w:tc>
          <w:tcPr>
            <w:tcW w:w="5788" w:type="dxa"/>
            <w:tcBorders>
              <w:top w:val="nil"/>
              <w:left w:val="nil"/>
              <w:bottom w:val="nil"/>
              <w:right w:val="nil"/>
            </w:tcBorders>
            <w:shd w:val="clear" w:color="auto" w:fill="auto"/>
            <w:noWrap/>
            <w:vAlign w:val="center"/>
          </w:tcPr>
          <w:p w14:paraId="08560DEB"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Chronic respiratory diseases mortality attributable to low temperature (per 100,000 population)</w:t>
            </w:r>
          </w:p>
        </w:tc>
        <w:tc>
          <w:tcPr>
            <w:tcW w:w="993" w:type="dxa"/>
            <w:tcBorders>
              <w:top w:val="nil"/>
              <w:left w:val="nil"/>
              <w:bottom w:val="nil"/>
              <w:right w:val="nil"/>
            </w:tcBorders>
            <w:shd w:val="clear" w:color="auto" w:fill="auto"/>
            <w:vAlign w:val="center"/>
          </w:tcPr>
          <w:p w14:paraId="6860AA5D"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vMerge/>
            <w:tcBorders>
              <w:left w:val="nil"/>
              <w:bottom w:val="nil"/>
              <w:right w:val="nil"/>
            </w:tcBorders>
            <w:shd w:val="clear" w:color="auto" w:fill="auto"/>
            <w:noWrap/>
            <w:vAlign w:val="center"/>
          </w:tcPr>
          <w:p w14:paraId="5F74A240"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188163BE"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221E791E" w14:textId="77777777">
        <w:trPr>
          <w:trHeight w:val="311"/>
        </w:trPr>
        <w:tc>
          <w:tcPr>
            <w:tcW w:w="1845" w:type="dxa"/>
            <w:vMerge/>
            <w:tcBorders>
              <w:top w:val="nil"/>
              <w:left w:val="nil"/>
              <w:bottom w:val="nil"/>
              <w:right w:val="nil"/>
            </w:tcBorders>
            <w:vAlign w:val="center"/>
          </w:tcPr>
          <w:p w14:paraId="396F92F6"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0865BDC3"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I41</w:t>
            </w:r>
          </w:p>
        </w:tc>
        <w:tc>
          <w:tcPr>
            <w:tcW w:w="5788" w:type="dxa"/>
            <w:tcBorders>
              <w:top w:val="nil"/>
              <w:left w:val="nil"/>
              <w:bottom w:val="nil"/>
              <w:right w:val="nil"/>
            </w:tcBorders>
            <w:shd w:val="clear" w:color="auto" w:fill="auto"/>
            <w:noWrap/>
            <w:vAlign w:val="center"/>
          </w:tcPr>
          <w:p w14:paraId="422DA5E0"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All-cause mortality attributable to unsafe water, sanitation and handwashing (per 100,000 population)</w:t>
            </w:r>
          </w:p>
        </w:tc>
        <w:tc>
          <w:tcPr>
            <w:tcW w:w="993" w:type="dxa"/>
            <w:tcBorders>
              <w:top w:val="nil"/>
              <w:left w:val="nil"/>
              <w:bottom w:val="nil"/>
              <w:right w:val="nil"/>
            </w:tcBorders>
            <w:shd w:val="clear" w:color="auto" w:fill="auto"/>
            <w:vAlign w:val="center"/>
          </w:tcPr>
          <w:p w14:paraId="6C415984"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2214004F"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745CAB24"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034D1A3C" w14:textId="77777777">
        <w:trPr>
          <w:trHeight w:val="375"/>
        </w:trPr>
        <w:tc>
          <w:tcPr>
            <w:tcW w:w="1845" w:type="dxa"/>
            <w:vMerge/>
            <w:tcBorders>
              <w:top w:val="nil"/>
              <w:left w:val="nil"/>
              <w:bottom w:val="nil"/>
              <w:right w:val="nil"/>
            </w:tcBorders>
            <w:vAlign w:val="center"/>
          </w:tcPr>
          <w:p w14:paraId="06194340"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1235AF71"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I42</w:t>
            </w:r>
          </w:p>
        </w:tc>
        <w:tc>
          <w:tcPr>
            <w:tcW w:w="5788" w:type="dxa"/>
            <w:tcBorders>
              <w:top w:val="nil"/>
              <w:left w:val="nil"/>
              <w:bottom w:val="nil"/>
              <w:right w:val="nil"/>
            </w:tcBorders>
            <w:shd w:val="clear" w:color="auto" w:fill="auto"/>
            <w:vAlign w:val="center"/>
          </w:tcPr>
          <w:p w14:paraId="30983694"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All-cause mortality attributable to child growth failure (per 100,000 population)</w:t>
            </w:r>
          </w:p>
        </w:tc>
        <w:tc>
          <w:tcPr>
            <w:tcW w:w="993" w:type="dxa"/>
            <w:tcBorders>
              <w:top w:val="nil"/>
              <w:left w:val="nil"/>
              <w:bottom w:val="nil"/>
              <w:right w:val="nil"/>
            </w:tcBorders>
            <w:shd w:val="clear" w:color="auto" w:fill="auto"/>
            <w:vAlign w:val="center"/>
          </w:tcPr>
          <w:p w14:paraId="5A728BE7"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776E0956"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53692213"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D18B76E" w14:textId="77777777">
        <w:trPr>
          <w:trHeight w:val="311"/>
        </w:trPr>
        <w:tc>
          <w:tcPr>
            <w:tcW w:w="1845" w:type="dxa"/>
            <w:vMerge/>
            <w:tcBorders>
              <w:top w:val="nil"/>
              <w:left w:val="nil"/>
              <w:bottom w:val="nil"/>
              <w:right w:val="nil"/>
            </w:tcBorders>
            <w:vAlign w:val="center"/>
          </w:tcPr>
          <w:p w14:paraId="3FF40F6B"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11004861"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I43</w:t>
            </w:r>
          </w:p>
        </w:tc>
        <w:tc>
          <w:tcPr>
            <w:tcW w:w="5788" w:type="dxa"/>
            <w:tcBorders>
              <w:top w:val="nil"/>
              <w:left w:val="nil"/>
              <w:bottom w:val="nil"/>
              <w:right w:val="nil"/>
            </w:tcBorders>
            <w:shd w:val="clear" w:color="auto" w:fill="auto"/>
            <w:noWrap/>
            <w:vAlign w:val="center"/>
          </w:tcPr>
          <w:p w14:paraId="52E566D0"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 xml:space="preserve">Diarrheal diseases death rate (per </w:t>
            </w:r>
            <w:r w:rsidRPr="009A5251">
              <w:rPr>
                <w:rFonts w:ascii="Times New Roman" w:eastAsia="DengXian" w:hAnsi="Times New Roman" w:cs="Times New Roman"/>
                <w:color w:val="000000"/>
                <w:kern w:val="0"/>
                <w:sz w:val="18"/>
                <w:szCs w:val="18"/>
              </w:rPr>
              <w:t>100,000 population)</w:t>
            </w:r>
          </w:p>
        </w:tc>
        <w:tc>
          <w:tcPr>
            <w:tcW w:w="993" w:type="dxa"/>
            <w:tcBorders>
              <w:top w:val="nil"/>
              <w:left w:val="nil"/>
              <w:bottom w:val="nil"/>
              <w:right w:val="nil"/>
            </w:tcBorders>
            <w:shd w:val="clear" w:color="auto" w:fill="auto"/>
            <w:vAlign w:val="center"/>
          </w:tcPr>
          <w:p w14:paraId="45A60E88"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0E885080"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1E84F0DB"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5516F17F" w14:textId="77777777">
        <w:trPr>
          <w:trHeight w:val="311"/>
        </w:trPr>
        <w:tc>
          <w:tcPr>
            <w:tcW w:w="1845" w:type="dxa"/>
            <w:vMerge/>
            <w:tcBorders>
              <w:top w:val="nil"/>
              <w:left w:val="nil"/>
              <w:bottom w:val="nil"/>
              <w:right w:val="nil"/>
            </w:tcBorders>
            <w:vAlign w:val="center"/>
          </w:tcPr>
          <w:p w14:paraId="6841E7CD"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43669297"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I44</w:t>
            </w:r>
          </w:p>
        </w:tc>
        <w:tc>
          <w:tcPr>
            <w:tcW w:w="5788" w:type="dxa"/>
            <w:tcBorders>
              <w:top w:val="nil"/>
              <w:left w:val="nil"/>
              <w:bottom w:val="nil"/>
              <w:right w:val="nil"/>
            </w:tcBorders>
            <w:shd w:val="clear" w:color="auto" w:fill="auto"/>
            <w:noWrap/>
            <w:vAlign w:val="center"/>
          </w:tcPr>
          <w:p w14:paraId="51129301"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All-cause mortality attributable to air pollution (per 100,000 population)</w:t>
            </w:r>
          </w:p>
        </w:tc>
        <w:tc>
          <w:tcPr>
            <w:tcW w:w="993" w:type="dxa"/>
            <w:tcBorders>
              <w:top w:val="nil"/>
              <w:left w:val="nil"/>
              <w:bottom w:val="nil"/>
              <w:right w:val="nil"/>
            </w:tcBorders>
            <w:shd w:val="clear" w:color="auto" w:fill="auto"/>
            <w:vAlign w:val="center"/>
          </w:tcPr>
          <w:p w14:paraId="509E79A2"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6AAD27BF"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0FDAB9CF"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7C982AC" w14:textId="77777777">
        <w:trPr>
          <w:trHeight w:val="311"/>
        </w:trPr>
        <w:tc>
          <w:tcPr>
            <w:tcW w:w="1845" w:type="dxa"/>
            <w:vMerge/>
            <w:tcBorders>
              <w:top w:val="nil"/>
              <w:left w:val="nil"/>
              <w:bottom w:val="nil"/>
              <w:right w:val="nil"/>
            </w:tcBorders>
            <w:vAlign w:val="center"/>
          </w:tcPr>
          <w:p w14:paraId="6C3B70EC"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3F67FB21"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I45</w:t>
            </w:r>
          </w:p>
        </w:tc>
        <w:tc>
          <w:tcPr>
            <w:tcW w:w="5788" w:type="dxa"/>
            <w:tcBorders>
              <w:top w:val="nil"/>
              <w:left w:val="nil"/>
              <w:bottom w:val="nil"/>
              <w:right w:val="nil"/>
            </w:tcBorders>
            <w:shd w:val="clear" w:color="auto" w:fill="auto"/>
            <w:noWrap/>
            <w:vAlign w:val="center"/>
          </w:tcPr>
          <w:p w14:paraId="131A0253"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Malaria death rate (per 100,000 population)</w:t>
            </w:r>
          </w:p>
        </w:tc>
        <w:tc>
          <w:tcPr>
            <w:tcW w:w="993" w:type="dxa"/>
            <w:tcBorders>
              <w:top w:val="nil"/>
              <w:left w:val="nil"/>
              <w:bottom w:val="nil"/>
              <w:right w:val="nil"/>
            </w:tcBorders>
            <w:shd w:val="clear" w:color="auto" w:fill="auto"/>
            <w:vAlign w:val="center"/>
          </w:tcPr>
          <w:p w14:paraId="67D7DBC1"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5F165E64"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78301604"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34826414" w14:textId="77777777">
        <w:trPr>
          <w:trHeight w:val="311"/>
        </w:trPr>
        <w:tc>
          <w:tcPr>
            <w:tcW w:w="1845" w:type="dxa"/>
            <w:vMerge/>
            <w:tcBorders>
              <w:top w:val="nil"/>
              <w:left w:val="nil"/>
              <w:bottom w:val="nil"/>
              <w:right w:val="nil"/>
            </w:tcBorders>
            <w:vAlign w:val="center"/>
          </w:tcPr>
          <w:p w14:paraId="38A6FDFD"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796AB643"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I46</w:t>
            </w:r>
          </w:p>
        </w:tc>
        <w:tc>
          <w:tcPr>
            <w:tcW w:w="5788" w:type="dxa"/>
            <w:tcBorders>
              <w:top w:val="nil"/>
              <w:left w:val="nil"/>
              <w:bottom w:val="nil"/>
              <w:right w:val="nil"/>
            </w:tcBorders>
            <w:shd w:val="clear" w:color="auto" w:fill="auto"/>
            <w:noWrap/>
            <w:vAlign w:val="center"/>
          </w:tcPr>
          <w:p w14:paraId="0DDF2300"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Dengue death rate (per 100,000 population)</w:t>
            </w:r>
          </w:p>
        </w:tc>
        <w:tc>
          <w:tcPr>
            <w:tcW w:w="993" w:type="dxa"/>
            <w:tcBorders>
              <w:top w:val="nil"/>
              <w:left w:val="nil"/>
              <w:bottom w:val="nil"/>
              <w:right w:val="nil"/>
            </w:tcBorders>
            <w:shd w:val="clear" w:color="auto" w:fill="auto"/>
            <w:vAlign w:val="center"/>
          </w:tcPr>
          <w:p w14:paraId="444E77D0"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115744FA"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5BFDD933"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0002A7F9" w14:textId="77777777">
        <w:trPr>
          <w:trHeight w:val="375"/>
        </w:trPr>
        <w:tc>
          <w:tcPr>
            <w:tcW w:w="1845" w:type="dxa"/>
            <w:vMerge/>
            <w:tcBorders>
              <w:top w:val="nil"/>
              <w:left w:val="nil"/>
              <w:bottom w:val="nil"/>
              <w:right w:val="nil"/>
            </w:tcBorders>
            <w:vAlign w:val="center"/>
          </w:tcPr>
          <w:p w14:paraId="094611FC"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602CA54B"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I47</w:t>
            </w:r>
          </w:p>
        </w:tc>
        <w:tc>
          <w:tcPr>
            <w:tcW w:w="5788" w:type="dxa"/>
            <w:tcBorders>
              <w:top w:val="nil"/>
              <w:left w:val="nil"/>
              <w:bottom w:val="nil"/>
              <w:right w:val="nil"/>
            </w:tcBorders>
            <w:shd w:val="clear" w:color="auto" w:fill="auto"/>
            <w:noWrap/>
            <w:vAlign w:val="center"/>
          </w:tcPr>
          <w:p w14:paraId="2BCE29A8"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Zika virus death rate (per 100,000 population)</w:t>
            </w:r>
          </w:p>
        </w:tc>
        <w:tc>
          <w:tcPr>
            <w:tcW w:w="993" w:type="dxa"/>
            <w:tcBorders>
              <w:top w:val="nil"/>
              <w:left w:val="nil"/>
              <w:bottom w:val="nil"/>
              <w:right w:val="nil"/>
            </w:tcBorders>
            <w:shd w:val="clear" w:color="auto" w:fill="auto"/>
            <w:vAlign w:val="center"/>
          </w:tcPr>
          <w:p w14:paraId="1F20CBBA"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4834732A"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1F32EEDF"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6EBE034" w14:textId="77777777">
        <w:trPr>
          <w:trHeight w:val="311"/>
        </w:trPr>
        <w:tc>
          <w:tcPr>
            <w:tcW w:w="1845" w:type="dxa"/>
            <w:vMerge/>
            <w:tcBorders>
              <w:top w:val="nil"/>
              <w:left w:val="nil"/>
              <w:bottom w:val="nil"/>
              <w:right w:val="nil"/>
            </w:tcBorders>
            <w:vAlign w:val="center"/>
          </w:tcPr>
          <w:p w14:paraId="00F2AF76"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7941F797"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I48</w:t>
            </w:r>
          </w:p>
        </w:tc>
        <w:tc>
          <w:tcPr>
            <w:tcW w:w="5788" w:type="dxa"/>
            <w:tcBorders>
              <w:top w:val="nil"/>
              <w:left w:val="nil"/>
              <w:bottom w:val="nil"/>
              <w:right w:val="nil"/>
            </w:tcBorders>
            <w:shd w:val="clear" w:color="auto" w:fill="auto"/>
            <w:noWrap/>
            <w:vAlign w:val="center"/>
          </w:tcPr>
          <w:p w14:paraId="72C44C98"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Yellow fever death rate (per 100,000 population)</w:t>
            </w:r>
          </w:p>
        </w:tc>
        <w:tc>
          <w:tcPr>
            <w:tcW w:w="993" w:type="dxa"/>
            <w:tcBorders>
              <w:top w:val="nil"/>
              <w:left w:val="nil"/>
              <w:bottom w:val="nil"/>
              <w:right w:val="nil"/>
            </w:tcBorders>
            <w:shd w:val="clear" w:color="auto" w:fill="auto"/>
            <w:vAlign w:val="center"/>
          </w:tcPr>
          <w:p w14:paraId="6FBB4F56"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7FDF9AA3"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403C5DEB"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3E09F5EF" w14:textId="77777777">
        <w:trPr>
          <w:trHeight w:val="750"/>
        </w:trPr>
        <w:tc>
          <w:tcPr>
            <w:tcW w:w="1845" w:type="dxa"/>
            <w:vMerge w:val="restart"/>
            <w:tcBorders>
              <w:top w:val="nil"/>
              <w:left w:val="nil"/>
              <w:bottom w:val="nil"/>
              <w:right w:val="nil"/>
            </w:tcBorders>
            <w:shd w:val="clear" w:color="auto" w:fill="auto"/>
            <w:vAlign w:val="center"/>
          </w:tcPr>
          <w:p w14:paraId="020510F2" w14:textId="77777777" w:rsidR="001D2CBE" w:rsidRPr="009A5251" w:rsidRDefault="009A5251">
            <w:pPr>
              <w:widowControl/>
              <w:jc w:val="left"/>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The World Development Indicators database of the World Bank</w:t>
            </w:r>
          </w:p>
        </w:tc>
        <w:tc>
          <w:tcPr>
            <w:tcW w:w="872" w:type="dxa"/>
            <w:tcBorders>
              <w:top w:val="nil"/>
              <w:left w:val="nil"/>
              <w:bottom w:val="nil"/>
              <w:right w:val="nil"/>
            </w:tcBorders>
            <w:shd w:val="clear" w:color="auto" w:fill="auto"/>
            <w:vAlign w:val="center"/>
          </w:tcPr>
          <w:p w14:paraId="1767D687"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I49</w:t>
            </w:r>
          </w:p>
        </w:tc>
        <w:tc>
          <w:tcPr>
            <w:tcW w:w="5788" w:type="dxa"/>
            <w:tcBorders>
              <w:top w:val="nil"/>
              <w:left w:val="nil"/>
              <w:bottom w:val="nil"/>
              <w:right w:val="nil"/>
            </w:tcBorders>
            <w:shd w:val="clear" w:color="auto" w:fill="auto"/>
            <w:vAlign w:val="center"/>
          </w:tcPr>
          <w:p w14:paraId="059DBEE2"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PM</w:t>
            </w:r>
            <w:r w:rsidRPr="009A5251">
              <w:rPr>
                <w:rFonts w:ascii="Times New Roman" w:eastAsia="DengXian" w:hAnsi="Times New Roman" w:cs="Times New Roman"/>
                <w:color w:val="000000"/>
                <w:kern w:val="0"/>
                <w:sz w:val="18"/>
                <w:szCs w:val="18"/>
                <w:vertAlign w:val="subscript"/>
              </w:rPr>
              <w:t>2.5</w:t>
            </w:r>
            <w:r w:rsidRPr="009A5251">
              <w:rPr>
                <w:rFonts w:ascii="Times New Roman" w:eastAsia="DengXian" w:hAnsi="Times New Roman" w:cs="Times New Roman"/>
                <w:color w:val="000000"/>
                <w:kern w:val="0"/>
                <w:sz w:val="18"/>
                <w:szCs w:val="18"/>
              </w:rPr>
              <w:t xml:space="preserve"> air pollution, mean annual exposure (ug/m</w:t>
            </w:r>
            <w:r w:rsidRPr="009A5251">
              <w:rPr>
                <w:rFonts w:ascii="Times New Roman" w:eastAsia="DengXian" w:hAnsi="Times New Roman" w:cs="Times New Roman"/>
                <w:color w:val="000000"/>
                <w:kern w:val="0"/>
                <w:sz w:val="18"/>
                <w:szCs w:val="18"/>
                <w:vertAlign w:val="superscript"/>
              </w:rPr>
              <w:t>3</w:t>
            </w:r>
            <w:r w:rsidRPr="009A5251">
              <w:rPr>
                <w:rFonts w:ascii="Times New Roman" w:eastAsia="DengXian" w:hAnsi="Times New Roman" w:cs="Times New Roman"/>
                <w:color w:val="000000"/>
                <w:kern w:val="0"/>
                <w:sz w:val="18"/>
                <w:szCs w:val="18"/>
              </w:rPr>
              <w:t>)</w:t>
            </w:r>
          </w:p>
        </w:tc>
        <w:tc>
          <w:tcPr>
            <w:tcW w:w="993" w:type="dxa"/>
            <w:tcBorders>
              <w:top w:val="nil"/>
              <w:left w:val="nil"/>
              <w:bottom w:val="nil"/>
              <w:right w:val="nil"/>
            </w:tcBorders>
            <w:shd w:val="clear" w:color="auto" w:fill="auto"/>
            <w:vAlign w:val="center"/>
          </w:tcPr>
          <w:p w14:paraId="0FB0934F"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vAlign w:val="center"/>
          </w:tcPr>
          <w:p w14:paraId="041001D0"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 xml:space="preserve">The average level of exposure of a nation's population to concentrations of suspended particles measuring less than 2.5 microns in aerodynamic diameter, which was calculated by weighting mean </w:t>
            </w:r>
            <w:r w:rsidRPr="009A5251">
              <w:rPr>
                <w:rFonts w:ascii="Times New Roman" w:eastAsia="DengXian" w:hAnsi="Times New Roman" w:cs="Times New Roman"/>
                <w:color w:val="000000"/>
                <w:kern w:val="0"/>
                <w:sz w:val="16"/>
                <w:szCs w:val="16"/>
              </w:rPr>
              <w:t>annual concentrations of PM</w:t>
            </w:r>
            <w:r w:rsidRPr="009A5251">
              <w:rPr>
                <w:rFonts w:ascii="Times New Roman" w:eastAsia="DengXian" w:hAnsi="Times New Roman" w:cs="Times New Roman"/>
                <w:color w:val="000000"/>
                <w:kern w:val="0"/>
                <w:sz w:val="18"/>
                <w:szCs w:val="18"/>
                <w:vertAlign w:val="subscript"/>
              </w:rPr>
              <w:t>2.5</w:t>
            </w:r>
            <w:r w:rsidRPr="009A5251">
              <w:rPr>
                <w:rFonts w:ascii="Times New Roman" w:eastAsia="DengXian" w:hAnsi="Times New Roman" w:cs="Times New Roman"/>
                <w:color w:val="000000"/>
                <w:kern w:val="0"/>
                <w:sz w:val="16"/>
                <w:szCs w:val="16"/>
              </w:rPr>
              <w:t xml:space="preserve"> by population in both urban and rural areas.</w:t>
            </w:r>
          </w:p>
        </w:tc>
        <w:tc>
          <w:tcPr>
            <w:tcW w:w="2287" w:type="dxa"/>
            <w:vMerge w:val="restart"/>
            <w:tcBorders>
              <w:top w:val="nil"/>
              <w:left w:val="nil"/>
              <w:bottom w:val="nil"/>
              <w:right w:val="nil"/>
            </w:tcBorders>
            <w:shd w:val="clear" w:color="auto" w:fill="auto"/>
            <w:vAlign w:val="center"/>
          </w:tcPr>
          <w:p w14:paraId="7522404E" w14:textId="77777777" w:rsidR="001D2CBE" w:rsidRPr="009A5251" w:rsidRDefault="009A5251">
            <w:pPr>
              <w:widowControl/>
              <w:wordWrap w:val="0"/>
              <w:rPr>
                <w:rFonts w:ascii="Times New Roman" w:eastAsia="DengXian" w:hAnsi="Times New Roman" w:cs="Times New Roman"/>
                <w:kern w:val="0"/>
                <w:sz w:val="16"/>
                <w:szCs w:val="16"/>
              </w:rPr>
            </w:pPr>
            <w:hyperlink r:id="rId16" w:history="1">
              <w:r w:rsidRPr="009A5251">
                <w:rPr>
                  <w:rFonts w:ascii="Times New Roman" w:eastAsia="DengXian" w:hAnsi="Times New Roman" w:cs="Times New Roman"/>
                  <w:kern w:val="0"/>
                  <w:sz w:val="16"/>
                  <w:szCs w:val="16"/>
                </w:rPr>
                <w:t>https://databank.worldbank.org/source/world-development-indicators</w:t>
              </w:r>
            </w:hyperlink>
          </w:p>
        </w:tc>
      </w:tr>
      <w:tr w:rsidR="001D2CBE" w:rsidRPr="009A5251" w14:paraId="787BC136" w14:textId="77777777">
        <w:trPr>
          <w:trHeight w:val="1000"/>
        </w:trPr>
        <w:tc>
          <w:tcPr>
            <w:tcW w:w="1845" w:type="dxa"/>
            <w:vMerge/>
            <w:tcBorders>
              <w:top w:val="nil"/>
              <w:left w:val="nil"/>
              <w:bottom w:val="nil"/>
              <w:right w:val="nil"/>
            </w:tcBorders>
            <w:vAlign w:val="center"/>
          </w:tcPr>
          <w:p w14:paraId="1F2CA692"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0EFEF33A"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I50</w:t>
            </w:r>
          </w:p>
        </w:tc>
        <w:tc>
          <w:tcPr>
            <w:tcW w:w="5788" w:type="dxa"/>
            <w:tcBorders>
              <w:top w:val="nil"/>
              <w:left w:val="nil"/>
              <w:bottom w:val="nil"/>
              <w:right w:val="nil"/>
            </w:tcBorders>
            <w:shd w:val="clear" w:color="auto" w:fill="auto"/>
            <w:vAlign w:val="center"/>
          </w:tcPr>
          <w:p w14:paraId="65C5B6C9"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PM</w:t>
            </w:r>
            <w:r w:rsidRPr="009A5251">
              <w:rPr>
                <w:rFonts w:ascii="Times New Roman" w:eastAsia="DengXian" w:hAnsi="Times New Roman" w:cs="Times New Roman"/>
                <w:color w:val="000000"/>
                <w:kern w:val="0"/>
                <w:sz w:val="18"/>
                <w:szCs w:val="18"/>
                <w:vertAlign w:val="subscript"/>
              </w:rPr>
              <w:t>2.5</w:t>
            </w:r>
            <w:r w:rsidRPr="009A5251">
              <w:rPr>
                <w:rFonts w:ascii="Times New Roman" w:eastAsia="DengXian" w:hAnsi="Times New Roman" w:cs="Times New Roman"/>
                <w:color w:val="000000"/>
                <w:kern w:val="0"/>
                <w:sz w:val="18"/>
                <w:szCs w:val="18"/>
              </w:rPr>
              <w:t xml:space="preserve"> air pollution, population exposed to levels exceeding WHO guideline value (% of total)</w:t>
            </w:r>
          </w:p>
        </w:tc>
        <w:tc>
          <w:tcPr>
            <w:tcW w:w="993" w:type="dxa"/>
            <w:tcBorders>
              <w:top w:val="nil"/>
              <w:left w:val="nil"/>
              <w:bottom w:val="nil"/>
              <w:right w:val="nil"/>
            </w:tcBorders>
            <w:shd w:val="clear" w:color="auto" w:fill="auto"/>
            <w:vAlign w:val="center"/>
          </w:tcPr>
          <w:p w14:paraId="6D021821"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vAlign w:val="center"/>
          </w:tcPr>
          <w:p w14:paraId="0464A566"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The portion of a country’s population living in places where mean annual concentrations of PM</w:t>
            </w:r>
            <w:r w:rsidRPr="009A5251">
              <w:rPr>
                <w:rFonts w:ascii="Times New Roman" w:eastAsia="DengXian" w:hAnsi="Times New Roman" w:cs="Times New Roman"/>
                <w:color w:val="000000"/>
                <w:kern w:val="0"/>
                <w:sz w:val="18"/>
                <w:szCs w:val="18"/>
                <w:vertAlign w:val="subscript"/>
              </w:rPr>
              <w:t>2.5</w:t>
            </w:r>
            <w:r w:rsidRPr="009A5251">
              <w:rPr>
                <w:rFonts w:ascii="Times New Roman" w:eastAsia="DengXian" w:hAnsi="Times New Roman" w:cs="Times New Roman"/>
                <w:color w:val="000000"/>
                <w:kern w:val="0"/>
                <w:sz w:val="16"/>
                <w:szCs w:val="16"/>
              </w:rPr>
              <w:t xml:space="preserve"> are greater than 10 micrograms per cubic meter, the guideline value recommended by the WHO as the lower end of the range of concentrations over which adverse health effects due to PM</w:t>
            </w:r>
            <w:r w:rsidRPr="009A5251">
              <w:rPr>
                <w:rFonts w:ascii="Times New Roman" w:eastAsia="DengXian" w:hAnsi="Times New Roman" w:cs="Times New Roman"/>
                <w:color w:val="000000"/>
                <w:kern w:val="0"/>
                <w:sz w:val="18"/>
                <w:szCs w:val="18"/>
                <w:vertAlign w:val="subscript"/>
              </w:rPr>
              <w:t xml:space="preserve">2.5 </w:t>
            </w:r>
            <w:r w:rsidRPr="009A5251">
              <w:rPr>
                <w:rFonts w:ascii="Times New Roman" w:eastAsia="DengXian" w:hAnsi="Times New Roman" w:cs="Times New Roman"/>
                <w:color w:val="000000"/>
                <w:kern w:val="0"/>
                <w:sz w:val="16"/>
                <w:szCs w:val="16"/>
              </w:rPr>
              <w:t>exposure have been observed.</w:t>
            </w:r>
          </w:p>
        </w:tc>
        <w:tc>
          <w:tcPr>
            <w:tcW w:w="2287" w:type="dxa"/>
            <w:vMerge/>
            <w:tcBorders>
              <w:top w:val="nil"/>
              <w:left w:val="nil"/>
              <w:bottom w:val="nil"/>
              <w:right w:val="nil"/>
            </w:tcBorders>
            <w:vAlign w:val="center"/>
          </w:tcPr>
          <w:p w14:paraId="2429F3D4"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5FFD90F4" w14:textId="77777777">
        <w:trPr>
          <w:trHeight w:val="311"/>
        </w:trPr>
        <w:tc>
          <w:tcPr>
            <w:tcW w:w="1845" w:type="dxa"/>
            <w:vMerge/>
            <w:tcBorders>
              <w:top w:val="nil"/>
              <w:left w:val="nil"/>
              <w:bottom w:val="nil"/>
              <w:right w:val="nil"/>
            </w:tcBorders>
            <w:vAlign w:val="center"/>
          </w:tcPr>
          <w:p w14:paraId="3EB03379"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08B3705E"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I51</w:t>
            </w:r>
          </w:p>
        </w:tc>
        <w:tc>
          <w:tcPr>
            <w:tcW w:w="5788" w:type="dxa"/>
            <w:tcBorders>
              <w:top w:val="nil"/>
              <w:left w:val="nil"/>
              <w:bottom w:val="nil"/>
              <w:right w:val="nil"/>
            </w:tcBorders>
            <w:shd w:val="clear" w:color="auto" w:fill="auto"/>
            <w:vAlign w:val="center"/>
          </w:tcPr>
          <w:p w14:paraId="66EA7D98"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 xml:space="preserve">Mortality rate, under-5 (per </w:t>
            </w:r>
            <w:r w:rsidRPr="009A5251">
              <w:rPr>
                <w:rFonts w:ascii="Times New Roman" w:eastAsia="DengXian" w:hAnsi="Times New Roman" w:cs="Times New Roman"/>
                <w:color w:val="000000"/>
                <w:kern w:val="0"/>
                <w:sz w:val="18"/>
                <w:szCs w:val="18"/>
              </w:rPr>
              <w:t>1,000 live births)</w:t>
            </w:r>
          </w:p>
        </w:tc>
        <w:tc>
          <w:tcPr>
            <w:tcW w:w="993" w:type="dxa"/>
            <w:tcBorders>
              <w:top w:val="nil"/>
              <w:left w:val="nil"/>
              <w:bottom w:val="nil"/>
              <w:right w:val="nil"/>
            </w:tcBorders>
            <w:shd w:val="clear" w:color="auto" w:fill="auto"/>
            <w:vAlign w:val="center"/>
          </w:tcPr>
          <w:p w14:paraId="4CE119F1"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72AD17B4"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75733678"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700ECA5E" w14:textId="77777777">
        <w:trPr>
          <w:trHeight w:val="311"/>
        </w:trPr>
        <w:tc>
          <w:tcPr>
            <w:tcW w:w="1845" w:type="dxa"/>
            <w:vMerge/>
            <w:tcBorders>
              <w:top w:val="nil"/>
              <w:left w:val="nil"/>
              <w:bottom w:val="nil"/>
              <w:right w:val="nil"/>
            </w:tcBorders>
            <w:vAlign w:val="center"/>
          </w:tcPr>
          <w:p w14:paraId="1DAEC81E"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553FFAD1"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I52</w:t>
            </w:r>
          </w:p>
        </w:tc>
        <w:tc>
          <w:tcPr>
            <w:tcW w:w="5788" w:type="dxa"/>
            <w:tcBorders>
              <w:top w:val="nil"/>
              <w:left w:val="nil"/>
              <w:bottom w:val="nil"/>
              <w:right w:val="nil"/>
            </w:tcBorders>
            <w:shd w:val="clear" w:color="auto" w:fill="auto"/>
            <w:vAlign w:val="center"/>
          </w:tcPr>
          <w:p w14:paraId="12860E8D"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People using at least basic sanitation services (% of population)</w:t>
            </w:r>
          </w:p>
        </w:tc>
        <w:tc>
          <w:tcPr>
            <w:tcW w:w="993" w:type="dxa"/>
            <w:tcBorders>
              <w:top w:val="nil"/>
              <w:left w:val="nil"/>
              <w:bottom w:val="nil"/>
              <w:right w:val="nil"/>
            </w:tcBorders>
            <w:shd w:val="clear" w:color="auto" w:fill="auto"/>
            <w:vAlign w:val="center"/>
          </w:tcPr>
          <w:p w14:paraId="3BE8FCE8"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tcBorders>
              <w:top w:val="nil"/>
              <w:left w:val="nil"/>
              <w:bottom w:val="nil"/>
              <w:right w:val="nil"/>
            </w:tcBorders>
            <w:shd w:val="clear" w:color="auto" w:fill="auto"/>
            <w:noWrap/>
            <w:vAlign w:val="center"/>
          </w:tcPr>
          <w:p w14:paraId="743B2745"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1C5E7DDA"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1049A7D0" w14:textId="77777777">
        <w:trPr>
          <w:trHeight w:val="311"/>
        </w:trPr>
        <w:tc>
          <w:tcPr>
            <w:tcW w:w="1845" w:type="dxa"/>
            <w:vMerge/>
            <w:tcBorders>
              <w:top w:val="nil"/>
              <w:left w:val="nil"/>
              <w:bottom w:val="nil"/>
              <w:right w:val="nil"/>
            </w:tcBorders>
            <w:vAlign w:val="center"/>
          </w:tcPr>
          <w:p w14:paraId="02765E81"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12143323"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I53</w:t>
            </w:r>
          </w:p>
        </w:tc>
        <w:tc>
          <w:tcPr>
            <w:tcW w:w="5788" w:type="dxa"/>
            <w:tcBorders>
              <w:top w:val="nil"/>
              <w:left w:val="nil"/>
              <w:bottom w:val="nil"/>
              <w:right w:val="nil"/>
            </w:tcBorders>
            <w:shd w:val="clear" w:color="auto" w:fill="auto"/>
            <w:vAlign w:val="center"/>
          </w:tcPr>
          <w:p w14:paraId="2BFA8901"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Life expectancy at birth, total (years)</w:t>
            </w:r>
          </w:p>
        </w:tc>
        <w:tc>
          <w:tcPr>
            <w:tcW w:w="993" w:type="dxa"/>
            <w:tcBorders>
              <w:top w:val="nil"/>
              <w:left w:val="nil"/>
              <w:bottom w:val="nil"/>
              <w:right w:val="nil"/>
            </w:tcBorders>
            <w:shd w:val="clear" w:color="auto" w:fill="auto"/>
            <w:vAlign w:val="center"/>
          </w:tcPr>
          <w:p w14:paraId="4566BA30"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tcBorders>
              <w:top w:val="nil"/>
              <w:left w:val="nil"/>
              <w:bottom w:val="nil"/>
              <w:right w:val="nil"/>
            </w:tcBorders>
            <w:shd w:val="clear" w:color="auto" w:fill="auto"/>
            <w:noWrap/>
            <w:vAlign w:val="center"/>
          </w:tcPr>
          <w:p w14:paraId="1101A094"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0679F8C7"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27FF44A2" w14:textId="77777777">
        <w:trPr>
          <w:trHeight w:val="311"/>
        </w:trPr>
        <w:tc>
          <w:tcPr>
            <w:tcW w:w="1845" w:type="dxa"/>
            <w:vMerge/>
            <w:tcBorders>
              <w:top w:val="nil"/>
              <w:left w:val="nil"/>
              <w:bottom w:val="nil"/>
              <w:right w:val="nil"/>
            </w:tcBorders>
            <w:vAlign w:val="center"/>
          </w:tcPr>
          <w:p w14:paraId="74B78EE8"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40F24AE6"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I54</w:t>
            </w:r>
          </w:p>
        </w:tc>
        <w:tc>
          <w:tcPr>
            <w:tcW w:w="5788" w:type="dxa"/>
            <w:tcBorders>
              <w:top w:val="nil"/>
              <w:left w:val="nil"/>
              <w:bottom w:val="nil"/>
              <w:right w:val="nil"/>
            </w:tcBorders>
            <w:shd w:val="clear" w:color="auto" w:fill="auto"/>
            <w:vAlign w:val="center"/>
          </w:tcPr>
          <w:p w14:paraId="2A3033B2"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People using at least basic drinking water services (% of population)</w:t>
            </w:r>
          </w:p>
        </w:tc>
        <w:tc>
          <w:tcPr>
            <w:tcW w:w="993" w:type="dxa"/>
            <w:tcBorders>
              <w:top w:val="nil"/>
              <w:left w:val="nil"/>
              <w:bottom w:val="nil"/>
              <w:right w:val="nil"/>
            </w:tcBorders>
            <w:shd w:val="clear" w:color="auto" w:fill="auto"/>
            <w:vAlign w:val="center"/>
          </w:tcPr>
          <w:p w14:paraId="163BFAD9"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tcBorders>
              <w:top w:val="nil"/>
              <w:left w:val="nil"/>
              <w:bottom w:val="nil"/>
              <w:right w:val="nil"/>
            </w:tcBorders>
            <w:shd w:val="clear" w:color="auto" w:fill="auto"/>
            <w:noWrap/>
            <w:vAlign w:val="center"/>
          </w:tcPr>
          <w:p w14:paraId="16131FBD"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76B56561"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11D17560" w14:textId="77777777">
        <w:trPr>
          <w:trHeight w:val="311"/>
        </w:trPr>
        <w:tc>
          <w:tcPr>
            <w:tcW w:w="1845" w:type="dxa"/>
            <w:vMerge/>
            <w:tcBorders>
              <w:top w:val="nil"/>
              <w:left w:val="nil"/>
              <w:bottom w:val="nil"/>
              <w:right w:val="nil"/>
            </w:tcBorders>
            <w:vAlign w:val="center"/>
          </w:tcPr>
          <w:p w14:paraId="06F8C137"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1018FD9A"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I55</w:t>
            </w:r>
          </w:p>
        </w:tc>
        <w:tc>
          <w:tcPr>
            <w:tcW w:w="5788" w:type="dxa"/>
            <w:tcBorders>
              <w:top w:val="nil"/>
              <w:left w:val="nil"/>
              <w:bottom w:val="nil"/>
              <w:right w:val="nil"/>
            </w:tcBorders>
            <w:shd w:val="clear" w:color="auto" w:fill="auto"/>
            <w:vAlign w:val="center"/>
          </w:tcPr>
          <w:p w14:paraId="29C5AD47"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Maternal mortality ratio (modeled estimate, per 100,000 live births)</w:t>
            </w:r>
          </w:p>
        </w:tc>
        <w:tc>
          <w:tcPr>
            <w:tcW w:w="993" w:type="dxa"/>
            <w:tcBorders>
              <w:top w:val="nil"/>
              <w:left w:val="nil"/>
              <w:bottom w:val="nil"/>
              <w:right w:val="nil"/>
            </w:tcBorders>
            <w:shd w:val="clear" w:color="auto" w:fill="auto"/>
            <w:vAlign w:val="center"/>
          </w:tcPr>
          <w:p w14:paraId="1F953657"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3A526E43"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075CE532"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3F232987" w14:textId="77777777">
        <w:trPr>
          <w:trHeight w:val="311"/>
        </w:trPr>
        <w:tc>
          <w:tcPr>
            <w:tcW w:w="1845" w:type="dxa"/>
            <w:vMerge/>
            <w:tcBorders>
              <w:top w:val="nil"/>
              <w:left w:val="nil"/>
              <w:bottom w:val="nil"/>
              <w:right w:val="nil"/>
            </w:tcBorders>
            <w:vAlign w:val="center"/>
          </w:tcPr>
          <w:p w14:paraId="2B909EEC"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662D7C4E"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I56</w:t>
            </w:r>
          </w:p>
        </w:tc>
        <w:tc>
          <w:tcPr>
            <w:tcW w:w="5788" w:type="dxa"/>
            <w:tcBorders>
              <w:top w:val="nil"/>
              <w:left w:val="nil"/>
              <w:bottom w:val="nil"/>
              <w:right w:val="nil"/>
            </w:tcBorders>
            <w:shd w:val="clear" w:color="auto" w:fill="auto"/>
            <w:vAlign w:val="center"/>
          </w:tcPr>
          <w:p w14:paraId="7A069B7E"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Risk of impoverishing expenditure for surgical care (% of people at risk)</w:t>
            </w:r>
          </w:p>
        </w:tc>
        <w:tc>
          <w:tcPr>
            <w:tcW w:w="993" w:type="dxa"/>
            <w:tcBorders>
              <w:top w:val="nil"/>
              <w:left w:val="nil"/>
              <w:bottom w:val="nil"/>
              <w:right w:val="nil"/>
            </w:tcBorders>
            <w:shd w:val="clear" w:color="auto" w:fill="auto"/>
            <w:vAlign w:val="center"/>
          </w:tcPr>
          <w:p w14:paraId="6A8824D6"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03FA0D86"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2AE570BF"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74CA28DA" w14:textId="77777777">
        <w:trPr>
          <w:trHeight w:val="311"/>
        </w:trPr>
        <w:tc>
          <w:tcPr>
            <w:tcW w:w="1845" w:type="dxa"/>
            <w:vMerge/>
            <w:tcBorders>
              <w:top w:val="nil"/>
              <w:left w:val="nil"/>
              <w:bottom w:val="nil"/>
              <w:right w:val="nil"/>
            </w:tcBorders>
            <w:vAlign w:val="center"/>
          </w:tcPr>
          <w:p w14:paraId="42FCE73A"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7B3F64F9"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I57</w:t>
            </w:r>
          </w:p>
        </w:tc>
        <w:tc>
          <w:tcPr>
            <w:tcW w:w="5788" w:type="dxa"/>
            <w:tcBorders>
              <w:top w:val="nil"/>
              <w:left w:val="nil"/>
              <w:bottom w:val="nil"/>
              <w:right w:val="nil"/>
            </w:tcBorders>
            <w:shd w:val="clear" w:color="auto" w:fill="auto"/>
            <w:vAlign w:val="center"/>
          </w:tcPr>
          <w:p w14:paraId="4A119A8B"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 xml:space="preserve">Adolescent fertility rate (births per 1,000 women ages </w:t>
            </w:r>
            <w:r w:rsidRPr="009A5251">
              <w:rPr>
                <w:rFonts w:ascii="Times New Roman" w:eastAsia="DengXian" w:hAnsi="Times New Roman" w:cs="Times New Roman"/>
                <w:color w:val="000000"/>
                <w:kern w:val="0"/>
                <w:sz w:val="18"/>
                <w:szCs w:val="18"/>
              </w:rPr>
              <w:t>15-19)</w:t>
            </w:r>
          </w:p>
        </w:tc>
        <w:tc>
          <w:tcPr>
            <w:tcW w:w="993" w:type="dxa"/>
            <w:tcBorders>
              <w:top w:val="nil"/>
              <w:left w:val="nil"/>
              <w:bottom w:val="nil"/>
              <w:right w:val="nil"/>
            </w:tcBorders>
            <w:shd w:val="clear" w:color="auto" w:fill="auto"/>
            <w:vAlign w:val="center"/>
          </w:tcPr>
          <w:p w14:paraId="2062AA87"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0434C354"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77362F86"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0C063BDB" w14:textId="77777777">
        <w:trPr>
          <w:trHeight w:val="311"/>
        </w:trPr>
        <w:tc>
          <w:tcPr>
            <w:tcW w:w="1845" w:type="dxa"/>
            <w:vMerge/>
            <w:tcBorders>
              <w:top w:val="nil"/>
              <w:left w:val="nil"/>
              <w:bottom w:val="nil"/>
              <w:right w:val="nil"/>
            </w:tcBorders>
            <w:vAlign w:val="center"/>
          </w:tcPr>
          <w:p w14:paraId="0A8E3919"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0D3117FA"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I58</w:t>
            </w:r>
          </w:p>
        </w:tc>
        <w:tc>
          <w:tcPr>
            <w:tcW w:w="5788" w:type="dxa"/>
            <w:tcBorders>
              <w:top w:val="nil"/>
              <w:left w:val="nil"/>
              <w:bottom w:val="nil"/>
              <w:right w:val="nil"/>
            </w:tcBorders>
            <w:shd w:val="clear" w:color="auto" w:fill="auto"/>
            <w:vAlign w:val="center"/>
          </w:tcPr>
          <w:p w14:paraId="2F718586"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Prevalence of undernourishment (% of population)</w:t>
            </w:r>
          </w:p>
        </w:tc>
        <w:tc>
          <w:tcPr>
            <w:tcW w:w="993" w:type="dxa"/>
            <w:tcBorders>
              <w:top w:val="nil"/>
              <w:left w:val="nil"/>
              <w:bottom w:val="nil"/>
              <w:right w:val="nil"/>
            </w:tcBorders>
            <w:shd w:val="clear" w:color="auto" w:fill="auto"/>
            <w:vAlign w:val="center"/>
          </w:tcPr>
          <w:p w14:paraId="311C25E5"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1FE68F38"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6B1126B1"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330D2F99" w14:textId="77777777">
        <w:trPr>
          <w:trHeight w:val="311"/>
        </w:trPr>
        <w:tc>
          <w:tcPr>
            <w:tcW w:w="1845" w:type="dxa"/>
            <w:vMerge/>
            <w:tcBorders>
              <w:top w:val="nil"/>
              <w:left w:val="nil"/>
              <w:bottom w:val="nil"/>
              <w:right w:val="nil"/>
            </w:tcBorders>
            <w:vAlign w:val="center"/>
          </w:tcPr>
          <w:p w14:paraId="6632F53B"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4BF6CCDF"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I59</w:t>
            </w:r>
          </w:p>
        </w:tc>
        <w:tc>
          <w:tcPr>
            <w:tcW w:w="5788" w:type="dxa"/>
            <w:tcBorders>
              <w:top w:val="nil"/>
              <w:left w:val="nil"/>
              <w:bottom w:val="nil"/>
              <w:right w:val="nil"/>
            </w:tcBorders>
            <w:shd w:val="clear" w:color="auto" w:fill="auto"/>
            <w:vAlign w:val="center"/>
          </w:tcPr>
          <w:p w14:paraId="561E6B31"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Domestic general government health expenditure (% of current health expenditure)</w:t>
            </w:r>
          </w:p>
        </w:tc>
        <w:tc>
          <w:tcPr>
            <w:tcW w:w="993" w:type="dxa"/>
            <w:tcBorders>
              <w:top w:val="nil"/>
              <w:left w:val="nil"/>
              <w:bottom w:val="nil"/>
              <w:right w:val="nil"/>
            </w:tcBorders>
            <w:shd w:val="clear" w:color="auto" w:fill="auto"/>
            <w:vAlign w:val="center"/>
          </w:tcPr>
          <w:p w14:paraId="68030B05"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tcBorders>
              <w:top w:val="nil"/>
              <w:left w:val="nil"/>
              <w:bottom w:val="nil"/>
              <w:right w:val="nil"/>
            </w:tcBorders>
            <w:shd w:val="clear" w:color="auto" w:fill="auto"/>
            <w:noWrap/>
            <w:vAlign w:val="center"/>
          </w:tcPr>
          <w:p w14:paraId="57CA9EF3"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1340ABD8"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1005B6B8" w14:textId="77777777">
        <w:trPr>
          <w:trHeight w:val="311"/>
        </w:trPr>
        <w:tc>
          <w:tcPr>
            <w:tcW w:w="1845" w:type="dxa"/>
            <w:vMerge/>
            <w:tcBorders>
              <w:top w:val="nil"/>
              <w:left w:val="nil"/>
              <w:bottom w:val="nil"/>
              <w:right w:val="nil"/>
            </w:tcBorders>
            <w:vAlign w:val="center"/>
          </w:tcPr>
          <w:p w14:paraId="1BE7C7EB"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25ED32DA"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I60</w:t>
            </w:r>
          </w:p>
        </w:tc>
        <w:tc>
          <w:tcPr>
            <w:tcW w:w="5788" w:type="dxa"/>
            <w:tcBorders>
              <w:top w:val="nil"/>
              <w:left w:val="nil"/>
              <w:bottom w:val="nil"/>
              <w:right w:val="nil"/>
            </w:tcBorders>
            <w:shd w:val="clear" w:color="auto" w:fill="auto"/>
            <w:vAlign w:val="center"/>
          </w:tcPr>
          <w:p w14:paraId="17C49CAE"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Urban population (% of total population)</w:t>
            </w:r>
          </w:p>
        </w:tc>
        <w:tc>
          <w:tcPr>
            <w:tcW w:w="993" w:type="dxa"/>
            <w:tcBorders>
              <w:top w:val="nil"/>
              <w:left w:val="nil"/>
              <w:bottom w:val="nil"/>
              <w:right w:val="nil"/>
            </w:tcBorders>
            <w:shd w:val="clear" w:color="auto" w:fill="auto"/>
            <w:vAlign w:val="center"/>
          </w:tcPr>
          <w:p w14:paraId="6CBB7DA0"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tcBorders>
              <w:top w:val="nil"/>
              <w:left w:val="nil"/>
              <w:bottom w:val="nil"/>
              <w:right w:val="nil"/>
            </w:tcBorders>
            <w:shd w:val="clear" w:color="auto" w:fill="auto"/>
            <w:noWrap/>
            <w:vAlign w:val="center"/>
          </w:tcPr>
          <w:p w14:paraId="6FCF48BA"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7E25ED18"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D5274DE" w14:textId="77777777">
        <w:trPr>
          <w:trHeight w:val="311"/>
        </w:trPr>
        <w:tc>
          <w:tcPr>
            <w:tcW w:w="1845" w:type="dxa"/>
            <w:vMerge/>
            <w:tcBorders>
              <w:top w:val="nil"/>
              <w:left w:val="nil"/>
              <w:bottom w:val="nil"/>
              <w:right w:val="nil"/>
            </w:tcBorders>
            <w:vAlign w:val="center"/>
          </w:tcPr>
          <w:p w14:paraId="463F7434"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0B59D40C"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I61</w:t>
            </w:r>
          </w:p>
        </w:tc>
        <w:tc>
          <w:tcPr>
            <w:tcW w:w="5788" w:type="dxa"/>
            <w:tcBorders>
              <w:top w:val="nil"/>
              <w:left w:val="nil"/>
              <w:bottom w:val="nil"/>
              <w:right w:val="nil"/>
            </w:tcBorders>
            <w:shd w:val="clear" w:color="auto" w:fill="auto"/>
            <w:vAlign w:val="center"/>
          </w:tcPr>
          <w:p w14:paraId="10288C15"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 xml:space="preserve">GDP per </w:t>
            </w:r>
            <w:r w:rsidRPr="009A5251">
              <w:rPr>
                <w:rFonts w:ascii="Times New Roman" w:eastAsia="DengXian" w:hAnsi="Times New Roman" w:cs="Times New Roman"/>
                <w:color w:val="000000"/>
                <w:kern w:val="0"/>
                <w:sz w:val="18"/>
                <w:szCs w:val="18"/>
              </w:rPr>
              <w:t>capita, PPP (current international $)</w:t>
            </w:r>
          </w:p>
        </w:tc>
        <w:tc>
          <w:tcPr>
            <w:tcW w:w="993" w:type="dxa"/>
            <w:tcBorders>
              <w:top w:val="nil"/>
              <w:left w:val="nil"/>
              <w:bottom w:val="nil"/>
              <w:right w:val="nil"/>
            </w:tcBorders>
            <w:shd w:val="clear" w:color="auto" w:fill="auto"/>
            <w:vAlign w:val="center"/>
          </w:tcPr>
          <w:p w14:paraId="7E92AC2F"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tcBorders>
              <w:top w:val="nil"/>
              <w:left w:val="nil"/>
              <w:bottom w:val="nil"/>
              <w:right w:val="nil"/>
            </w:tcBorders>
            <w:shd w:val="clear" w:color="auto" w:fill="auto"/>
            <w:noWrap/>
            <w:vAlign w:val="center"/>
          </w:tcPr>
          <w:p w14:paraId="5BE48DDE"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6A237528"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05A4FCE3" w14:textId="77777777">
        <w:trPr>
          <w:trHeight w:val="311"/>
        </w:trPr>
        <w:tc>
          <w:tcPr>
            <w:tcW w:w="1845" w:type="dxa"/>
            <w:vMerge/>
            <w:tcBorders>
              <w:top w:val="nil"/>
              <w:left w:val="nil"/>
              <w:bottom w:val="nil"/>
              <w:right w:val="nil"/>
            </w:tcBorders>
            <w:vAlign w:val="center"/>
          </w:tcPr>
          <w:p w14:paraId="0F5A53B9"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174AA96A"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I62</w:t>
            </w:r>
          </w:p>
        </w:tc>
        <w:tc>
          <w:tcPr>
            <w:tcW w:w="5788" w:type="dxa"/>
            <w:tcBorders>
              <w:top w:val="nil"/>
              <w:left w:val="nil"/>
              <w:bottom w:val="nil"/>
              <w:right w:val="nil"/>
            </w:tcBorders>
            <w:shd w:val="clear" w:color="auto" w:fill="auto"/>
            <w:vAlign w:val="center"/>
          </w:tcPr>
          <w:p w14:paraId="26520CBE"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GDP per capita growth (annual %)</w:t>
            </w:r>
          </w:p>
        </w:tc>
        <w:tc>
          <w:tcPr>
            <w:tcW w:w="993" w:type="dxa"/>
            <w:tcBorders>
              <w:top w:val="nil"/>
              <w:left w:val="nil"/>
              <w:bottom w:val="nil"/>
              <w:right w:val="nil"/>
            </w:tcBorders>
            <w:shd w:val="clear" w:color="auto" w:fill="auto"/>
            <w:vAlign w:val="center"/>
          </w:tcPr>
          <w:p w14:paraId="34BFA892"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tcBorders>
              <w:top w:val="nil"/>
              <w:left w:val="nil"/>
              <w:bottom w:val="nil"/>
              <w:right w:val="nil"/>
            </w:tcBorders>
            <w:shd w:val="clear" w:color="auto" w:fill="auto"/>
            <w:noWrap/>
            <w:vAlign w:val="center"/>
          </w:tcPr>
          <w:p w14:paraId="37B2B0D2"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5D364294"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39C95F7" w14:textId="77777777">
        <w:trPr>
          <w:trHeight w:val="311"/>
        </w:trPr>
        <w:tc>
          <w:tcPr>
            <w:tcW w:w="1845" w:type="dxa"/>
            <w:vMerge/>
            <w:tcBorders>
              <w:top w:val="nil"/>
              <w:left w:val="nil"/>
              <w:bottom w:val="nil"/>
              <w:right w:val="nil"/>
            </w:tcBorders>
            <w:vAlign w:val="center"/>
          </w:tcPr>
          <w:p w14:paraId="25865121"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2CE32F76"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I63</w:t>
            </w:r>
          </w:p>
        </w:tc>
        <w:tc>
          <w:tcPr>
            <w:tcW w:w="5788" w:type="dxa"/>
            <w:tcBorders>
              <w:top w:val="nil"/>
              <w:left w:val="nil"/>
              <w:bottom w:val="nil"/>
              <w:right w:val="nil"/>
            </w:tcBorders>
            <w:shd w:val="clear" w:color="auto" w:fill="auto"/>
            <w:vAlign w:val="center"/>
          </w:tcPr>
          <w:p w14:paraId="22A09EDB"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GDP growth (annual %)</w:t>
            </w:r>
          </w:p>
        </w:tc>
        <w:tc>
          <w:tcPr>
            <w:tcW w:w="993" w:type="dxa"/>
            <w:tcBorders>
              <w:top w:val="nil"/>
              <w:left w:val="nil"/>
              <w:bottom w:val="nil"/>
              <w:right w:val="nil"/>
            </w:tcBorders>
            <w:shd w:val="clear" w:color="auto" w:fill="auto"/>
            <w:vAlign w:val="center"/>
          </w:tcPr>
          <w:p w14:paraId="06FAFAFF"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tcBorders>
              <w:top w:val="nil"/>
              <w:left w:val="nil"/>
              <w:bottom w:val="nil"/>
              <w:right w:val="nil"/>
            </w:tcBorders>
            <w:shd w:val="clear" w:color="auto" w:fill="auto"/>
            <w:noWrap/>
            <w:vAlign w:val="center"/>
          </w:tcPr>
          <w:p w14:paraId="657BCE65"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59A9D6A6"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00B84AD7" w14:textId="77777777">
        <w:trPr>
          <w:trHeight w:val="311"/>
        </w:trPr>
        <w:tc>
          <w:tcPr>
            <w:tcW w:w="1845" w:type="dxa"/>
            <w:vMerge/>
            <w:tcBorders>
              <w:top w:val="nil"/>
              <w:left w:val="nil"/>
              <w:bottom w:val="nil"/>
              <w:right w:val="nil"/>
            </w:tcBorders>
            <w:vAlign w:val="center"/>
          </w:tcPr>
          <w:p w14:paraId="093201A5"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5E75D368"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I64</w:t>
            </w:r>
          </w:p>
        </w:tc>
        <w:tc>
          <w:tcPr>
            <w:tcW w:w="5788" w:type="dxa"/>
            <w:tcBorders>
              <w:top w:val="nil"/>
              <w:left w:val="nil"/>
              <w:bottom w:val="nil"/>
              <w:right w:val="nil"/>
            </w:tcBorders>
            <w:shd w:val="clear" w:color="auto" w:fill="auto"/>
            <w:vAlign w:val="center"/>
          </w:tcPr>
          <w:p w14:paraId="693C2D06"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Cereal yield (kg per hectare)</w:t>
            </w:r>
          </w:p>
        </w:tc>
        <w:tc>
          <w:tcPr>
            <w:tcW w:w="993" w:type="dxa"/>
            <w:tcBorders>
              <w:top w:val="nil"/>
              <w:left w:val="nil"/>
              <w:bottom w:val="nil"/>
              <w:right w:val="nil"/>
            </w:tcBorders>
            <w:shd w:val="clear" w:color="auto" w:fill="auto"/>
            <w:vAlign w:val="center"/>
          </w:tcPr>
          <w:p w14:paraId="44981CC4"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tcBorders>
              <w:top w:val="nil"/>
              <w:left w:val="nil"/>
              <w:bottom w:val="nil"/>
              <w:right w:val="nil"/>
            </w:tcBorders>
            <w:shd w:val="clear" w:color="auto" w:fill="auto"/>
            <w:noWrap/>
            <w:vAlign w:val="center"/>
          </w:tcPr>
          <w:p w14:paraId="1A946006"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49349155"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592BD08A" w14:textId="77777777">
        <w:trPr>
          <w:trHeight w:val="311"/>
        </w:trPr>
        <w:tc>
          <w:tcPr>
            <w:tcW w:w="1845" w:type="dxa"/>
            <w:vMerge/>
            <w:tcBorders>
              <w:top w:val="nil"/>
              <w:left w:val="nil"/>
              <w:bottom w:val="nil"/>
              <w:right w:val="nil"/>
            </w:tcBorders>
            <w:vAlign w:val="center"/>
          </w:tcPr>
          <w:p w14:paraId="391BCF3B"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7AE9DBF4"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I65</w:t>
            </w:r>
          </w:p>
        </w:tc>
        <w:tc>
          <w:tcPr>
            <w:tcW w:w="5788" w:type="dxa"/>
            <w:tcBorders>
              <w:top w:val="nil"/>
              <w:left w:val="nil"/>
              <w:bottom w:val="nil"/>
              <w:right w:val="nil"/>
            </w:tcBorders>
            <w:shd w:val="clear" w:color="auto" w:fill="auto"/>
            <w:vAlign w:val="center"/>
          </w:tcPr>
          <w:p w14:paraId="78A81CEB"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Agricultural land (% of land area)</w:t>
            </w:r>
          </w:p>
        </w:tc>
        <w:tc>
          <w:tcPr>
            <w:tcW w:w="993" w:type="dxa"/>
            <w:tcBorders>
              <w:top w:val="nil"/>
              <w:left w:val="nil"/>
              <w:bottom w:val="nil"/>
              <w:right w:val="nil"/>
            </w:tcBorders>
            <w:shd w:val="clear" w:color="auto" w:fill="auto"/>
            <w:vAlign w:val="center"/>
          </w:tcPr>
          <w:p w14:paraId="646A582F"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tcBorders>
              <w:top w:val="nil"/>
              <w:left w:val="nil"/>
              <w:bottom w:val="nil"/>
              <w:right w:val="nil"/>
            </w:tcBorders>
            <w:shd w:val="clear" w:color="auto" w:fill="auto"/>
            <w:noWrap/>
            <w:vAlign w:val="center"/>
          </w:tcPr>
          <w:p w14:paraId="5EC5E3CE"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68C142C8"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04A047CB" w14:textId="77777777">
        <w:trPr>
          <w:trHeight w:val="311"/>
        </w:trPr>
        <w:tc>
          <w:tcPr>
            <w:tcW w:w="1845" w:type="dxa"/>
            <w:vMerge/>
            <w:tcBorders>
              <w:top w:val="nil"/>
              <w:left w:val="nil"/>
              <w:bottom w:val="nil"/>
              <w:right w:val="nil"/>
            </w:tcBorders>
            <w:vAlign w:val="center"/>
          </w:tcPr>
          <w:p w14:paraId="00EC2ED4"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7FCD35AE"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I66</w:t>
            </w:r>
          </w:p>
        </w:tc>
        <w:tc>
          <w:tcPr>
            <w:tcW w:w="5788" w:type="dxa"/>
            <w:tcBorders>
              <w:top w:val="nil"/>
              <w:left w:val="nil"/>
              <w:bottom w:val="nil"/>
              <w:right w:val="nil"/>
            </w:tcBorders>
            <w:shd w:val="clear" w:color="auto" w:fill="auto"/>
            <w:vAlign w:val="center"/>
          </w:tcPr>
          <w:p w14:paraId="7E915D07"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 xml:space="preserve">Arable </w:t>
            </w:r>
            <w:r w:rsidRPr="009A5251">
              <w:rPr>
                <w:rFonts w:ascii="Times New Roman" w:eastAsia="DengXian" w:hAnsi="Times New Roman" w:cs="Times New Roman"/>
                <w:color w:val="000000"/>
                <w:kern w:val="0"/>
                <w:sz w:val="18"/>
                <w:szCs w:val="18"/>
              </w:rPr>
              <w:t>land (% of land area)</w:t>
            </w:r>
          </w:p>
        </w:tc>
        <w:tc>
          <w:tcPr>
            <w:tcW w:w="993" w:type="dxa"/>
            <w:tcBorders>
              <w:top w:val="nil"/>
              <w:left w:val="nil"/>
              <w:bottom w:val="nil"/>
              <w:right w:val="nil"/>
            </w:tcBorders>
            <w:shd w:val="clear" w:color="auto" w:fill="auto"/>
            <w:vAlign w:val="center"/>
          </w:tcPr>
          <w:p w14:paraId="29AAD4D9"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tcBorders>
              <w:top w:val="nil"/>
              <w:left w:val="nil"/>
              <w:bottom w:val="nil"/>
              <w:right w:val="nil"/>
            </w:tcBorders>
            <w:shd w:val="clear" w:color="auto" w:fill="auto"/>
            <w:noWrap/>
            <w:vAlign w:val="center"/>
          </w:tcPr>
          <w:p w14:paraId="19B453B0"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35FB4C06"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5C74E394" w14:textId="77777777">
        <w:trPr>
          <w:trHeight w:val="311"/>
        </w:trPr>
        <w:tc>
          <w:tcPr>
            <w:tcW w:w="1845" w:type="dxa"/>
            <w:vMerge/>
            <w:tcBorders>
              <w:top w:val="nil"/>
              <w:left w:val="nil"/>
              <w:bottom w:val="nil"/>
              <w:right w:val="nil"/>
            </w:tcBorders>
            <w:vAlign w:val="center"/>
          </w:tcPr>
          <w:p w14:paraId="13EEE069"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4E23CF52"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I67</w:t>
            </w:r>
          </w:p>
        </w:tc>
        <w:tc>
          <w:tcPr>
            <w:tcW w:w="5788" w:type="dxa"/>
            <w:tcBorders>
              <w:top w:val="nil"/>
              <w:left w:val="nil"/>
              <w:bottom w:val="nil"/>
              <w:right w:val="nil"/>
            </w:tcBorders>
            <w:shd w:val="clear" w:color="auto" w:fill="auto"/>
            <w:vAlign w:val="center"/>
          </w:tcPr>
          <w:p w14:paraId="4ED558F3"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Death rate, crude (per 1,000 people)</w:t>
            </w:r>
          </w:p>
        </w:tc>
        <w:tc>
          <w:tcPr>
            <w:tcW w:w="993" w:type="dxa"/>
            <w:tcBorders>
              <w:top w:val="nil"/>
              <w:left w:val="nil"/>
              <w:bottom w:val="nil"/>
              <w:right w:val="nil"/>
            </w:tcBorders>
            <w:shd w:val="clear" w:color="auto" w:fill="auto"/>
            <w:vAlign w:val="center"/>
          </w:tcPr>
          <w:p w14:paraId="69C24C26"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5DF040E5"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64F66B07"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051AD476" w14:textId="77777777">
        <w:trPr>
          <w:trHeight w:val="311"/>
        </w:trPr>
        <w:tc>
          <w:tcPr>
            <w:tcW w:w="1845" w:type="dxa"/>
            <w:vMerge/>
            <w:tcBorders>
              <w:top w:val="nil"/>
              <w:left w:val="nil"/>
              <w:bottom w:val="nil"/>
              <w:right w:val="nil"/>
            </w:tcBorders>
            <w:vAlign w:val="center"/>
          </w:tcPr>
          <w:p w14:paraId="0B4B7E29"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6A3392C1"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I68</w:t>
            </w:r>
          </w:p>
        </w:tc>
        <w:tc>
          <w:tcPr>
            <w:tcW w:w="5788" w:type="dxa"/>
            <w:tcBorders>
              <w:top w:val="nil"/>
              <w:left w:val="nil"/>
              <w:bottom w:val="nil"/>
              <w:right w:val="nil"/>
            </w:tcBorders>
            <w:shd w:val="clear" w:color="auto" w:fill="auto"/>
            <w:vAlign w:val="center"/>
          </w:tcPr>
          <w:p w14:paraId="5791E83A"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Population ages 65 and above (% of total population)</w:t>
            </w:r>
          </w:p>
        </w:tc>
        <w:tc>
          <w:tcPr>
            <w:tcW w:w="993" w:type="dxa"/>
            <w:tcBorders>
              <w:top w:val="nil"/>
              <w:left w:val="nil"/>
              <w:bottom w:val="nil"/>
              <w:right w:val="nil"/>
            </w:tcBorders>
            <w:shd w:val="clear" w:color="auto" w:fill="auto"/>
            <w:vAlign w:val="center"/>
          </w:tcPr>
          <w:p w14:paraId="1386EB6A"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3A01FC07"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792E6D0F"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40B46782" w14:textId="77777777">
        <w:trPr>
          <w:trHeight w:val="311"/>
        </w:trPr>
        <w:tc>
          <w:tcPr>
            <w:tcW w:w="1845" w:type="dxa"/>
            <w:vMerge/>
            <w:tcBorders>
              <w:top w:val="nil"/>
              <w:left w:val="nil"/>
              <w:bottom w:val="nil"/>
              <w:right w:val="nil"/>
            </w:tcBorders>
            <w:vAlign w:val="center"/>
          </w:tcPr>
          <w:p w14:paraId="715557A8"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7210A8FC"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I69</w:t>
            </w:r>
          </w:p>
        </w:tc>
        <w:tc>
          <w:tcPr>
            <w:tcW w:w="5788" w:type="dxa"/>
            <w:tcBorders>
              <w:top w:val="nil"/>
              <w:left w:val="nil"/>
              <w:bottom w:val="nil"/>
              <w:right w:val="nil"/>
            </w:tcBorders>
            <w:shd w:val="clear" w:color="auto" w:fill="auto"/>
            <w:vAlign w:val="center"/>
          </w:tcPr>
          <w:p w14:paraId="042FCD8D"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Refugee population by country or territory of asylum</w:t>
            </w:r>
          </w:p>
        </w:tc>
        <w:tc>
          <w:tcPr>
            <w:tcW w:w="993" w:type="dxa"/>
            <w:tcBorders>
              <w:top w:val="nil"/>
              <w:left w:val="nil"/>
              <w:bottom w:val="nil"/>
              <w:right w:val="nil"/>
            </w:tcBorders>
            <w:shd w:val="clear" w:color="auto" w:fill="auto"/>
            <w:vAlign w:val="center"/>
          </w:tcPr>
          <w:p w14:paraId="38ED5365"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03A513E0"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6EF8251B"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313F7EB9" w14:textId="77777777">
        <w:trPr>
          <w:trHeight w:val="311"/>
        </w:trPr>
        <w:tc>
          <w:tcPr>
            <w:tcW w:w="1845" w:type="dxa"/>
            <w:vMerge/>
            <w:tcBorders>
              <w:top w:val="nil"/>
              <w:left w:val="nil"/>
              <w:bottom w:val="nil"/>
              <w:right w:val="nil"/>
            </w:tcBorders>
            <w:vAlign w:val="center"/>
          </w:tcPr>
          <w:p w14:paraId="63F3B2E0"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1722349D"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I70</w:t>
            </w:r>
          </w:p>
        </w:tc>
        <w:tc>
          <w:tcPr>
            <w:tcW w:w="5788" w:type="dxa"/>
            <w:tcBorders>
              <w:top w:val="nil"/>
              <w:left w:val="nil"/>
              <w:bottom w:val="nil"/>
              <w:right w:val="nil"/>
            </w:tcBorders>
            <w:shd w:val="clear" w:color="auto" w:fill="auto"/>
            <w:vAlign w:val="center"/>
          </w:tcPr>
          <w:p w14:paraId="16491A78"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 xml:space="preserve">Government </w:t>
            </w:r>
            <w:r w:rsidRPr="009A5251">
              <w:rPr>
                <w:rFonts w:ascii="Times New Roman" w:eastAsia="DengXian" w:hAnsi="Times New Roman" w:cs="Times New Roman"/>
                <w:color w:val="000000"/>
                <w:kern w:val="0"/>
                <w:sz w:val="18"/>
                <w:szCs w:val="18"/>
              </w:rPr>
              <w:t>expenditure on education, total (% of GDP)</w:t>
            </w:r>
          </w:p>
        </w:tc>
        <w:tc>
          <w:tcPr>
            <w:tcW w:w="993" w:type="dxa"/>
            <w:tcBorders>
              <w:top w:val="nil"/>
              <w:left w:val="nil"/>
              <w:bottom w:val="nil"/>
              <w:right w:val="nil"/>
            </w:tcBorders>
            <w:shd w:val="clear" w:color="auto" w:fill="auto"/>
            <w:vAlign w:val="center"/>
          </w:tcPr>
          <w:p w14:paraId="0D892040"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tcBorders>
              <w:top w:val="nil"/>
              <w:left w:val="nil"/>
              <w:bottom w:val="nil"/>
              <w:right w:val="nil"/>
            </w:tcBorders>
            <w:shd w:val="clear" w:color="auto" w:fill="auto"/>
            <w:noWrap/>
            <w:vAlign w:val="center"/>
          </w:tcPr>
          <w:p w14:paraId="60A6E2A2"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7D514135"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0D8BE2D" w14:textId="77777777">
        <w:trPr>
          <w:trHeight w:val="311"/>
        </w:trPr>
        <w:tc>
          <w:tcPr>
            <w:tcW w:w="1845" w:type="dxa"/>
            <w:vMerge/>
            <w:tcBorders>
              <w:top w:val="nil"/>
              <w:left w:val="nil"/>
              <w:bottom w:val="nil"/>
              <w:right w:val="nil"/>
            </w:tcBorders>
            <w:vAlign w:val="center"/>
          </w:tcPr>
          <w:p w14:paraId="6BED4B68"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0972CA92"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I71</w:t>
            </w:r>
          </w:p>
        </w:tc>
        <w:tc>
          <w:tcPr>
            <w:tcW w:w="5788" w:type="dxa"/>
            <w:tcBorders>
              <w:top w:val="nil"/>
              <w:left w:val="nil"/>
              <w:bottom w:val="nil"/>
              <w:right w:val="nil"/>
            </w:tcBorders>
            <w:shd w:val="clear" w:color="auto" w:fill="auto"/>
            <w:vAlign w:val="center"/>
          </w:tcPr>
          <w:p w14:paraId="13D20B33"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Current health expenditure (% of GDP)</w:t>
            </w:r>
          </w:p>
        </w:tc>
        <w:tc>
          <w:tcPr>
            <w:tcW w:w="993" w:type="dxa"/>
            <w:tcBorders>
              <w:top w:val="nil"/>
              <w:left w:val="nil"/>
              <w:bottom w:val="nil"/>
              <w:right w:val="nil"/>
            </w:tcBorders>
            <w:shd w:val="clear" w:color="auto" w:fill="auto"/>
            <w:vAlign w:val="center"/>
          </w:tcPr>
          <w:p w14:paraId="7C0453ED"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positive</w:t>
            </w:r>
          </w:p>
        </w:tc>
        <w:tc>
          <w:tcPr>
            <w:tcW w:w="4394" w:type="dxa"/>
            <w:tcBorders>
              <w:top w:val="nil"/>
              <w:left w:val="nil"/>
              <w:bottom w:val="nil"/>
              <w:right w:val="nil"/>
            </w:tcBorders>
            <w:shd w:val="clear" w:color="auto" w:fill="auto"/>
            <w:noWrap/>
            <w:vAlign w:val="center"/>
          </w:tcPr>
          <w:p w14:paraId="4D14B856"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2EF0A438"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16FE4089" w14:textId="77777777">
        <w:trPr>
          <w:trHeight w:val="311"/>
        </w:trPr>
        <w:tc>
          <w:tcPr>
            <w:tcW w:w="1845" w:type="dxa"/>
            <w:vMerge/>
            <w:tcBorders>
              <w:top w:val="nil"/>
              <w:left w:val="nil"/>
              <w:bottom w:val="nil"/>
              <w:right w:val="nil"/>
            </w:tcBorders>
            <w:vAlign w:val="center"/>
          </w:tcPr>
          <w:p w14:paraId="7604A946"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2BDED5F8"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I72</w:t>
            </w:r>
          </w:p>
        </w:tc>
        <w:tc>
          <w:tcPr>
            <w:tcW w:w="5788" w:type="dxa"/>
            <w:tcBorders>
              <w:top w:val="nil"/>
              <w:left w:val="nil"/>
              <w:bottom w:val="nil"/>
              <w:right w:val="nil"/>
            </w:tcBorders>
            <w:shd w:val="clear" w:color="auto" w:fill="auto"/>
            <w:vAlign w:val="center"/>
          </w:tcPr>
          <w:p w14:paraId="1EC36888"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Out-of-pocket expenditure (% of current health expenditure)</w:t>
            </w:r>
          </w:p>
        </w:tc>
        <w:tc>
          <w:tcPr>
            <w:tcW w:w="993" w:type="dxa"/>
            <w:tcBorders>
              <w:top w:val="nil"/>
              <w:left w:val="nil"/>
              <w:bottom w:val="nil"/>
              <w:right w:val="nil"/>
            </w:tcBorders>
            <w:shd w:val="clear" w:color="auto" w:fill="auto"/>
            <w:vAlign w:val="center"/>
          </w:tcPr>
          <w:p w14:paraId="498DF04A"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65481A47"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1A24F601"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7BE6E003" w14:textId="77777777">
        <w:trPr>
          <w:trHeight w:val="311"/>
        </w:trPr>
        <w:tc>
          <w:tcPr>
            <w:tcW w:w="1845" w:type="dxa"/>
            <w:vMerge/>
            <w:tcBorders>
              <w:top w:val="nil"/>
              <w:left w:val="nil"/>
              <w:bottom w:val="nil"/>
              <w:right w:val="nil"/>
            </w:tcBorders>
            <w:vAlign w:val="center"/>
          </w:tcPr>
          <w:p w14:paraId="32FE75C7"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66F91AFF"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I73</w:t>
            </w:r>
          </w:p>
        </w:tc>
        <w:tc>
          <w:tcPr>
            <w:tcW w:w="5788" w:type="dxa"/>
            <w:tcBorders>
              <w:top w:val="nil"/>
              <w:left w:val="nil"/>
              <w:bottom w:val="nil"/>
              <w:right w:val="nil"/>
            </w:tcBorders>
            <w:shd w:val="clear" w:color="auto" w:fill="auto"/>
            <w:vAlign w:val="center"/>
          </w:tcPr>
          <w:p w14:paraId="7D8DA251"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 xml:space="preserve">Unemployment, total (% of total labor force) (modeled ILO </w:t>
            </w:r>
            <w:r w:rsidRPr="009A5251">
              <w:rPr>
                <w:rFonts w:ascii="Times New Roman" w:eastAsia="DengXian" w:hAnsi="Times New Roman" w:cs="Times New Roman"/>
                <w:color w:val="000000"/>
                <w:kern w:val="0"/>
                <w:sz w:val="18"/>
                <w:szCs w:val="18"/>
              </w:rPr>
              <w:t>estimate)</w:t>
            </w:r>
          </w:p>
        </w:tc>
        <w:tc>
          <w:tcPr>
            <w:tcW w:w="993" w:type="dxa"/>
            <w:tcBorders>
              <w:top w:val="nil"/>
              <w:left w:val="nil"/>
              <w:bottom w:val="nil"/>
              <w:right w:val="nil"/>
            </w:tcBorders>
            <w:shd w:val="clear" w:color="auto" w:fill="auto"/>
            <w:vAlign w:val="center"/>
          </w:tcPr>
          <w:p w14:paraId="3D98FD07"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312FDC45"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nil"/>
              <w:right w:val="nil"/>
            </w:tcBorders>
            <w:vAlign w:val="center"/>
          </w:tcPr>
          <w:p w14:paraId="14221E08"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60429330" w14:textId="77777777">
        <w:trPr>
          <w:trHeight w:val="500"/>
        </w:trPr>
        <w:tc>
          <w:tcPr>
            <w:tcW w:w="1845" w:type="dxa"/>
            <w:vMerge/>
            <w:tcBorders>
              <w:top w:val="nil"/>
              <w:left w:val="nil"/>
              <w:bottom w:val="nil"/>
              <w:right w:val="nil"/>
            </w:tcBorders>
            <w:vAlign w:val="center"/>
          </w:tcPr>
          <w:p w14:paraId="632CBB63"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461DBF2C"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I74</w:t>
            </w:r>
          </w:p>
        </w:tc>
        <w:tc>
          <w:tcPr>
            <w:tcW w:w="5788" w:type="dxa"/>
            <w:tcBorders>
              <w:top w:val="nil"/>
              <w:left w:val="nil"/>
              <w:bottom w:val="nil"/>
              <w:right w:val="nil"/>
            </w:tcBorders>
            <w:shd w:val="clear" w:color="auto" w:fill="auto"/>
            <w:vAlign w:val="center"/>
          </w:tcPr>
          <w:p w14:paraId="7E3BDEA3"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Inflation, consumer prices (annual %)</w:t>
            </w:r>
          </w:p>
        </w:tc>
        <w:tc>
          <w:tcPr>
            <w:tcW w:w="993" w:type="dxa"/>
            <w:tcBorders>
              <w:top w:val="nil"/>
              <w:left w:val="nil"/>
              <w:bottom w:val="nil"/>
              <w:right w:val="nil"/>
            </w:tcBorders>
            <w:shd w:val="clear" w:color="auto" w:fill="auto"/>
            <w:vAlign w:val="center"/>
          </w:tcPr>
          <w:p w14:paraId="59D90362"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vAlign w:val="center"/>
          </w:tcPr>
          <w:p w14:paraId="75639D4A" w14:textId="77777777" w:rsidR="001D2CBE" w:rsidRPr="009A5251" w:rsidRDefault="009A5251">
            <w:pPr>
              <w:widowControl/>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[3, 6] could be seen as an ideal interval for Inflation (consumer prices) form economics perspective.</w:t>
            </w:r>
          </w:p>
        </w:tc>
        <w:tc>
          <w:tcPr>
            <w:tcW w:w="2287" w:type="dxa"/>
            <w:vMerge/>
            <w:tcBorders>
              <w:top w:val="nil"/>
              <w:left w:val="nil"/>
              <w:bottom w:val="nil"/>
              <w:right w:val="nil"/>
            </w:tcBorders>
            <w:vAlign w:val="center"/>
          </w:tcPr>
          <w:p w14:paraId="09962628"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2E330F41" w14:textId="77777777">
        <w:trPr>
          <w:trHeight w:val="311"/>
        </w:trPr>
        <w:tc>
          <w:tcPr>
            <w:tcW w:w="1845" w:type="dxa"/>
            <w:vMerge w:val="restart"/>
            <w:tcBorders>
              <w:top w:val="nil"/>
              <w:left w:val="nil"/>
              <w:bottom w:val="single" w:sz="4" w:space="0" w:color="000000"/>
              <w:right w:val="nil"/>
            </w:tcBorders>
            <w:shd w:val="clear" w:color="auto" w:fill="auto"/>
            <w:vAlign w:val="center"/>
          </w:tcPr>
          <w:p w14:paraId="75157D4A" w14:textId="77777777" w:rsidR="001D2CBE" w:rsidRPr="009A5251" w:rsidRDefault="009A5251">
            <w:pPr>
              <w:widowControl/>
              <w:jc w:val="left"/>
              <w:rPr>
                <w:rFonts w:ascii="Times New Roman" w:eastAsia="DengXian" w:hAnsi="Times New Roman" w:cs="Times New Roman"/>
                <w:color w:val="000000"/>
                <w:kern w:val="0"/>
                <w:sz w:val="16"/>
                <w:szCs w:val="16"/>
              </w:rPr>
            </w:pPr>
            <w:r w:rsidRPr="009A5251">
              <w:rPr>
                <w:rFonts w:ascii="Times New Roman" w:eastAsia="DengXian" w:hAnsi="Times New Roman" w:cs="Times New Roman"/>
                <w:color w:val="000000"/>
                <w:kern w:val="0"/>
                <w:sz w:val="16"/>
                <w:szCs w:val="16"/>
              </w:rPr>
              <w:t xml:space="preserve">Global Health Observatory data repository of the World Health </w:t>
            </w:r>
            <w:r w:rsidRPr="009A5251">
              <w:rPr>
                <w:rFonts w:ascii="Times New Roman" w:eastAsia="DengXian" w:hAnsi="Times New Roman" w:cs="Times New Roman"/>
                <w:color w:val="000000"/>
                <w:kern w:val="0"/>
                <w:sz w:val="16"/>
                <w:szCs w:val="16"/>
              </w:rPr>
              <w:t>Organization</w:t>
            </w:r>
          </w:p>
        </w:tc>
        <w:tc>
          <w:tcPr>
            <w:tcW w:w="872" w:type="dxa"/>
            <w:tcBorders>
              <w:top w:val="nil"/>
              <w:left w:val="nil"/>
              <w:bottom w:val="nil"/>
              <w:right w:val="nil"/>
            </w:tcBorders>
            <w:shd w:val="clear" w:color="auto" w:fill="auto"/>
            <w:vAlign w:val="center"/>
          </w:tcPr>
          <w:p w14:paraId="54746C74"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I75</w:t>
            </w:r>
          </w:p>
        </w:tc>
        <w:tc>
          <w:tcPr>
            <w:tcW w:w="5788" w:type="dxa"/>
            <w:tcBorders>
              <w:top w:val="nil"/>
              <w:left w:val="nil"/>
              <w:bottom w:val="nil"/>
              <w:right w:val="nil"/>
            </w:tcBorders>
            <w:shd w:val="clear" w:color="auto" w:fill="auto"/>
            <w:vAlign w:val="center"/>
          </w:tcPr>
          <w:p w14:paraId="11717FA0" w14:textId="77777777" w:rsidR="001D2CBE" w:rsidRPr="009A5251" w:rsidRDefault="009A5251">
            <w:pPr>
              <w:widowControl/>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Prevalence of anemia among children (% of children ages 6-59 months)</w:t>
            </w:r>
          </w:p>
        </w:tc>
        <w:tc>
          <w:tcPr>
            <w:tcW w:w="993" w:type="dxa"/>
            <w:tcBorders>
              <w:top w:val="nil"/>
              <w:left w:val="nil"/>
              <w:bottom w:val="nil"/>
              <w:right w:val="nil"/>
            </w:tcBorders>
            <w:shd w:val="clear" w:color="auto" w:fill="auto"/>
            <w:vAlign w:val="center"/>
          </w:tcPr>
          <w:p w14:paraId="4A39DCAA"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28D340CC"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val="restart"/>
            <w:tcBorders>
              <w:top w:val="nil"/>
              <w:left w:val="nil"/>
              <w:bottom w:val="single" w:sz="4" w:space="0" w:color="000000"/>
              <w:right w:val="nil"/>
            </w:tcBorders>
            <w:shd w:val="clear" w:color="auto" w:fill="auto"/>
            <w:vAlign w:val="center"/>
          </w:tcPr>
          <w:p w14:paraId="4B69A02F" w14:textId="77777777" w:rsidR="001D2CBE" w:rsidRPr="009A5251" w:rsidRDefault="009A5251">
            <w:pPr>
              <w:widowControl/>
              <w:wordWrap w:val="0"/>
              <w:rPr>
                <w:rFonts w:ascii="Times New Roman" w:eastAsia="DengXian" w:hAnsi="Times New Roman" w:cs="Times New Roman"/>
                <w:kern w:val="0"/>
                <w:sz w:val="16"/>
                <w:szCs w:val="16"/>
              </w:rPr>
            </w:pPr>
            <w:hyperlink r:id="rId17" w:history="1">
              <w:r w:rsidRPr="009A5251">
                <w:rPr>
                  <w:rFonts w:ascii="Times New Roman" w:eastAsia="DengXian" w:hAnsi="Times New Roman" w:cs="Times New Roman"/>
                  <w:kern w:val="0"/>
                  <w:sz w:val="16"/>
                  <w:szCs w:val="16"/>
                </w:rPr>
                <w:t>https://apps.who.int/gho/data/node.main</w:t>
              </w:r>
            </w:hyperlink>
          </w:p>
        </w:tc>
      </w:tr>
      <w:tr w:rsidR="001D2CBE" w:rsidRPr="009A5251" w14:paraId="5209E94D" w14:textId="77777777">
        <w:trPr>
          <w:trHeight w:val="311"/>
        </w:trPr>
        <w:tc>
          <w:tcPr>
            <w:tcW w:w="1845" w:type="dxa"/>
            <w:vMerge/>
            <w:tcBorders>
              <w:top w:val="nil"/>
              <w:left w:val="nil"/>
              <w:bottom w:val="single" w:sz="4" w:space="0" w:color="000000"/>
              <w:right w:val="nil"/>
            </w:tcBorders>
            <w:vAlign w:val="center"/>
          </w:tcPr>
          <w:p w14:paraId="77DD04D4"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nil"/>
              <w:right w:val="nil"/>
            </w:tcBorders>
            <w:shd w:val="clear" w:color="auto" w:fill="auto"/>
            <w:vAlign w:val="center"/>
          </w:tcPr>
          <w:p w14:paraId="750F3F82"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I76</w:t>
            </w:r>
          </w:p>
        </w:tc>
        <w:tc>
          <w:tcPr>
            <w:tcW w:w="5788" w:type="dxa"/>
            <w:tcBorders>
              <w:top w:val="nil"/>
              <w:left w:val="nil"/>
              <w:bottom w:val="nil"/>
              <w:right w:val="nil"/>
            </w:tcBorders>
            <w:shd w:val="clear" w:color="auto" w:fill="auto"/>
            <w:vAlign w:val="center"/>
          </w:tcPr>
          <w:p w14:paraId="6504603A"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 xml:space="preserve">All-cause </w:t>
            </w:r>
            <w:r w:rsidRPr="009A5251">
              <w:rPr>
                <w:rFonts w:ascii="Times New Roman" w:eastAsia="DengXian" w:hAnsi="Times New Roman" w:cs="Times New Roman"/>
                <w:color w:val="000000"/>
                <w:kern w:val="0"/>
                <w:sz w:val="18"/>
                <w:szCs w:val="18"/>
              </w:rPr>
              <w:t>mortality rate in 60+ people (per 100,000 population)</w:t>
            </w:r>
          </w:p>
        </w:tc>
        <w:tc>
          <w:tcPr>
            <w:tcW w:w="993" w:type="dxa"/>
            <w:tcBorders>
              <w:top w:val="nil"/>
              <w:left w:val="nil"/>
              <w:bottom w:val="nil"/>
              <w:right w:val="nil"/>
            </w:tcBorders>
            <w:shd w:val="clear" w:color="auto" w:fill="auto"/>
            <w:vAlign w:val="center"/>
          </w:tcPr>
          <w:p w14:paraId="73EC709A"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50A8B47D"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single" w:sz="4" w:space="0" w:color="000000"/>
              <w:right w:val="nil"/>
            </w:tcBorders>
            <w:vAlign w:val="center"/>
          </w:tcPr>
          <w:p w14:paraId="7320F2A7"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2592E7B9" w14:textId="77777777">
        <w:trPr>
          <w:trHeight w:val="311"/>
        </w:trPr>
        <w:tc>
          <w:tcPr>
            <w:tcW w:w="1845" w:type="dxa"/>
            <w:vMerge/>
            <w:tcBorders>
              <w:top w:val="nil"/>
              <w:left w:val="nil"/>
              <w:bottom w:val="single" w:sz="4" w:space="0" w:color="000000"/>
              <w:right w:val="nil"/>
            </w:tcBorders>
            <w:vAlign w:val="center"/>
          </w:tcPr>
          <w:p w14:paraId="614819E5"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right w:val="nil"/>
            </w:tcBorders>
            <w:shd w:val="clear" w:color="auto" w:fill="auto"/>
            <w:vAlign w:val="center"/>
          </w:tcPr>
          <w:p w14:paraId="261647C0"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I77</w:t>
            </w:r>
          </w:p>
        </w:tc>
        <w:tc>
          <w:tcPr>
            <w:tcW w:w="5788" w:type="dxa"/>
            <w:tcBorders>
              <w:top w:val="nil"/>
              <w:left w:val="nil"/>
              <w:right w:val="nil"/>
            </w:tcBorders>
            <w:shd w:val="clear" w:color="auto" w:fill="auto"/>
            <w:noWrap/>
            <w:vAlign w:val="center"/>
          </w:tcPr>
          <w:p w14:paraId="3FCB5742"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Age-standardized NCD mortality rate (per 100,000 population)</w:t>
            </w:r>
          </w:p>
        </w:tc>
        <w:tc>
          <w:tcPr>
            <w:tcW w:w="993" w:type="dxa"/>
            <w:tcBorders>
              <w:top w:val="nil"/>
              <w:left w:val="nil"/>
              <w:bottom w:val="nil"/>
              <w:right w:val="nil"/>
            </w:tcBorders>
            <w:shd w:val="clear" w:color="auto" w:fill="auto"/>
            <w:vAlign w:val="center"/>
          </w:tcPr>
          <w:p w14:paraId="76DF55E4"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nil"/>
              <w:right w:val="nil"/>
            </w:tcBorders>
            <w:shd w:val="clear" w:color="auto" w:fill="auto"/>
            <w:noWrap/>
            <w:vAlign w:val="center"/>
          </w:tcPr>
          <w:p w14:paraId="70EF00A4"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single" w:sz="4" w:space="0" w:color="000000"/>
              <w:right w:val="nil"/>
            </w:tcBorders>
            <w:vAlign w:val="center"/>
          </w:tcPr>
          <w:p w14:paraId="1BF87450" w14:textId="77777777" w:rsidR="001D2CBE" w:rsidRPr="009A5251" w:rsidRDefault="001D2CBE">
            <w:pPr>
              <w:widowControl/>
              <w:wordWrap w:val="0"/>
              <w:rPr>
                <w:rFonts w:ascii="Times New Roman" w:eastAsia="DengXian" w:hAnsi="Times New Roman" w:cs="Times New Roman"/>
                <w:kern w:val="0"/>
                <w:sz w:val="16"/>
                <w:szCs w:val="16"/>
              </w:rPr>
            </w:pPr>
          </w:p>
        </w:tc>
      </w:tr>
      <w:tr w:rsidR="001D2CBE" w:rsidRPr="009A5251" w14:paraId="2D3F1F0B" w14:textId="77777777">
        <w:trPr>
          <w:trHeight w:val="311"/>
        </w:trPr>
        <w:tc>
          <w:tcPr>
            <w:tcW w:w="1845" w:type="dxa"/>
            <w:vMerge/>
            <w:tcBorders>
              <w:top w:val="nil"/>
              <w:left w:val="nil"/>
              <w:bottom w:val="single" w:sz="4" w:space="0" w:color="000000"/>
              <w:right w:val="nil"/>
            </w:tcBorders>
            <w:vAlign w:val="center"/>
          </w:tcPr>
          <w:p w14:paraId="0FD062B3" w14:textId="77777777" w:rsidR="001D2CBE" w:rsidRPr="009A5251" w:rsidRDefault="001D2CBE">
            <w:pPr>
              <w:widowControl/>
              <w:jc w:val="left"/>
              <w:rPr>
                <w:rFonts w:ascii="Times New Roman" w:eastAsia="DengXian" w:hAnsi="Times New Roman" w:cs="Times New Roman"/>
                <w:color w:val="000000"/>
                <w:kern w:val="0"/>
                <w:sz w:val="16"/>
                <w:szCs w:val="16"/>
              </w:rPr>
            </w:pPr>
          </w:p>
        </w:tc>
        <w:tc>
          <w:tcPr>
            <w:tcW w:w="872" w:type="dxa"/>
            <w:tcBorders>
              <w:top w:val="nil"/>
              <w:left w:val="nil"/>
              <w:bottom w:val="single" w:sz="4" w:space="0" w:color="auto"/>
              <w:right w:val="nil"/>
            </w:tcBorders>
            <w:shd w:val="clear" w:color="auto" w:fill="auto"/>
            <w:vAlign w:val="center"/>
          </w:tcPr>
          <w:p w14:paraId="4867333C" w14:textId="77777777" w:rsidR="001D2CBE" w:rsidRPr="009A5251" w:rsidRDefault="009A5251">
            <w:pPr>
              <w:widowControl/>
              <w:jc w:val="center"/>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I78</w:t>
            </w:r>
          </w:p>
        </w:tc>
        <w:tc>
          <w:tcPr>
            <w:tcW w:w="5788" w:type="dxa"/>
            <w:tcBorders>
              <w:top w:val="nil"/>
              <w:left w:val="nil"/>
              <w:bottom w:val="single" w:sz="4" w:space="0" w:color="auto"/>
              <w:right w:val="nil"/>
            </w:tcBorders>
            <w:shd w:val="clear" w:color="auto" w:fill="auto"/>
            <w:noWrap/>
            <w:vAlign w:val="center"/>
          </w:tcPr>
          <w:p w14:paraId="3A256634"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Age-standardized suicide rates (per 100,000 population)</w:t>
            </w:r>
          </w:p>
        </w:tc>
        <w:tc>
          <w:tcPr>
            <w:tcW w:w="993" w:type="dxa"/>
            <w:tcBorders>
              <w:top w:val="nil"/>
              <w:left w:val="nil"/>
              <w:bottom w:val="single" w:sz="4" w:space="0" w:color="auto"/>
              <w:right w:val="nil"/>
            </w:tcBorders>
            <w:shd w:val="clear" w:color="auto" w:fill="auto"/>
            <w:vAlign w:val="center"/>
          </w:tcPr>
          <w:p w14:paraId="47CEB7D3" w14:textId="77777777" w:rsidR="001D2CBE" w:rsidRPr="009A5251" w:rsidRDefault="009A5251">
            <w:pPr>
              <w:widowControl/>
              <w:jc w:val="left"/>
              <w:rPr>
                <w:rFonts w:ascii="Times New Roman" w:eastAsia="DengXi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negative</w:t>
            </w:r>
          </w:p>
        </w:tc>
        <w:tc>
          <w:tcPr>
            <w:tcW w:w="4394" w:type="dxa"/>
            <w:tcBorders>
              <w:top w:val="nil"/>
              <w:left w:val="nil"/>
              <w:bottom w:val="single" w:sz="4" w:space="0" w:color="auto"/>
              <w:right w:val="nil"/>
            </w:tcBorders>
            <w:shd w:val="clear" w:color="auto" w:fill="auto"/>
            <w:noWrap/>
            <w:vAlign w:val="center"/>
          </w:tcPr>
          <w:p w14:paraId="606EF8CF" w14:textId="77777777" w:rsidR="001D2CBE" w:rsidRPr="009A5251" w:rsidRDefault="001D2CBE">
            <w:pPr>
              <w:widowControl/>
              <w:rPr>
                <w:rFonts w:ascii="Times New Roman" w:eastAsia="DengXian" w:hAnsi="Times New Roman" w:cs="Times New Roman"/>
                <w:color w:val="000000"/>
                <w:kern w:val="0"/>
                <w:sz w:val="16"/>
                <w:szCs w:val="16"/>
              </w:rPr>
            </w:pPr>
          </w:p>
        </w:tc>
        <w:tc>
          <w:tcPr>
            <w:tcW w:w="2287" w:type="dxa"/>
            <w:vMerge/>
            <w:tcBorders>
              <w:top w:val="nil"/>
              <w:left w:val="nil"/>
              <w:bottom w:val="single" w:sz="4" w:space="0" w:color="000000"/>
              <w:right w:val="nil"/>
            </w:tcBorders>
            <w:vAlign w:val="center"/>
          </w:tcPr>
          <w:p w14:paraId="1C4C1144" w14:textId="77777777" w:rsidR="001D2CBE" w:rsidRPr="009A5251" w:rsidRDefault="001D2CBE">
            <w:pPr>
              <w:widowControl/>
              <w:wordWrap w:val="0"/>
              <w:rPr>
                <w:rFonts w:ascii="Times New Roman" w:eastAsia="DengXian" w:hAnsi="Times New Roman" w:cs="Times New Roman"/>
                <w:kern w:val="0"/>
                <w:sz w:val="16"/>
                <w:szCs w:val="16"/>
              </w:rPr>
            </w:pPr>
          </w:p>
        </w:tc>
      </w:tr>
    </w:tbl>
    <w:p w14:paraId="6996AB75" w14:textId="77777777" w:rsidR="001D2CBE" w:rsidRPr="009A5251" w:rsidRDefault="009A5251">
      <w:pPr>
        <w:rPr>
          <w:rFonts w:ascii="Times New Roman" w:hAnsi="Times New Roman" w:cs="Times New Roman"/>
          <w:sz w:val="15"/>
          <w:szCs w:val="15"/>
        </w:rPr>
      </w:pPr>
      <w:r w:rsidRPr="009A5251">
        <w:rPr>
          <w:rFonts w:ascii="Times New Roman" w:hAnsi="Times New Roman" w:cs="Times New Roman"/>
          <w:sz w:val="15"/>
          <w:szCs w:val="15"/>
        </w:rPr>
        <w:t xml:space="preserve">PM, </w:t>
      </w:r>
      <w:r w:rsidRPr="009A5251">
        <w:rPr>
          <w:rFonts w:ascii="Times New Roman" w:hAnsi="Times New Roman" w:cs="Times New Roman" w:hint="eastAsia"/>
          <w:sz w:val="15"/>
          <w:szCs w:val="15"/>
        </w:rPr>
        <w:t>particula</w:t>
      </w:r>
      <w:r w:rsidRPr="009A5251">
        <w:rPr>
          <w:rFonts w:ascii="Times New Roman" w:hAnsi="Times New Roman" w:cs="Times New Roman" w:hint="eastAsia"/>
          <w:sz w:val="15"/>
          <w:szCs w:val="15"/>
        </w:rPr>
        <w:t>te</w:t>
      </w:r>
      <w:r w:rsidRPr="009A5251">
        <w:rPr>
          <w:rFonts w:ascii="Times New Roman" w:hAnsi="Times New Roman" w:cs="Times New Roman" w:hint="eastAsia"/>
          <w:sz w:val="15"/>
          <w:szCs w:val="15"/>
        </w:rPr>
        <w:t xml:space="preserve"> matter</w:t>
      </w:r>
      <w:r w:rsidRPr="009A5251">
        <w:rPr>
          <w:rFonts w:ascii="Times New Roman" w:hAnsi="Times New Roman" w:cs="Times New Roman"/>
          <w:sz w:val="15"/>
          <w:szCs w:val="15"/>
        </w:rPr>
        <w:t xml:space="preserve">; WHO, World Health Organization; </w:t>
      </w:r>
      <w:r w:rsidRPr="009A5251">
        <w:rPr>
          <w:rFonts w:ascii="Times New Roman" w:hAnsi="Times New Roman" w:cs="Times New Roman" w:hint="eastAsia"/>
          <w:sz w:val="15"/>
          <w:szCs w:val="15"/>
        </w:rPr>
        <w:t>NAP</w:t>
      </w:r>
      <w:r w:rsidRPr="009A5251">
        <w:rPr>
          <w:rFonts w:ascii="Times New Roman" w:hAnsi="Times New Roman" w:cs="Times New Roman"/>
          <w:sz w:val="15"/>
          <w:szCs w:val="15"/>
        </w:rPr>
        <w:t xml:space="preserve">, National Adaptation Plans; IHR, International Health Regulation; GDP, gross domestic product; NCD, Noncommunicable diseases; YLL, years of life lost. </w:t>
      </w:r>
    </w:p>
    <w:p w14:paraId="543C85C3" w14:textId="77777777" w:rsidR="001D2CBE" w:rsidRPr="009A5251" w:rsidRDefault="009A5251">
      <w:pPr>
        <w:rPr>
          <w:rFonts w:ascii="Times New Roman" w:hAnsi="Times New Roman" w:cs="Times New Roman"/>
          <w:sz w:val="15"/>
          <w:szCs w:val="15"/>
        </w:rPr>
      </w:pPr>
      <w:r w:rsidRPr="009A5251">
        <w:rPr>
          <w:rFonts w:ascii="Times New Roman" w:hAnsi="Times New Roman" w:cs="Times New Roman"/>
          <w:sz w:val="15"/>
          <w:szCs w:val="15"/>
        </w:rPr>
        <w:t>a. Age-standardized mortality rate.</w:t>
      </w:r>
    </w:p>
    <w:p w14:paraId="30E47703" w14:textId="77777777" w:rsidR="001D2CBE" w:rsidRPr="009A5251" w:rsidRDefault="001D2CBE">
      <w:pPr>
        <w:rPr>
          <w:rFonts w:ascii="Times New Roman" w:hAnsi="Times New Roman" w:cs="Times New Roman"/>
          <w:sz w:val="15"/>
          <w:szCs w:val="15"/>
        </w:rPr>
      </w:pPr>
    </w:p>
    <w:p w14:paraId="47B67A84" w14:textId="77777777" w:rsidR="001D2CBE" w:rsidRPr="009A5251" w:rsidRDefault="001D2CBE">
      <w:pPr>
        <w:rPr>
          <w:rFonts w:ascii="Times New Roman" w:hAnsi="Times New Roman" w:cs="Times New Roman"/>
          <w:sz w:val="15"/>
          <w:szCs w:val="15"/>
        </w:rPr>
      </w:pPr>
    </w:p>
    <w:p w14:paraId="3E86FE48" w14:textId="77777777" w:rsidR="001D2CBE" w:rsidRPr="009A5251" w:rsidRDefault="001D2CBE">
      <w:pPr>
        <w:rPr>
          <w:rFonts w:ascii="Times New Roman" w:hAnsi="Times New Roman" w:cs="Times New Roman"/>
          <w:b/>
        </w:rPr>
        <w:sectPr w:rsidR="001D2CBE" w:rsidRPr="009A5251">
          <w:pgSz w:w="16838" w:h="11906" w:orient="landscape"/>
          <w:pgMar w:top="1800" w:right="1440" w:bottom="1800" w:left="1440" w:header="851" w:footer="992" w:gutter="0"/>
          <w:cols w:space="425"/>
          <w:docGrid w:type="lines" w:linePitch="312"/>
        </w:sectPr>
      </w:pPr>
    </w:p>
    <w:p w14:paraId="5BD5F250" w14:textId="77777777" w:rsidR="001D2CBE" w:rsidRPr="009A5251" w:rsidRDefault="009A5251">
      <w:pPr>
        <w:jc w:val="center"/>
        <w:rPr>
          <w:rFonts w:ascii="Times New Roman" w:hAnsi="Times New Roman" w:cs="Times New Roman"/>
        </w:rPr>
      </w:pPr>
      <w:r w:rsidRPr="009A5251">
        <w:rPr>
          <w:rFonts w:ascii="Times New Roman" w:hAnsi="Times New Roman" w:cs="Times New Roman"/>
          <w:b/>
          <w:szCs w:val="21"/>
        </w:rPr>
        <w:lastRenderedPageBreak/>
        <w:t>Table S</w:t>
      </w:r>
      <w:r w:rsidRPr="009A5251">
        <w:rPr>
          <w:rFonts w:ascii="Times New Roman" w:hAnsi="Times New Roman" w:cs="Times New Roman" w:hint="eastAsia"/>
          <w:b/>
          <w:szCs w:val="21"/>
        </w:rPr>
        <w:t>2</w:t>
      </w:r>
      <w:r w:rsidRPr="009A5251">
        <w:rPr>
          <w:rFonts w:ascii="Times New Roman" w:hAnsi="Times New Roman" w:cs="Times New Roman"/>
          <w:b/>
        </w:rPr>
        <w:t>. Overview of national classification standard.</w:t>
      </w:r>
    </w:p>
    <w:p w14:paraId="39BDBEF4" w14:textId="77777777" w:rsidR="001D2CBE" w:rsidRPr="009A5251" w:rsidRDefault="009A5251">
      <w:pPr>
        <w:jc w:val="center"/>
        <w:rPr>
          <w:rFonts w:ascii="Times New Roman" w:hAnsi="Times New Roman" w:cs="Times New Roman"/>
          <w:sz w:val="20"/>
          <w:szCs w:val="20"/>
        </w:rPr>
      </w:pPr>
      <w:r w:rsidRPr="009A5251">
        <w:rPr>
          <w:rFonts w:ascii="Times New Roman" w:hAnsi="Times New Roman" w:cs="Times New Roman"/>
          <w:b/>
          <w:sz w:val="20"/>
          <w:szCs w:val="20"/>
        </w:rPr>
        <w:t>(A)</w:t>
      </w:r>
      <w:r w:rsidRPr="009A5251">
        <w:rPr>
          <w:rFonts w:ascii="Times New Roman" w:hAnsi="Times New Roman" w:cs="Times New Roman"/>
          <w:sz w:val="20"/>
          <w:szCs w:val="20"/>
        </w:rPr>
        <w:t xml:space="preserve"> The classification of 171 countries based on economic development</w:t>
      </w:r>
    </w:p>
    <w:tbl>
      <w:tblPr>
        <w:tblW w:w="13888" w:type="dxa"/>
        <w:tblLook w:val="04A0" w:firstRow="1" w:lastRow="0" w:firstColumn="1" w:lastColumn="0" w:noHBand="0" w:noVBand="1"/>
      </w:tblPr>
      <w:tblGrid>
        <w:gridCol w:w="1701"/>
        <w:gridCol w:w="2267"/>
        <w:gridCol w:w="1984"/>
        <w:gridCol w:w="1984"/>
        <w:gridCol w:w="1984"/>
        <w:gridCol w:w="1984"/>
        <w:gridCol w:w="1984"/>
      </w:tblGrid>
      <w:tr w:rsidR="001D2CBE" w:rsidRPr="009A5251" w14:paraId="764555B1" w14:textId="77777777">
        <w:trPr>
          <w:trHeight w:hRule="exact" w:val="255"/>
        </w:trPr>
        <w:tc>
          <w:tcPr>
            <w:tcW w:w="1701" w:type="dxa"/>
            <w:tcBorders>
              <w:top w:val="single" w:sz="4" w:space="0" w:color="000000"/>
              <w:left w:val="nil"/>
              <w:bottom w:val="single" w:sz="4" w:space="0" w:color="000000"/>
              <w:right w:val="nil"/>
            </w:tcBorders>
            <w:noWrap/>
          </w:tcPr>
          <w:p w14:paraId="3F5372F4"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Assignment</w:t>
            </w:r>
          </w:p>
        </w:tc>
        <w:tc>
          <w:tcPr>
            <w:tcW w:w="2267" w:type="dxa"/>
            <w:tcBorders>
              <w:top w:val="single" w:sz="4" w:space="0" w:color="000000"/>
              <w:left w:val="nil"/>
              <w:bottom w:val="single" w:sz="4" w:space="0" w:color="000000"/>
              <w:right w:val="nil"/>
            </w:tcBorders>
            <w:noWrap/>
          </w:tcPr>
          <w:p w14:paraId="7F6DCC16"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Group name</w:t>
            </w:r>
            <w:r w:rsidRPr="009A5251">
              <w:rPr>
                <w:rFonts w:ascii="Times New Roman" w:hAnsi="Times New Roman" w:cs="Times New Roman"/>
                <w:color w:val="000000"/>
                <w:kern w:val="0"/>
                <w:sz w:val="18"/>
                <w:szCs w:val="18"/>
                <w:vertAlign w:val="superscript"/>
              </w:rPr>
              <w:t>a</w:t>
            </w:r>
          </w:p>
        </w:tc>
        <w:tc>
          <w:tcPr>
            <w:tcW w:w="1984" w:type="dxa"/>
            <w:tcBorders>
              <w:top w:val="single" w:sz="4" w:space="0" w:color="000000"/>
              <w:left w:val="nil"/>
              <w:bottom w:val="single" w:sz="4" w:space="0" w:color="000000"/>
              <w:right w:val="nil"/>
            </w:tcBorders>
            <w:noWrap/>
          </w:tcPr>
          <w:p w14:paraId="323B52D7"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Value range</w:t>
            </w:r>
            <w:r w:rsidRPr="009A5251">
              <w:rPr>
                <w:rFonts w:ascii="Times New Roman" w:hAnsi="Times New Roman" w:cs="Times New Roman"/>
                <w:color w:val="000000"/>
                <w:kern w:val="0"/>
                <w:sz w:val="18"/>
                <w:szCs w:val="18"/>
                <w:vertAlign w:val="superscript"/>
              </w:rPr>
              <w:t>b</w:t>
            </w:r>
          </w:p>
        </w:tc>
        <w:tc>
          <w:tcPr>
            <w:tcW w:w="1984" w:type="dxa"/>
            <w:tcBorders>
              <w:top w:val="single" w:sz="4" w:space="0" w:color="000000"/>
              <w:left w:val="nil"/>
              <w:bottom w:val="single" w:sz="4" w:space="0" w:color="000000"/>
              <w:right w:val="nil"/>
            </w:tcBorders>
            <w:noWrap/>
          </w:tcPr>
          <w:p w14:paraId="28E5DCD8"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Ten-year average</w:t>
            </w:r>
            <w:r w:rsidRPr="009A5251">
              <w:rPr>
                <w:rFonts w:ascii="Times New Roman" w:hAnsi="Times New Roman" w:cs="Times New Roman"/>
                <w:color w:val="000000"/>
                <w:kern w:val="0"/>
                <w:sz w:val="18"/>
                <w:szCs w:val="18"/>
                <w:vertAlign w:val="superscript"/>
              </w:rPr>
              <w:t>c</w:t>
            </w:r>
          </w:p>
        </w:tc>
        <w:tc>
          <w:tcPr>
            <w:tcW w:w="1984" w:type="dxa"/>
            <w:tcBorders>
              <w:top w:val="single" w:sz="4" w:space="0" w:color="000000"/>
              <w:left w:val="nil"/>
              <w:bottom w:val="single" w:sz="4" w:space="0" w:color="000000"/>
              <w:right w:val="nil"/>
            </w:tcBorders>
            <w:noWrap/>
          </w:tcPr>
          <w:p w14:paraId="15562309"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 of total</w:t>
            </w:r>
          </w:p>
        </w:tc>
        <w:tc>
          <w:tcPr>
            <w:tcW w:w="1984" w:type="dxa"/>
            <w:tcBorders>
              <w:top w:val="single" w:sz="4" w:space="0" w:color="000000"/>
              <w:left w:val="nil"/>
              <w:bottom w:val="single" w:sz="4" w:space="0" w:color="000000"/>
              <w:right w:val="nil"/>
            </w:tcBorders>
            <w:noWrap/>
          </w:tcPr>
          <w:p w14:paraId="248ADE92"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2019</w:t>
            </w:r>
          </w:p>
        </w:tc>
        <w:tc>
          <w:tcPr>
            <w:tcW w:w="1984" w:type="dxa"/>
            <w:tcBorders>
              <w:top w:val="single" w:sz="4" w:space="0" w:color="000000"/>
              <w:left w:val="nil"/>
              <w:bottom w:val="single" w:sz="4" w:space="0" w:color="000000"/>
              <w:right w:val="nil"/>
            </w:tcBorders>
            <w:noWrap/>
          </w:tcPr>
          <w:p w14:paraId="7E8959C2"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 of total</w:t>
            </w:r>
          </w:p>
        </w:tc>
      </w:tr>
      <w:tr w:rsidR="001D2CBE" w:rsidRPr="009A5251" w14:paraId="6BB6C673" w14:textId="77777777">
        <w:trPr>
          <w:trHeight w:hRule="exact" w:val="255"/>
        </w:trPr>
        <w:tc>
          <w:tcPr>
            <w:tcW w:w="1701" w:type="dxa"/>
            <w:tcBorders>
              <w:top w:val="nil"/>
              <w:left w:val="nil"/>
              <w:bottom w:val="nil"/>
              <w:right w:val="nil"/>
            </w:tcBorders>
            <w:noWrap/>
            <w:vAlign w:val="center"/>
          </w:tcPr>
          <w:p w14:paraId="5CF56EFF"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1</w:t>
            </w:r>
          </w:p>
        </w:tc>
        <w:tc>
          <w:tcPr>
            <w:tcW w:w="2267" w:type="dxa"/>
            <w:tcBorders>
              <w:top w:val="nil"/>
              <w:left w:val="nil"/>
              <w:bottom w:val="nil"/>
              <w:right w:val="nil"/>
            </w:tcBorders>
            <w:noWrap/>
            <w:vAlign w:val="center"/>
          </w:tcPr>
          <w:p w14:paraId="4EB004AD"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low income</w:t>
            </w:r>
          </w:p>
        </w:tc>
        <w:tc>
          <w:tcPr>
            <w:tcW w:w="1984" w:type="dxa"/>
            <w:tcBorders>
              <w:top w:val="nil"/>
              <w:left w:val="nil"/>
              <w:bottom w:val="nil"/>
              <w:right w:val="nil"/>
            </w:tcBorders>
            <w:noWrap/>
            <w:vAlign w:val="center"/>
          </w:tcPr>
          <w:p w14:paraId="51B04B18"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≤1035</w:t>
            </w:r>
          </w:p>
        </w:tc>
        <w:tc>
          <w:tcPr>
            <w:tcW w:w="1984" w:type="dxa"/>
            <w:tcBorders>
              <w:top w:val="nil"/>
              <w:left w:val="nil"/>
              <w:bottom w:val="nil"/>
              <w:right w:val="nil"/>
            </w:tcBorders>
            <w:noWrap/>
            <w:vAlign w:val="center"/>
          </w:tcPr>
          <w:p w14:paraId="733DC749"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28</w:t>
            </w:r>
          </w:p>
        </w:tc>
        <w:tc>
          <w:tcPr>
            <w:tcW w:w="1984" w:type="dxa"/>
            <w:tcBorders>
              <w:top w:val="nil"/>
              <w:left w:val="nil"/>
              <w:bottom w:val="nil"/>
              <w:right w:val="nil"/>
            </w:tcBorders>
            <w:noWrap/>
            <w:vAlign w:val="center"/>
          </w:tcPr>
          <w:p w14:paraId="2413271E"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16.37</w:t>
            </w:r>
          </w:p>
        </w:tc>
        <w:tc>
          <w:tcPr>
            <w:tcW w:w="1984" w:type="dxa"/>
            <w:tcBorders>
              <w:top w:val="nil"/>
              <w:left w:val="nil"/>
              <w:bottom w:val="nil"/>
              <w:right w:val="nil"/>
            </w:tcBorders>
            <w:noWrap/>
            <w:vAlign w:val="center"/>
          </w:tcPr>
          <w:p w14:paraId="0DD07D72"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27</w:t>
            </w:r>
          </w:p>
        </w:tc>
        <w:tc>
          <w:tcPr>
            <w:tcW w:w="1984" w:type="dxa"/>
            <w:tcBorders>
              <w:top w:val="nil"/>
              <w:left w:val="nil"/>
              <w:bottom w:val="nil"/>
              <w:right w:val="nil"/>
            </w:tcBorders>
            <w:noWrap/>
            <w:vAlign w:val="center"/>
          </w:tcPr>
          <w:p w14:paraId="12694633"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15.79</w:t>
            </w:r>
          </w:p>
        </w:tc>
      </w:tr>
      <w:tr w:rsidR="001D2CBE" w:rsidRPr="009A5251" w14:paraId="6A9485D7" w14:textId="77777777">
        <w:trPr>
          <w:trHeight w:hRule="exact" w:val="255"/>
        </w:trPr>
        <w:tc>
          <w:tcPr>
            <w:tcW w:w="1701" w:type="dxa"/>
            <w:tcBorders>
              <w:top w:val="nil"/>
              <w:left w:val="nil"/>
              <w:bottom w:val="nil"/>
              <w:right w:val="nil"/>
            </w:tcBorders>
            <w:noWrap/>
            <w:vAlign w:val="center"/>
          </w:tcPr>
          <w:p w14:paraId="5DE82542"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w:t>
            </w:r>
          </w:p>
        </w:tc>
        <w:tc>
          <w:tcPr>
            <w:tcW w:w="2267" w:type="dxa"/>
            <w:tcBorders>
              <w:top w:val="nil"/>
              <w:left w:val="nil"/>
              <w:bottom w:val="nil"/>
              <w:right w:val="nil"/>
            </w:tcBorders>
            <w:noWrap/>
            <w:vAlign w:val="center"/>
          </w:tcPr>
          <w:p w14:paraId="2DEA3C01"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 xml:space="preserve">lower </w:t>
            </w:r>
            <w:r w:rsidRPr="009A5251">
              <w:rPr>
                <w:rFonts w:ascii="Times New Roman" w:hAnsi="Times New Roman" w:cs="Times New Roman"/>
                <w:color w:val="000000"/>
                <w:kern w:val="0"/>
                <w:sz w:val="18"/>
                <w:szCs w:val="18"/>
              </w:rPr>
              <w:t>middle income</w:t>
            </w:r>
          </w:p>
        </w:tc>
        <w:tc>
          <w:tcPr>
            <w:tcW w:w="1984" w:type="dxa"/>
            <w:tcBorders>
              <w:top w:val="nil"/>
              <w:left w:val="nil"/>
              <w:bottom w:val="nil"/>
              <w:right w:val="nil"/>
            </w:tcBorders>
            <w:noWrap/>
            <w:vAlign w:val="center"/>
          </w:tcPr>
          <w:p w14:paraId="0E0CC2D7"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1036 - 4045</w:t>
            </w:r>
          </w:p>
        </w:tc>
        <w:tc>
          <w:tcPr>
            <w:tcW w:w="1984" w:type="dxa"/>
            <w:tcBorders>
              <w:top w:val="nil"/>
              <w:left w:val="nil"/>
              <w:bottom w:val="nil"/>
              <w:right w:val="nil"/>
            </w:tcBorders>
            <w:noWrap/>
            <w:vAlign w:val="center"/>
          </w:tcPr>
          <w:p w14:paraId="1A9B68BB"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47</w:t>
            </w:r>
          </w:p>
        </w:tc>
        <w:tc>
          <w:tcPr>
            <w:tcW w:w="1984" w:type="dxa"/>
            <w:tcBorders>
              <w:top w:val="nil"/>
              <w:left w:val="nil"/>
              <w:bottom w:val="nil"/>
              <w:right w:val="nil"/>
            </w:tcBorders>
            <w:noWrap/>
            <w:vAlign w:val="center"/>
          </w:tcPr>
          <w:p w14:paraId="570D915E"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27.49</w:t>
            </w:r>
          </w:p>
        </w:tc>
        <w:tc>
          <w:tcPr>
            <w:tcW w:w="1984" w:type="dxa"/>
            <w:tcBorders>
              <w:top w:val="nil"/>
              <w:left w:val="nil"/>
              <w:bottom w:val="nil"/>
              <w:right w:val="nil"/>
            </w:tcBorders>
            <w:noWrap/>
            <w:vAlign w:val="center"/>
          </w:tcPr>
          <w:p w14:paraId="3E8EAF45"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45</w:t>
            </w:r>
          </w:p>
        </w:tc>
        <w:tc>
          <w:tcPr>
            <w:tcW w:w="1984" w:type="dxa"/>
            <w:tcBorders>
              <w:top w:val="nil"/>
              <w:left w:val="nil"/>
              <w:bottom w:val="nil"/>
              <w:right w:val="nil"/>
            </w:tcBorders>
            <w:noWrap/>
            <w:vAlign w:val="center"/>
          </w:tcPr>
          <w:p w14:paraId="02E6C808"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26.32</w:t>
            </w:r>
          </w:p>
        </w:tc>
      </w:tr>
      <w:tr w:rsidR="001D2CBE" w:rsidRPr="009A5251" w14:paraId="6C312622" w14:textId="77777777">
        <w:trPr>
          <w:trHeight w:hRule="exact" w:val="255"/>
        </w:trPr>
        <w:tc>
          <w:tcPr>
            <w:tcW w:w="1701" w:type="dxa"/>
            <w:tcBorders>
              <w:top w:val="nil"/>
              <w:left w:val="nil"/>
              <w:bottom w:val="nil"/>
              <w:right w:val="nil"/>
            </w:tcBorders>
            <w:noWrap/>
            <w:vAlign w:val="center"/>
          </w:tcPr>
          <w:p w14:paraId="5EDF6604"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3</w:t>
            </w:r>
          </w:p>
        </w:tc>
        <w:tc>
          <w:tcPr>
            <w:tcW w:w="2267" w:type="dxa"/>
            <w:tcBorders>
              <w:top w:val="nil"/>
              <w:left w:val="nil"/>
              <w:bottom w:val="nil"/>
              <w:right w:val="nil"/>
            </w:tcBorders>
            <w:noWrap/>
            <w:vAlign w:val="center"/>
          </w:tcPr>
          <w:p w14:paraId="3B59A14A"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upper middle income</w:t>
            </w:r>
          </w:p>
        </w:tc>
        <w:tc>
          <w:tcPr>
            <w:tcW w:w="1984" w:type="dxa"/>
            <w:tcBorders>
              <w:top w:val="nil"/>
              <w:left w:val="nil"/>
              <w:bottom w:val="nil"/>
              <w:right w:val="nil"/>
            </w:tcBorders>
            <w:noWrap/>
            <w:vAlign w:val="center"/>
          </w:tcPr>
          <w:p w14:paraId="788D54B1"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4046 - 12535</w:t>
            </w:r>
          </w:p>
        </w:tc>
        <w:tc>
          <w:tcPr>
            <w:tcW w:w="1984" w:type="dxa"/>
            <w:tcBorders>
              <w:top w:val="nil"/>
              <w:left w:val="nil"/>
              <w:bottom w:val="nil"/>
              <w:right w:val="nil"/>
            </w:tcBorders>
            <w:noWrap/>
            <w:vAlign w:val="center"/>
          </w:tcPr>
          <w:p w14:paraId="60F70F12"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47</w:t>
            </w:r>
          </w:p>
        </w:tc>
        <w:tc>
          <w:tcPr>
            <w:tcW w:w="1984" w:type="dxa"/>
            <w:tcBorders>
              <w:top w:val="nil"/>
              <w:left w:val="nil"/>
              <w:bottom w:val="nil"/>
              <w:right w:val="nil"/>
            </w:tcBorders>
            <w:noWrap/>
            <w:vAlign w:val="center"/>
          </w:tcPr>
          <w:p w14:paraId="010A20A7"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27.49</w:t>
            </w:r>
          </w:p>
        </w:tc>
        <w:tc>
          <w:tcPr>
            <w:tcW w:w="1984" w:type="dxa"/>
            <w:tcBorders>
              <w:top w:val="nil"/>
              <w:left w:val="nil"/>
              <w:bottom w:val="nil"/>
              <w:right w:val="nil"/>
            </w:tcBorders>
            <w:noWrap/>
            <w:vAlign w:val="center"/>
          </w:tcPr>
          <w:p w14:paraId="7C93447C"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47</w:t>
            </w:r>
          </w:p>
        </w:tc>
        <w:tc>
          <w:tcPr>
            <w:tcW w:w="1984" w:type="dxa"/>
            <w:tcBorders>
              <w:top w:val="nil"/>
              <w:left w:val="nil"/>
              <w:bottom w:val="nil"/>
              <w:right w:val="nil"/>
            </w:tcBorders>
            <w:noWrap/>
            <w:vAlign w:val="center"/>
          </w:tcPr>
          <w:p w14:paraId="38B7547E"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27.49</w:t>
            </w:r>
          </w:p>
        </w:tc>
      </w:tr>
      <w:tr w:rsidR="001D2CBE" w:rsidRPr="009A5251" w14:paraId="420D8B5C" w14:textId="77777777">
        <w:trPr>
          <w:trHeight w:hRule="exact" w:val="255"/>
        </w:trPr>
        <w:tc>
          <w:tcPr>
            <w:tcW w:w="1701" w:type="dxa"/>
            <w:tcBorders>
              <w:top w:val="nil"/>
              <w:left w:val="nil"/>
              <w:bottom w:val="nil"/>
              <w:right w:val="nil"/>
            </w:tcBorders>
            <w:noWrap/>
            <w:vAlign w:val="center"/>
          </w:tcPr>
          <w:p w14:paraId="3490E7AE"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4</w:t>
            </w:r>
          </w:p>
        </w:tc>
        <w:tc>
          <w:tcPr>
            <w:tcW w:w="2267" w:type="dxa"/>
            <w:tcBorders>
              <w:top w:val="nil"/>
              <w:left w:val="nil"/>
              <w:bottom w:val="nil"/>
              <w:right w:val="nil"/>
            </w:tcBorders>
            <w:noWrap/>
            <w:vAlign w:val="center"/>
          </w:tcPr>
          <w:p w14:paraId="3614C578"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high income</w:t>
            </w:r>
          </w:p>
        </w:tc>
        <w:tc>
          <w:tcPr>
            <w:tcW w:w="1984" w:type="dxa"/>
            <w:tcBorders>
              <w:top w:val="nil"/>
              <w:left w:val="nil"/>
              <w:bottom w:val="nil"/>
              <w:right w:val="nil"/>
            </w:tcBorders>
            <w:noWrap/>
            <w:vAlign w:val="center"/>
          </w:tcPr>
          <w:p w14:paraId="55E85C77"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12536 - 46500</w:t>
            </w:r>
          </w:p>
        </w:tc>
        <w:tc>
          <w:tcPr>
            <w:tcW w:w="1984" w:type="dxa"/>
            <w:tcBorders>
              <w:top w:val="nil"/>
              <w:left w:val="nil"/>
              <w:bottom w:val="nil"/>
              <w:right w:val="nil"/>
            </w:tcBorders>
            <w:noWrap/>
            <w:vAlign w:val="center"/>
          </w:tcPr>
          <w:p w14:paraId="4E303332"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32</w:t>
            </w:r>
          </w:p>
        </w:tc>
        <w:tc>
          <w:tcPr>
            <w:tcW w:w="1984" w:type="dxa"/>
            <w:tcBorders>
              <w:top w:val="nil"/>
              <w:left w:val="nil"/>
              <w:bottom w:val="nil"/>
              <w:right w:val="nil"/>
            </w:tcBorders>
            <w:noWrap/>
            <w:vAlign w:val="center"/>
          </w:tcPr>
          <w:p w14:paraId="2A28E992"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18.71</w:t>
            </w:r>
          </w:p>
        </w:tc>
        <w:tc>
          <w:tcPr>
            <w:tcW w:w="1984" w:type="dxa"/>
            <w:tcBorders>
              <w:top w:val="nil"/>
              <w:left w:val="nil"/>
              <w:bottom w:val="nil"/>
              <w:right w:val="nil"/>
            </w:tcBorders>
            <w:noWrap/>
            <w:vAlign w:val="center"/>
          </w:tcPr>
          <w:p w14:paraId="7E9548CC"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35</w:t>
            </w:r>
          </w:p>
        </w:tc>
        <w:tc>
          <w:tcPr>
            <w:tcW w:w="1984" w:type="dxa"/>
            <w:tcBorders>
              <w:top w:val="nil"/>
              <w:left w:val="nil"/>
              <w:bottom w:val="nil"/>
              <w:right w:val="nil"/>
            </w:tcBorders>
            <w:noWrap/>
            <w:vAlign w:val="center"/>
          </w:tcPr>
          <w:p w14:paraId="4016B43E"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20.47</w:t>
            </w:r>
          </w:p>
        </w:tc>
      </w:tr>
      <w:tr w:rsidR="001D2CBE" w:rsidRPr="009A5251" w14:paraId="4F07A0EB" w14:textId="77777777">
        <w:trPr>
          <w:trHeight w:hRule="exact" w:val="255"/>
        </w:trPr>
        <w:tc>
          <w:tcPr>
            <w:tcW w:w="1701" w:type="dxa"/>
            <w:tcBorders>
              <w:top w:val="nil"/>
              <w:left w:val="nil"/>
              <w:bottom w:val="single" w:sz="4" w:space="0" w:color="000000"/>
              <w:right w:val="nil"/>
            </w:tcBorders>
            <w:noWrap/>
            <w:vAlign w:val="center"/>
          </w:tcPr>
          <w:p w14:paraId="1CA82449"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5</w:t>
            </w:r>
          </w:p>
        </w:tc>
        <w:tc>
          <w:tcPr>
            <w:tcW w:w="2267" w:type="dxa"/>
            <w:tcBorders>
              <w:top w:val="nil"/>
              <w:left w:val="nil"/>
              <w:bottom w:val="single" w:sz="4" w:space="0" w:color="000000"/>
              <w:right w:val="nil"/>
            </w:tcBorders>
            <w:noWrap/>
            <w:vAlign w:val="center"/>
          </w:tcPr>
          <w:p w14:paraId="7984D284"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very high income</w:t>
            </w:r>
          </w:p>
        </w:tc>
        <w:tc>
          <w:tcPr>
            <w:tcW w:w="1984" w:type="dxa"/>
            <w:tcBorders>
              <w:top w:val="nil"/>
              <w:left w:val="nil"/>
              <w:bottom w:val="single" w:sz="4" w:space="0" w:color="000000"/>
              <w:right w:val="nil"/>
            </w:tcBorders>
            <w:noWrap/>
            <w:vAlign w:val="center"/>
          </w:tcPr>
          <w:p w14:paraId="778D1586"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&gt;46500</w:t>
            </w:r>
          </w:p>
        </w:tc>
        <w:tc>
          <w:tcPr>
            <w:tcW w:w="1984" w:type="dxa"/>
            <w:tcBorders>
              <w:top w:val="nil"/>
              <w:left w:val="nil"/>
              <w:bottom w:val="single" w:sz="4" w:space="0" w:color="000000"/>
              <w:right w:val="nil"/>
            </w:tcBorders>
            <w:noWrap/>
            <w:vAlign w:val="center"/>
          </w:tcPr>
          <w:p w14:paraId="7A7FB461"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17</w:t>
            </w:r>
          </w:p>
        </w:tc>
        <w:tc>
          <w:tcPr>
            <w:tcW w:w="1984" w:type="dxa"/>
            <w:tcBorders>
              <w:top w:val="nil"/>
              <w:left w:val="nil"/>
              <w:bottom w:val="single" w:sz="4" w:space="0" w:color="000000"/>
              <w:right w:val="nil"/>
            </w:tcBorders>
            <w:noWrap/>
            <w:vAlign w:val="center"/>
          </w:tcPr>
          <w:p w14:paraId="1037F370"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9.94</w:t>
            </w:r>
          </w:p>
        </w:tc>
        <w:tc>
          <w:tcPr>
            <w:tcW w:w="1984" w:type="dxa"/>
            <w:tcBorders>
              <w:top w:val="nil"/>
              <w:left w:val="nil"/>
              <w:bottom w:val="single" w:sz="4" w:space="0" w:color="000000"/>
              <w:right w:val="nil"/>
            </w:tcBorders>
            <w:noWrap/>
            <w:vAlign w:val="center"/>
          </w:tcPr>
          <w:p w14:paraId="4D82CF73"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17</w:t>
            </w:r>
          </w:p>
        </w:tc>
        <w:tc>
          <w:tcPr>
            <w:tcW w:w="1984" w:type="dxa"/>
            <w:tcBorders>
              <w:top w:val="nil"/>
              <w:left w:val="nil"/>
              <w:bottom w:val="single" w:sz="4" w:space="0" w:color="000000"/>
              <w:right w:val="nil"/>
            </w:tcBorders>
            <w:noWrap/>
            <w:vAlign w:val="center"/>
          </w:tcPr>
          <w:p w14:paraId="2E5D5EB9"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9.94</w:t>
            </w:r>
          </w:p>
        </w:tc>
      </w:tr>
    </w:tbl>
    <w:p w14:paraId="72B53CAC" w14:textId="77777777" w:rsidR="001D2CBE" w:rsidRPr="009A5251" w:rsidRDefault="009A5251">
      <w:pPr>
        <w:rPr>
          <w:rFonts w:ascii="Times New Roman" w:hAnsi="Times New Roman" w:cs="Times New Roman"/>
          <w:sz w:val="15"/>
          <w:szCs w:val="15"/>
        </w:rPr>
      </w:pPr>
      <w:r w:rsidRPr="009A5251">
        <w:rPr>
          <w:rFonts w:ascii="Times New Roman" w:hAnsi="Times New Roman" w:cs="Times New Roman"/>
          <w:sz w:val="15"/>
          <w:szCs w:val="15"/>
        </w:rPr>
        <w:t xml:space="preserve"> </w:t>
      </w:r>
      <w:r w:rsidRPr="009A5251">
        <w:rPr>
          <w:rFonts w:ascii="Times New Roman" w:hAnsi="Times New Roman" w:cs="Times New Roman" w:hint="eastAsia"/>
          <w:sz w:val="15"/>
          <w:szCs w:val="15"/>
        </w:rPr>
        <w:t xml:space="preserve">a. </w:t>
      </w:r>
      <w:r w:rsidRPr="009A5251">
        <w:rPr>
          <w:rFonts w:ascii="Times New Roman" w:hAnsi="Times New Roman" w:cs="Times New Roman"/>
          <w:sz w:val="15"/>
          <w:szCs w:val="15"/>
        </w:rPr>
        <w:t>Country i</w:t>
      </w:r>
      <w:r w:rsidRPr="009A5251">
        <w:rPr>
          <w:rFonts w:ascii="Times New Roman" w:hAnsi="Times New Roman" w:cs="Times New Roman"/>
          <w:sz w:val="15"/>
          <w:szCs w:val="15"/>
        </w:rPr>
        <w:t>ncome classifications</w:t>
      </w:r>
      <w:r w:rsidRPr="009A5251">
        <w:rPr>
          <w:rFonts w:ascii="Times New Roman" w:hAnsi="Times New Roman" w:cs="Times New Roman" w:hint="eastAsia"/>
          <w:sz w:val="15"/>
          <w:szCs w:val="15"/>
        </w:rPr>
        <w:t xml:space="preserve"> were</w:t>
      </w:r>
      <w:r w:rsidRPr="009A5251">
        <w:rPr>
          <w:rFonts w:ascii="Times New Roman" w:hAnsi="Times New Roman" w:cs="Times New Roman"/>
          <w:sz w:val="15"/>
          <w:szCs w:val="15"/>
        </w:rPr>
        <w:t xml:space="preserve"> obtained from World Bank Country and Lending Groups.</w:t>
      </w:r>
      <w:r w:rsidRPr="009A5251">
        <w:rPr>
          <w:rFonts w:ascii="Times New Roman" w:hAnsi="Times New Roman" w:cs="Times New Roman" w:hint="eastAsia"/>
          <w:sz w:val="15"/>
          <w:szCs w:val="15"/>
        </w:rPr>
        <w:t xml:space="preserve"> </w:t>
      </w:r>
      <w:r w:rsidRPr="009A5251">
        <w:rPr>
          <w:rFonts w:ascii="Times New Roman" w:hAnsi="Times New Roman" w:cs="Times New Roman"/>
          <w:sz w:val="15"/>
          <w:szCs w:val="15"/>
        </w:rPr>
        <w:t xml:space="preserve">b. </w:t>
      </w:r>
      <w:r w:rsidRPr="009A5251">
        <w:rPr>
          <w:rFonts w:ascii="Times New Roman" w:hAnsi="Times New Roman" w:cs="Times New Roman" w:hint="eastAsia"/>
          <w:sz w:val="15"/>
          <w:szCs w:val="15"/>
        </w:rPr>
        <w:t>V</w:t>
      </w:r>
      <w:r w:rsidRPr="009A5251">
        <w:rPr>
          <w:rFonts w:ascii="Times New Roman" w:hAnsi="Times New Roman" w:cs="Times New Roman"/>
          <w:sz w:val="15"/>
          <w:szCs w:val="15"/>
        </w:rPr>
        <w:t>alue range</w:t>
      </w:r>
      <w:r w:rsidRPr="009A5251">
        <w:rPr>
          <w:rFonts w:ascii="Times New Roman" w:hAnsi="Times New Roman" w:cs="Times New Roman" w:hint="eastAsia"/>
          <w:sz w:val="15"/>
          <w:szCs w:val="15"/>
        </w:rPr>
        <w:t xml:space="preserve"> was measured with</w:t>
      </w:r>
      <w:r w:rsidRPr="009A5251">
        <w:rPr>
          <w:rFonts w:ascii="Times New Roman" w:hAnsi="Times New Roman" w:cs="Times New Roman"/>
          <w:sz w:val="15"/>
          <w:szCs w:val="15"/>
        </w:rPr>
        <w:t xml:space="preserve"> gross national income per capita in US$ (Atlas methodology) </w:t>
      </w:r>
      <w:r w:rsidRPr="009A5251">
        <w:rPr>
          <w:rFonts w:ascii="Times New Roman" w:hAnsi="Times New Roman" w:cs="Times New Roman" w:hint="eastAsia"/>
          <w:sz w:val="15"/>
          <w:szCs w:val="15"/>
        </w:rPr>
        <w:t xml:space="preserve">in </w:t>
      </w:r>
      <w:r w:rsidRPr="009A5251">
        <w:rPr>
          <w:rFonts w:ascii="Times New Roman" w:hAnsi="Times New Roman" w:cs="Times New Roman"/>
          <w:sz w:val="15"/>
          <w:szCs w:val="15"/>
        </w:rPr>
        <w:t>2019.</w:t>
      </w:r>
      <w:r w:rsidRPr="009A5251">
        <w:rPr>
          <w:rFonts w:ascii="Times New Roman" w:hAnsi="Times New Roman" w:cs="Times New Roman" w:hint="eastAsia"/>
          <w:sz w:val="15"/>
          <w:szCs w:val="15"/>
        </w:rPr>
        <w:t xml:space="preserve"> </w:t>
      </w:r>
      <w:r w:rsidRPr="009A5251">
        <w:rPr>
          <w:rFonts w:ascii="Times New Roman" w:hAnsi="Times New Roman" w:cs="Times New Roman"/>
          <w:sz w:val="15"/>
          <w:szCs w:val="15"/>
        </w:rPr>
        <w:t xml:space="preserve">c. </w:t>
      </w:r>
      <w:r w:rsidRPr="009A5251">
        <w:rPr>
          <w:rFonts w:ascii="Times New Roman" w:hAnsi="Times New Roman" w:cs="Times New Roman" w:hint="eastAsia"/>
          <w:sz w:val="15"/>
          <w:szCs w:val="15"/>
        </w:rPr>
        <w:t>Y</w:t>
      </w:r>
      <w:r w:rsidRPr="009A5251">
        <w:rPr>
          <w:rFonts w:ascii="Times New Roman" w:hAnsi="Times New Roman" w:cs="Times New Roman"/>
          <w:sz w:val="15"/>
          <w:szCs w:val="15"/>
        </w:rPr>
        <w:t>ear</w:t>
      </w:r>
      <w:r w:rsidRPr="009A5251">
        <w:rPr>
          <w:rFonts w:ascii="Times New Roman" w:hAnsi="Times New Roman" w:cs="Times New Roman" w:hint="eastAsia"/>
          <w:sz w:val="15"/>
          <w:szCs w:val="15"/>
        </w:rPr>
        <w:t>s</w:t>
      </w:r>
      <w:r w:rsidRPr="009A5251">
        <w:rPr>
          <w:rFonts w:ascii="Times New Roman" w:hAnsi="Times New Roman" w:cs="Times New Roman"/>
          <w:sz w:val="15"/>
          <w:szCs w:val="15"/>
        </w:rPr>
        <w:t xml:space="preserve"> from 2010 to 2019.</w:t>
      </w:r>
    </w:p>
    <w:p w14:paraId="2DE58281" w14:textId="77777777" w:rsidR="001D2CBE" w:rsidRPr="009A5251" w:rsidRDefault="001D2CBE">
      <w:pPr>
        <w:rPr>
          <w:rFonts w:ascii="Times New Roman" w:hAnsi="Times New Roman" w:cs="Times New Roman"/>
          <w:sz w:val="15"/>
          <w:szCs w:val="15"/>
        </w:rPr>
      </w:pPr>
    </w:p>
    <w:p w14:paraId="58CC579E" w14:textId="77777777" w:rsidR="001D2CBE" w:rsidRPr="009A5251" w:rsidRDefault="009A5251">
      <w:pPr>
        <w:jc w:val="center"/>
        <w:rPr>
          <w:rFonts w:ascii="Times New Roman" w:hAnsi="Times New Roman" w:cs="Times New Roman"/>
          <w:sz w:val="20"/>
          <w:szCs w:val="20"/>
        </w:rPr>
      </w:pPr>
      <w:r w:rsidRPr="009A5251">
        <w:rPr>
          <w:rFonts w:ascii="Times New Roman" w:hAnsi="Times New Roman" w:cs="Times New Roman"/>
          <w:b/>
          <w:sz w:val="20"/>
          <w:szCs w:val="20"/>
        </w:rPr>
        <w:t>(B)</w:t>
      </w:r>
      <w:r w:rsidRPr="009A5251">
        <w:rPr>
          <w:rFonts w:ascii="Times New Roman" w:hAnsi="Times New Roman" w:cs="Times New Roman"/>
          <w:sz w:val="20"/>
          <w:szCs w:val="20"/>
        </w:rPr>
        <w:t xml:space="preserve"> The classification of 171 countries based on social aging</w:t>
      </w:r>
    </w:p>
    <w:tbl>
      <w:tblPr>
        <w:tblW w:w="13888" w:type="dxa"/>
        <w:jc w:val="center"/>
        <w:tblLook w:val="04A0" w:firstRow="1" w:lastRow="0" w:firstColumn="1" w:lastColumn="0" w:noHBand="0" w:noVBand="1"/>
      </w:tblPr>
      <w:tblGrid>
        <w:gridCol w:w="1560"/>
        <w:gridCol w:w="2408"/>
        <w:gridCol w:w="1984"/>
        <w:gridCol w:w="1984"/>
        <w:gridCol w:w="1984"/>
        <w:gridCol w:w="1984"/>
        <w:gridCol w:w="1984"/>
      </w:tblGrid>
      <w:tr w:rsidR="001D2CBE" w:rsidRPr="009A5251" w14:paraId="3EC7D3B9" w14:textId="77777777">
        <w:trPr>
          <w:trHeight w:hRule="exact" w:val="255"/>
          <w:jc w:val="center"/>
        </w:trPr>
        <w:tc>
          <w:tcPr>
            <w:tcW w:w="1560" w:type="dxa"/>
            <w:tcBorders>
              <w:top w:val="single" w:sz="4" w:space="0" w:color="000000"/>
              <w:left w:val="nil"/>
              <w:bottom w:val="single" w:sz="4" w:space="0" w:color="000000"/>
              <w:right w:val="nil"/>
            </w:tcBorders>
            <w:noWrap/>
            <w:vAlign w:val="center"/>
          </w:tcPr>
          <w:p w14:paraId="324A308D"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Assignment</w:t>
            </w:r>
          </w:p>
        </w:tc>
        <w:tc>
          <w:tcPr>
            <w:tcW w:w="2408" w:type="dxa"/>
            <w:tcBorders>
              <w:top w:val="single" w:sz="4" w:space="0" w:color="000000"/>
              <w:left w:val="nil"/>
              <w:bottom w:val="single" w:sz="4" w:space="0" w:color="000000"/>
              <w:right w:val="nil"/>
            </w:tcBorders>
            <w:noWrap/>
            <w:vAlign w:val="center"/>
          </w:tcPr>
          <w:p w14:paraId="63355721"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Group name</w:t>
            </w:r>
            <w:r w:rsidRPr="009A5251">
              <w:rPr>
                <w:rFonts w:ascii="Times New Roman" w:hAnsi="Times New Roman" w:cs="Times New Roman"/>
                <w:color w:val="000000"/>
                <w:kern w:val="0"/>
                <w:sz w:val="18"/>
                <w:szCs w:val="18"/>
                <w:vertAlign w:val="superscript"/>
              </w:rPr>
              <w:t>a</w:t>
            </w:r>
          </w:p>
        </w:tc>
        <w:tc>
          <w:tcPr>
            <w:tcW w:w="1984" w:type="dxa"/>
            <w:tcBorders>
              <w:top w:val="single" w:sz="4" w:space="0" w:color="000000"/>
              <w:left w:val="nil"/>
              <w:bottom w:val="single" w:sz="4" w:space="0" w:color="000000"/>
              <w:right w:val="nil"/>
            </w:tcBorders>
            <w:noWrap/>
            <w:vAlign w:val="center"/>
          </w:tcPr>
          <w:p w14:paraId="105C78E3"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Value range</w:t>
            </w:r>
            <w:r w:rsidRPr="009A5251">
              <w:rPr>
                <w:rFonts w:ascii="Times New Roman" w:hAnsi="Times New Roman" w:cs="Times New Roman"/>
                <w:color w:val="000000"/>
                <w:kern w:val="0"/>
                <w:sz w:val="18"/>
                <w:szCs w:val="18"/>
                <w:vertAlign w:val="superscript"/>
              </w:rPr>
              <w:t>b</w:t>
            </w:r>
          </w:p>
        </w:tc>
        <w:tc>
          <w:tcPr>
            <w:tcW w:w="1984" w:type="dxa"/>
            <w:tcBorders>
              <w:top w:val="single" w:sz="4" w:space="0" w:color="000000"/>
              <w:left w:val="nil"/>
              <w:bottom w:val="single" w:sz="4" w:space="0" w:color="000000"/>
              <w:right w:val="nil"/>
            </w:tcBorders>
            <w:noWrap/>
            <w:vAlign w:val="center"/>
          </w:tcPr>
          <w:p w14:paraId="46966585"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Ten-year average</w:t>
            </w:r>
            <w:r w:rsidRPr="009A5251">
              <w:rPr>
                <w:rFonts w:ascii="Times New Roman" w:hAnsi="Times New Roman" w:cs="Times New Roman"/>
                <w:color w:val="000000"/>
                <w:kern w:val="0"/>
                <w:sz w:val="18"/>
                <w:szCs w:val="18"/>
                <w:vertAlign w:val="superscript"/>
              </w:rPr>
              <w:t>c</w:t>
            </w:r>
          </w:p>
        </w:tc>
        <w:tc>
          <w:tcPr>
            <w:tcW w:w="1984" w:type="dxa"/>
            <w:tcBorders>
              <w:top w:val="single" w:sz="4" w:space="0" w:color="000000"/>
              <w:left w:val="nil"/>
              <w:bottom w:val="single" w:sz="4" w:space="0" w:color="000000"/>
              <w:right w:val="nil"/>
            </w:tcBorders>
            <w:noWrap/>
            <w:vAlign w:val="center"/>
          </w:tcPr>
          <w:p w14:paraId="12C17CFB"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 of total</w:t>
            </w:r>
          </w:p>
        </w:tc>
        <w:tc>
          <w:tcPr>
            <w:tcW w:w="1984" w:type="dxa"/>
            <w:tcBorders>
              <w:top w:val="single" w:sz="4" w:space="0" w:color="000000"/>
              <w:left w:val="nil"/>
              <w:bottom w:val="single" w:sz="4" w:space="0" w:color="000000"/>
              <w:right w:val="nil"/>
            </w:tcBorders>
            <w:noWrap/>
            <w:vAlign w:val="center"/>
          </w:tcPr>
          <w:p w14:paraId="23E45E9C"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2019</w:t>
            </w:r>
          </w:p>
        </w:tc>
        <w:tc>
          <w:tcPr>
            <w:tcW w:w="1984" w:type="dxa"/>
            <w:tcBorders>
              <w:top w:val="single" w:sz="4" w:space="0" w:color="000000"/>
              <w:left w:val="nil"/>
              <w:bottom w:val="single" w:sz="4" w:space="0" w:color="000000"/>
              <w:right w:val="nil"/>
            </w:tcBorders>
            <w:noWrap/>
            <w:vAlign w:val="center"/>
          </w:tcPr>
          <w:p w14:paraId="0B0E4DB5"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 of total</w:t>
            </w:r>
          </w:p>
        </w:tc>
      </w:tr>
      <w:tr w:rsidR="001D2CBE" w:rsidRPr="009A5251" w14:paraId="27D0C150" w14:textId="77777777">
        <w:trPr>
          <w:trHeight w:hRule="exact" w:val="255"/>
          <w:jc w:val="center"/>
        </w:trPr>
        <w:tc>
          <w:tcPr>
            <w:tcW w:w="1560" w:type="dxa"/>
            <w:tcBorders>
              <w:top w:val="nil"/>
              <w:left w:val="nil"/>
              <w:bottom w:val="nil"/>
              <w:right w:val="nil"/>
            </w:tcBorders>
            <w:noWrap/>
            <w:vAlign w:val="center"/>
          </w:tcPr>
          <w:p w14:paraId="1312382D"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1</w:t>
            </w:r>
          </w:p>
        </w:tc>
        <w:tc>
          <w:tcPr>
            <w:tcW w:w="2408" w:type="dxa"/>
            <w:tcBorders>
              <w:top w:val="nil"/>
              <w:left w:val="nil"/>
              <w:bottom w:val="nil"/>
              <w:right w:val="nil"/>
            </w:tcBorders>
            <w:noWrap/>
            <w:vAlign w:val="center"/>
          </w:tcPr>
          <w:p w14:paraId="3D01D344"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non-aging society (low)</w:t>
            </w:r>
          </w:p>
        </w:tc>
        <w:tc>
          <w:tcPr>
            <w:tcW w:w="1984" w:type="dxa"/>
            <w:tcBorders>
              <w:top w:val="nil"/>
              <w:left w:val="nil"/>
              <w:bottom w:val="nil"/>
              <w:right w:val="nil"/>
            </w:tcBorders>
            <w:noWrap/>
            <w:vAlign w:val="center"/>
          </w:tcPr>
          <w:p w14:paraId="0A12A508"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&lt;3.54</w:t>
            </w:r>
          </w:p>
        </w:tc>
        <w:tc>
          <w:tcPr>
            <w:tcW w:w="1984" w:type="dxa"/>
            <w:tcBorders>
              <w:top w:val="nil"/>
              <w:left w:val="nil"/>
              <w:bottom w:val="nil"/>
              <w:right w:val="nil"/>
            </w:tcBorders>
            <w:noWrap/>
            <w:vAlign w:val="center"/>
          </w:tcPr>
          <w:p w14:paraId="0851E8C5"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48</w:t>
            </w:r>
          </w:p>
        </w:tc>
        <w:tc>
          <w:tcPr>
            <w:tcW w:w="1984" w:type="dxa"/>
            <w:tcBorders>
              <w:top w:val="nil"/>
              <w:left w:val="nil"/>
              <w:bottom w:val="nil"/>
              <w:right w:val="nil"/>
            </w:tcBorders>
            <w:noWrap/>
            <w:vAlign w:val="center"/>
          </w:tcPr>
          <w:p w14:paraId="495B7E45"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28.07</w:t>
            </w:r>
          </w:p>
        </w:tc>
        <w:tc>
          <w:tcPr>
            <w:tcW w:w="1984" w:type="dxa"/>
            <w:tcBorders>
              <w:top w:val="nil"/>
              <w:left w:val="nil"/>
              <w:bottom w:val="nil"/>
              <w:right w:val="nil"/>
            </w:tcBorders>
            <w:noWrap/>
            <w:vAlign w:val="center"/>
          </w:tcPr>
          <w:p w14:paraId="5607F974"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45</w:t>
            </w:r>
          </w:p>
        </w:tc>
        <w:tc>
          <w:tcPr>
            <w:tcW w:w="1984" w:type="dxa"/>
            <w:tcBorders>
              <w:top w:val="nil"/>
              <w:left w:val="nil"/>
              <w:bottom w:val="nil"/>
              <w:right w:val="nil"/>
            </w:tcBorders>
            <w:noWrap/>
            <w:vAlign w:val="center"/>
          </w:tcPr>
          <w:p w14:paraId="0AF9AF8F"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26.32</w:t>
            </w:r>
          </w:p>
        </w:tc>
      </w:tr>
      <w:tr w:rsidR="001D2CBE" w:rsidRPr="009A5251" w14:paraId="5BDA7A25" w14:textId="77777777">
        <w:trPr>
          <w:trHeight w:hRule="exact" w:val="255"/>
          <w:jc w:val="center"/>
        </w:trPr>
        <w:tc>
          <w:tcPr>
            <w:tcW w:w="1560" w:type="dxa"/>
            <w:tcBorders>
              <w:top w:val="nil"/>
              <w:left w:val="nil"/>
              <w:bottom w:val="nil"/>
              <w:right w:val="nil"/>
            </w:tcBorders>
            <w:noWrap/>
            <w:vAlign w:val="center"/>
          </w:tcPr>
          <w:p w14:paraId="0E94F507"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w:t>
            </w:r>
          </w:p>
        </w:tc>
        <w:tc>
          <w:tcPr>
            <w:tcW w:w="2408" w:type="dxa"/>
            <w:tcBorders>
              <w:top w:val="nil"/>
              <w:left w:val="nil"/>
              <w:bottom w:val="nil"/>
              <w:right w:val="nil"/>
            </w:tcBorders>
            <w:noWrap/>
            <w:vAlign w:val="center"/>
          </w:tcPr>
          <w:p w14:paraId="0388D4A7"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non-aging society (middle)</w:t>
            </w:r>
          </w:p>
        </w:tc>
        <w:tc>
          <w:tcPr>
            <w:tcW w:w="1984" w:type="dxa"/>
            <w:tcBorders>
              <w:top w:val="nil"/>
              <w:left w:val="nil"/>
              <w:bottom w:val="nil"/>
              <w:right w:val="nil"/>
            </w:tcBorders>
            <w:noWrap/>
            <w:vAlign w:val="center"/>
          </w:tcPr>
          <w:p w14:paraId="3352CC9B"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w:t>
            </w:r>
            <w:r w:rsidRPr="009A5251">
              <w:rPr>
                <w:rFonts w:ascii="Times New Roman" w:hAnsi="Times New Roman" w:cs="Times New Roman"/>
                <w:color w:val="000000"/>
                <w:kern w:val="0"/>
                <w:sz w:val="18"/>
                <w:szCs w:val="18"/>
              </w:rPr>
              <w:t>3.54 &amp; &lt;7</w:t>
            </w:r>
          </w:p>
        </w:tc>
        <w:tc>
          <w:tcPr>
            <w:tcW w:w="1984" w:type="dxa"/>
            <w:tcBorders>
              <w:top w:val="nil"/>
              <w:left w:val="nil"/>
              <w:bottom w:val="nil"/>
              <w:right w:val="nil"/>
            </w:tcBorders>
            <w:noWrap/>
            <w:vAlign w:val="center"/>
          </w:tcPr>
          <w:p w14:paraId="0A802A28"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54</w:t>
            </w:r>
          </w:p>
        </w:tc>
        <w:tc>
          <w:tcPr>
            <w:tcW w:w="1984" w:type="dxa"/>
            <w:tcBorders>
              <w:top w:val="nil"/>
              <w:left w:val="nil"/>
              <w:bottom w:val="nil"/>
              <w:right w:val="nil"/>
            </w:tcBorders>
            <w:noWrap/>
            <w:vAlign w:val="center"/>
          </w:tcPr>
          <w:p w14:paraId="71DDFDD2"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31.58</w:t>
            </w:r>
          </w:p>
        </w:tc>
        <w:tc>
          <w:tcPr>
            <w:tcW w:w="1984" w:type="dxa"/>
            <w:tcBorders>
              <w:top w:val="nil"/>
              <w:left w:val="nil"/>
              <w:bottom w:val="nil"/>
              <w:right w:val="nil"/>
            </w:tcBorders>
            <w:noWrap/>
            <w:vAlign w:val="center"/>
          </w:tcPr>
          <w:p w14:paraId="6C5F5174"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46</w:t>
            </w:r>
          </w:p>
        </w:tc>
        <w:tc>
          <w:tcPr>
            <w:tcW w:w="1984" w:type="dxa"/>
            <w:tcBorders>
              <w:top w:val="nil"/>
              <w:left w:val="nil"/>
              <w:bottom w:val="nil"/>
              <w:right w:val="nil"/>
            </w:tcBorders>
            <w:noWrap/>
            <w:vAlign w:val="center"/>
          </w:tcPr>
          <w:p w14:paraId="1FC4CC33"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26.90</w:t>
            </w:r>
          </w:p>
        </w:tc>
      </w:tr>
      <w:tr w:rsidR="001D2CBE" w:rsidRPr="009A5251" w14:paraId="45692C7A" w14:textId="77777777">
        <w:trPr>
          <w:trHeight w:hRule="exact" w:val="255"/>
          <w:jc w:val="center"/>
        </w:trPr>
        <w:tc>
          <w:tcPr>
            <w:tcW w:w="1560" w:type="dxa"/>
            <w:tcBorders>
              <w:top w:val="nil"/>
              <w:left w:val="nil"/>
              <w:bottom w:val="nil"/>
              <w:right w:val="nil"/>
            </w:tcBorders>
            <w:noWrap/>
            <w:vAlign w:val="center"/>
          </w:tcPr>
          <w:p w14:paraId="678CD16E"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3</w:t>
            </w:r>
          </w:p>
        </w:tc>
        <w:tc>
          <w:tcPr>
            <w:tcW w:w="2408" w:type="dxa"/>
            <w:tcBorders>
              <w:top w:val="nil"/>
              <w:left w:val="nil"/>
              <w:bottom w:val="nil"/>
              <w:right w:val="nil"/>
            </w:tcBorders>
            <w:noWrap/>
            <w:vAlign w:val="center"/>
          </w:tcPr>
          <w:p w14:paraId="204B49B2"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aging society</w:t>
            </w:r>
          </w:p>
        </w:tc>
        <w:tc>
          <w:tcPr>
            <w:tcW w:w="1984" w:type="dxa"/>
            <w:tcBorders>
              <w:top w:val="nil"/>
              <w:left w:val="nil"/>
              <w:bottom w:val="nil"/>
              <w:right w:val="nil"/>
            </w:tcBorders>
            <w:noWrap/>
            <w:vAlign w:val="center"/>
          </w:tcPr>
          <w:p w14:paraId="0356F840"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w:t>
            </w:r>
            <w:r w:rsidRPr="009A5251">
              <w:rPr>
                <w:rFonts w:ascii="Times New Roman" w:hAnsi="Times New Roman" w:cs="Times New Roman"/>
                <w:color w:val="000000"/>
                <w:kern w:val="0"/>
                <w:sz w:val="18"/>
                <w:szCs w:val="18"/>
              </w:rPr>
              <w:t>7 &amp; &lt;14</w:t>
            </w:r>
          </w:p>
        </w:tc>
        <w:tc>
          <w:tcPr>
            <w:tcW w:w="1984" w:type="dxa"/>
            <w:tcBorders>
              <w:top w:val="nil"/>
              <w:left w:val="nil"/>
              <w:bottom w:val="nil"/>
              <w:right w:val="nil"/>
            </w:tcBorders>
            <w:noWrap/>
            <w:vAlign w:val="center"/>
          </w:tcPr>
          <w:p w14:paraId="3A7E66C6"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34</w:t>
            </w:r>
          </w:p>
        </w:tc>
        <w:tc>
          <w:tcPr>
            <w:tcW w:w="1984" w:type="dxa"/>
            <w:tcBorders>
              <w:top w:val="nil"/>
              <w:left w:val="nil"/>
              <w:bottom w:val="nil"/>
              <w:right w:val="nil"/>
            </w:tcBorders>
            <w:noWrap/>
            <w:vAlign w:val="center"/>
          </w:tcPr>
          <w:p w14:paraId="1E398443"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19.88</w:t>
            </w:r>
          </w:p>
        </w:tc>
        <w:tc>
          <w:tcPr>
            <w:tcW w:w="1984" w:type="dxa"/>
            <w:tcBorders>
              <w:top w:val="nil"/>
              <w:left w:val="nil"/>
              <w:bottom w:val="nil"/>
              <w:right w:val="nil"/>
            </w:tcBorders>
            <w:noWrap/>
            <w:vAlign w:val="center"/>
          </w:tcPr>
          <w:p w14:paraId="1F93B903"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37</w:t>
            </w:r>
          </w:p>
        </w:tc>
        <w:tc>
          <w:tcPr>
            <w:tcW w:w="1984" w:type="dxa"/>
            <w:tcBorders>
              <w:top w:val="nil"/>
              <w:left w:val="nil"/>
              <w:bottom w:val="nil"/>
              <w:right w:val="nil"/>
            </w:tcBorders>
            <w:noWrap/>
            <w:vAlign w:val="center"/>
          </w:tcPr>
          <w:p w14:paraId="012D6430"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21.64</w:t>
            </w:r>
          </w:p>
        </w:tc>
      </w:tr>
      <w:tr w:rsidR="001D2CBE" w:rsidRPr="009A5251" w14:paraId="3FC0D4C8" w14:textId="77777777">
        <w:trPr>
          <w:trHeight w:hRule="exact" w:val="255"/>
          <w:jc w:val="center"/>
        </w:trPr>
        <w:tc>
          <w:tcPr>
            <w:tcW w:w="1560" w:type="dxa"/>
            <w:tcBorders>
              <w:top w:val="nil"/>
              <w:left w:val="nil"/>
              <w:bottom w:val="nil"/>
              <w:right w:val="nil"/>
            </w:tcBorders>
            <w:noWrap/>
            <w:vAlign w:val="center"/>
          </w:tcPr>
          <w:p w14:paraId="6EDC1025"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4</w:t>
            </w:r>
          </w:p>
        </w:tc>
        <w:tc>
          <w:tcPr>
            <w:tcW w:w="2408" w:type="dxa"/>
            <w:tcBorders>
              <w:top w:val="nil"/>
              <w:left w:val="nil"/>
              <w:bottom w:val="nil"/>
              <w:right w:val="nil"/>
            </w:tcBorders>
            <w:noWrap/>
            <w:vAlign w:val="center"/>
          </w:tcPr>
          <w:p w14:paraId="0B646038"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aged society</w:t>
            </w:r>
          </w:p>
        </w:tc>
        <w:tc>
          <w:tcPr>
            <w:tcW w:w="1984" w:type="dxa"/>
            <w:tcBorders>
              <w:top w:val="nil"/>
              <w:left w:val="nil"/>
              <w:bottom w:val="nil"/>
              <w:right w:val="nil"/>
            </w:tcBorders>
            <w:noWrap/>
            <w:vAlign w:val="center"/>
          </w:tcPr>
          <w:p w14:paraId="24CBF2BA"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w:t>
            </w:r>
            <w:r w:rsidRPr="009A5251">
              <w:rPr>
                <w:rFonts w:ascii="Times New Roman" w:hAnsi="Times New Roman" w:cs="Times New Roman"/>
                <w:color w:val="000000"/>
                <w:kern w:val="0"/>
                <w:sz w:val="18"/>
                <w:szCs w:val="18"/>
              </w:rPr>
              <w:t>14 &amp; &lt;20</w:t>
            </w:r>
          </w:p>
        </w:tc>
        <w:tc>
          <w:tcPr>
            <w:tcW w:w="1984" w:type="dxa"/>
            <w:tcBorders>
              <w:top w:val="nil"/>
              <w:left w:val="nil"/>
              <w:bottom w:val="nil"/>
              <w:right w:val="nil"/>
            </w:tcBorders>
            <w:noWrap/>
            <w:vAlign w:val="center"/>
          </w:tcPr>
          <w:p w14:paraId="3F2B8DC1"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31</w:t>
            </w:r>
          </w:p>
        </w:tc>
        <w:tc>
          <w:tcPr>
            <w:tcW w:w="1984" w:type="dxa"/>
            <w:tcBorders>
              <w:top w:val="nil"/>
              <w:left w:val="nil"/>
              <w:bottom w:val="nil"/>
              <w:right w:val="nil"/>
            </w:tcBorders>
            <w:noWrap/>
            <w:vAlign w:val="center"/>
          </w:tcPr>
          <w:p w14:paraId="04EA0A32"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18.13</w:t>
            </w:r>
          </w:p>
        </w:tc>
        <w:tc>
          <w:tcPr>
            <w:tcW w:w="1984" w:type="dxa"/>
            <w:tcBorders>
              <w:top w:val="nil"/>
              <w:left w:val="nil"/>
              <w:bottom w:val="nil"/>
              <w:right w:val="nil"/>
            </w:tcBorders>
            <w:noWrap/>
            <w:vAlign w:val="center"/>
          </w:tcPr>
          <w:p w14:paraId="2195D4EA"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31</w:t>
            </w:r>
          </w:p>
        </w:tc>
        <w:tc>
          <w:tcPr>
            <w:tcW w:w="1984" w:type="dxa"/>
            <w:tcBorders>
              <w:top w:val="nil"/>
              <w:left w:val="nil"/>
              <w:bottom w:val="nil"/>
              <w:right w:val="nil"/>
            </w:tcBorders>
            <w:noWrap/>
            <w:vAlign w:val="center"/>
          </w:tcPr>
          <w:p w14:paraId="0C15EA0E"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18.13</w:t>
            </w:r>
          </w:p>
        </w:tc>
      </w:tr>
      <w:tr w:rsidR="001D2CBE" w:rsidRPr="009A5251" w14:paraId="3DF25982" w14:textId="77777777">
        <w:trPr>
          <w:trHeight w:hRule="exact" w:val="255"/>
          <w:jc w:val="center"/>
        </w:trPr>
        <w:tc>
          <w:tcPr>
            <w:tcW w:w="1560" w:type="dxa"/>
            <w:tcBorders>
              <w:top w:val="nil"/>
              <w:left w:val="nil"/>
              <w:bottom w:val="single" w:sz="4" w:space="0" w:color="000000"/>
              <w:right w:val="nil"/>
            </w:tcBorders>
            <w:noWrap/>
            <w:vAlign w:val="center"/>
          </w:tcPr>
          <w:p w14:paraId="63AFD140"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5</w:t>
            </w:r>
          </w:p>
        </w:tc>
        <w:tc>
          <w:tcPr>
            <w:tcW w:w="2408" w:type="dxa"/>
            <w:tcBorders>
              <w:top w:val="nil"/>
              <w:left w:val="nil"/>
              <w:bottom w:val="single" w:sz="4" w:space="0" w:color="000000"/>
              <w:right w:val="nil"/>
            </w:tcBorders>
            <w:noWrap/>
            <w:vAlign w:val="center"/>
          </w:tcPr>
          <w:p w14:paraId="6AFB60DC"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hyper-aged society</w:t>
            </w:r>
          </w:p>
        </w:tc>
        <w:tc>
          <w:tcPr>
            <w:tcW w:w="1984" w:type="dxa"/>
            <w:tcBorders>
              <w:top w:val="nil"/>
              <w:left w:val="nil"/>
              <w:bottom w:val="single" w:sz="4" w:space="0" w:color="000000"/>
              <w:right w:val="nil"/>
            </w:tcBorders>
            <w:noWrap/>
            <w:vAlign w:val="center"/>
          </w:tcPr>
          <w:p w14:paraId="48BFC53E"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eastAsia="DengXian" w:hAnsi="Times New Roman" w:cs="Times New Roman"/>
                <w:color w:val="000000"/>
                <w:kern w:val="0"/>
                <w:sz w:val="18"/>
                <w:szCs w:val="18"/>
              </w:rPr>
              <w:t>≥</w:t>
            </w:r>
            <w:r w:rsidRPr="009A5251">
              <w:rPr>
                <w:rFonts w:ascii="Times New Roman" w:hAnsi="Times New Roman" w:cs="Times New Roman"/>
                <w:color w:val="000000"/>
                <w:kern w:val="0"/>
                <w:sz w:val="18"/>
                <w:szCs w:val="18"/>
              </w:rPr>
              <w:t>20</w:t>
            </w:r>
          </w:p>
        </w:tc>
        <w:tc>
          <w:tcPr>
            <w:tcW w:w="1984" w:type="dxa"/>
            <w:tcBorders>
              <w:top w:val="nil"/>
              <w:left w:val="nil"/>
              <w:bottom w:val="single" w:sz="4" w:space="0" w:color="000000"/>
              <w:right w:val="nil"/>
            </w:tcBorders>
            <w:noWrap/>
            <w:vAlign w:val="center"/>
          </w:tcPr>
          <w:p w14:paraId="7FFEB5F5"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4</w:t>
            </w:r>
          </w:p>
        </w:tc>
        <w:tc>
          <w:tcPr>
            <w:tcW w:w="1984" w:type="dxa"/>
            <w:tcBorders>
              <w:top w:val="nil"/>
              <w:left w:val="nil"/>
              <w:bottom w:val="single" w:sz="4" w:space="0" w:color="000000"/>
              <w:right w:val="nil"/>
            </w:tcBorders>
            <w:noWrap/>
            <w:vAlign w:val="center"/>
          </w:tcPr>
          <w:p w14:paraId="6997816C"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2.34</w:t>
            </w:r>
          </w:p>
        </w:tc>
        <w:tc>
          <w:tcPr>
            <w:tcW w:w="1984" w:type="dxa"/>
            <w:tcBorders>
              <w:top w:val="nil"/>
              <w:left w:val="nil"/>
              <w:bottom w:val="single" w:sz="4" w:space="0" w:color="000000"/>
              <w:right w:val="nil"/>
            </w:tcBorders>
            <w:noWrap/>
            <w:vAlign w:val="center"/>
          </w:tcPr>
          <w:p w14:paraId="744CEB2A" w14:textId="77777777" w:rsidR="001D2CBE" w:rsidRPr="009A5251" w:rsidRDefault="009A5251">
            <w:pPr>
              <w:widowControl/>
              <w:jc w:val="center"/>
              <w:rPr>
                <w:rFonts w:ascii="Times New Roman" w:hAnsi="Times New Roman" w:cs="Times New Roman"/>
                <w:color w:val="000000"/>
                <w:kern w:val="0"/>
                <w:sz w:val="18"/>
                <w:szCs w:val="18"/>
              </w:rPr>
            </w:pPr>
            <w:r w:rsidRPr="009A5251">
              <w:rPr>
                <w:rFonts w:ascii="Times New Roman" w:hAnsi="Times New Roman" w:cs="Times New Roman"/>
                <w:color w:val="000000"/>
                <w:kern w:val="0"/>
                <w:sz w:val="18"/>
                <w:szCs w:val="18"/>
              </w:rPr>
              <w:t>12</w:t>
            </w:r>
          </w:p>
        </w:tc>
        <w:tc>
          <w:tcPr>
            <w:tcW w:w="1984" w:type="dxa"/>
            <w:tcBorders>
              <w:top w:val="nil"/>
              <w:left w:val="nil"/>
              <w:bottom w:val="single" w:sz="4" w:space="0" w:color="000000"/>
              <w:right w:val="nil"/>
            </w:tcBorders>
            <w:noWrap/>
            <w:vAlign w:val="center"/>
          </w:tcPr>
          <w:p w14:paraId="45E6AFC8" w14:textId="77777777" w:rsidR="001D2CBE" w:rsidRPr="009A5251" w:rsidRDefault="001D2CBE">
            <w:pPr>
              <w:pStyle w:val="ListParagraph"/>
              <w:widowControl/>
              <w:numPr>
                <w:ilvl w:val="1"/>
                <w:numId w:val="1"/>
              </w:numPr>
              <w:ind w:firstLineChars="0"/>
              <w:jc w:val="center"/>
              <w:rPr>
                <w:rFonts w:ascii="Times New Roman" w:hAnsi="Times New Roman" w:cs="Times New Roman"/>
                <w:color w:val="000000"/>
                <w:kern w:val="0"/>
                <w:sz w:val="18"/>
                <w:szCs w:val="18"/>
              </w:rPr>
            </w:pPr>
          </w:p>
        </w:tc>
      </w:tr>
    </w:tbl>
    <w:p w14:paraId="15609F81" w14:textId="77777777" w:rsidR="001D2CBE" w:rsidRPr="009A5251" w:rsidRDefault="009A5251">
      <w:pPr>
        <w:rPr>
          <w:rFonts w:ascii="Times New Roman" w:hAnsi="Times New Roman" w:cs="Times New Roman"/>
          <w:sz w:val="15"/>
          <w:szCs w:val="15"/>
        </w:rPr>
        <w:sectPr w:rsidR="001D2CBE" w:rsidRPr="009A5251">
          <w:pgSz w:w="16838" w:h="11906" w:orient="landscape"/>
          <w:pgMar w:top="1800" w:right="1440" w:bottom="1800" w:left="1440" w:header="851" w:footer="992" w:gutter="0"/>
          <w:cols w:space="425"/>
          <w:docGrid w:type="lines" w:linePitch="312"/>
        </w:sectPr>
      </w:pPr>
      <w:r w:rsidRPr="009A5251">
        <w:rPr>
          <w:rFonts w:ascii="Times New Roman" w:hAnsi="Times New Roman" w:cs="Times New Roman" w:hint="eastAsia"/>
          <w:sz w:val="15"/>
          <w:szCs w:val="15"/>
        </w:rPr>
        <w:t>a. Countries</w:t>
      </w:r>
      <w:r w:rsidRPr="009A5251">
        <w:rPr>
          <w:rFonts w:ascii="Times New Roman" w:hAnsi="Times New Roman" w:cs="Times New Roman" w:hint="eastAsia"/>
          <w:sz w:val="15"/>
          <w:szCs w:val="15"/>
        </w:rPr>
        <w:t xml:space="preserve"> aging classifications were obtained a</w:t>
      </w:r>
      <w:r w:rsidRPr="009A5251">
        <w:rPr>
          <w:rFonts w:ascii="Times New Roman" w:hAnsi="Times New Roman" w:cs="Times New Roman"/>
          <w:sz w:val="15"/>
          <w:szCs w:val="15"/>
        </w:rPr>
        <w:t xml:space="preserve">ccording to the definition provided by the United </w:t>
      </w:r>
      <w:r w:rsidRPr="009A5251">
        <w:rPr>
          <w:rFonts w:ascii="Times New Roman" w:hAnsi="Times New Roman" w:cs="Times New Roman"/>
          <w:sz w:val="15"/>
          <w:szCs w:val="15"/>
        </w:rPr>
        <w:t>Nations</w:t>
      </w:r>
      <w:r w:rsidRPr="009A5251">
        <w:rPr>
          <w:rFonts w:ascii="Times New Roman" w:hAnsi="Times New Roman" w:cs="Times New Roman" w:hint="eastAsia"/>
          <w:sz w:val="15"/>
          <w:szCs w:val="15"/>
        </w:rPr>
        <w:t>.</w:t>
      </w:r>
      <w:r w:rsidRPr="009A5251">
        <w:rPr>
          <w:rFonts w:ascii="Times New Roman" w:hAnsi="Times New Roman" w:cs="Times New Roman"/>
          <w:sz w:val="15"/>
          <w:szCs w:val="15"/>
        </w:rPr>
        <w:t xml:space="preserve"> b. </w:t>
      </w:r>
      <w:r w:rsidRPr="009A5251">
        <w:rPr>
          <w:rFonts w:ascii="Times New Roman" w:hAnsi="Times New Roman" w:cs="Times New Roman" w:hint="eastAsia"/>
          <w:sz w:val="15"/>
          <w:szCs w:val="15"/>
        </w:rPr>
        <w:t>Societies with t</w:t>
      </w:r>
      <w:r w:rsidRPr="009A5251">
        <w:rPr>
          <w:rFonts w:ascii="Times New Roman" w:hAnsi="Times New Roman" w:cs="Times New Roman"/>
          <w:sz w:val="15"/>
          <w:szCs w:val="15"/>
        </w:rPr>
        <w:t xml:space="preserve">he proportion of older population (aged 65+) greater than or equal to 7, 14 and 20 </w:t>
      </w:r>
      <w:r w:rsidRPr="009A5251">
        <w:rPr>
          <w:rFonts w:ascii="Times New Roman" w:hAnsi="Times New Roman" w:cs="Times New Roman" w:hint="eastAsia"/>
          <w:sz w:val="15"/>
          <w:szCs w:val="15"/>
        </w:rPr>
        <w:t>were</w:t>
      </w:r>
      <w:r w:rsidRPr="009A5251">
        <w:rPr>
          <w:rFonts w:ascii="Times New Roman" w:hAnsi="Times New Roman" w:cs="Times New Roman"/>
          <w:sz w:val="15"/>
          <w:szCs w:val="15"/>
        </w:rPr>
        <w:t xml:space="preserve"> regarded as aging society, aged society and super-aging society, respectively. </w:t>
      </w:r>
      <w:r w:rsidRPr="009A5251">
        <w:rPr>
          <w:rFonts w:ascii="Times New Roman" w:hAnsi="Times New Roman" w:cs="Times New Roman" w:hint="eastAsia"/>
          <w:sz w:val="15"/>
          <w:szCs w:val="15"/>
        </w:rPr>
        <w:t>Moreover,</w:t>
      </w:r>
      <w:r w:rsidRPr="009A5251">
        <w:rPr>
          <w:rFonts w:ascii="Times New Roman" w:hAnsi="Times New Roman" w:cs="Times New Roman"/>
          <w:sz w:val="15"/>
          <w:szCs w:val="15"/>
        </w:rPr>
        <w:t xml:space="preserve"> </w:t>
      </w:r>
      <w:r w:rsidRPr="009A5251">
        <w:rPr>
          <w:rFonts w:ascii="Times New Roman" w:hAnsi="Times New Roman" w:cs="Times New Roman" w:hint="eastAsia"/>
          <w:sz w:val="15"/>
          <w:szCs w:val="15"/>
        </w:rPr>
        <w:t xml:space="preserve">countries belonging to </w:t>
      </w:r>
      <w:r w:rsidRPr="009A5251">
        <w:rPr>
          <w:rFonts w:ascii="Times New Roman" w:hAnsi="Times New Roman" w:cs="Times New Roman"/>
          <w:sz w:val="15"/>
          <w:szCs w:val="15"/>
        </w:rPr>
        <w:t xml:space="preserve">the non-aging society was divided into two groups based on the medium </w:t>
      </w:r>
      <w:r w:rsidRPr="009A5251">
        <w:rPr>
          <w:rFonts w:ascii="Times New Roman" w:hAnsi="Times New Roman" w:cs="Times New Roman" w:hint="eastAsia"/>
          <w:sz w:val="15"/>
          <w:szCs w:val="15"/>
        </w:rPr>
        <w:t>value of non-aging countries in 2019 (3.54)</w:t>
      </w:r>
      <w:r w:rsidRPr="009A5251">
        <w:rPr>
          <w:rFonts w:ascii="Times New Roman" w:hAnsi="Times New Roman" w:cs="Times New Roman"/>
          <w:sz w:val="15"/>
          <w:szCs w:val="15"/>
        </w:rPr>
        <w:t>.</w:t>
      </w:r>
      <w:r w:rsidRPr="009A5251">
        <w:rPr>
          <w:rFonts w:ascii="Times New Roman" w:hAnsi="Times New Roman" w:cs="Times New Roman" w:hint="eastAsia"/>
          <w:sz w:val="15"/>
          <w:szCs w:val="15"/>
        </w:rPr>
        <w:t xml:space="preserve"> </w:t>
      </w:r>
      <w:r w:rsidRPr="009A5251">
        <w:rPr>
          <w:rFonts w:ascii="Times New Roman" w:hAnsi="Times New Roman" w:cs="Times New Roman"/>
          <w:sz w:val="15"/>
          <w:szCs w:val="15"/>
        </w:rPr>
        <w:t xml:space="preserve">c. </w:t>
      </w:r>
      <w:r w:rsidRPr="009A5251">
        <w:rPr>
          <w:rFonts w:ascii="Times New Roman" w:hAnsi="Times New Roman" w:cs="Times New Roman" w:hint="eastAsia"/>
          <w:sz w:val="15"/>
          <w:szCs w:val="15"/>
        </w:rPr>
        <w:t>Y</w:t>
      </w:r>
      <w:r w:rsidRPr="009A5251">
        <w:rPr>
          <w:rFonts w:ascii="Times New Roman" w:hAnsi="Times New Roman" w:cs="Times New Roman"/>
          <w:sz w:val="15"/>
          <w:szCs w:val="15"/>
        </w:rPr>
        <w:t>ear</w:t>
      </w:r>
      <w:r w:rsidRPr="009A5251">
        <w:rPr>
          <w:rFonts w:ascii="Times New Roman" w:hAnsi="Times New Roman" w:cs="Times New Roman" w:hint="eastAsia"/>
          <w:sz w:val="15"/>
          <w:szCs w:val="15"/>
        </w:rPr>
        <w:t>s</w:t>
      </w:r>
      <w:r w:rsidRPr="009A5251">
        <w:rPr>
          <w:rFonts w:ascii="Times New Roman" w:hAnsi="Times New Roman" w:cs="Times New Roman"/>
          <w:sz w:val="15"/>
          <w:szCs w:val="15"/>
        </w:rPr>
        <w:t xml:space="preserve"> from 2010 to 2019</w:t>
      </w:r>
      <w:r w:rsidRPr="009A5251">
        <w:rPr>
          <w:rFonts w:ascii="Times New Roman" w:hAnsi="Times New Roman" w:cs="Times New Roman" w:hint="eastAsia"/>
          <w:sz w:val="15"/>
          <w:szCs w:val="15"/>
        </w:rPr>
        <w:t>.</w:t>
      </w:r>
    </w:p>
    <w:p w14:paraId="36D3D215" w14:textId="77777777" w:rsidR="001D2CBE" w:rsidRPr="009A5251" w:rsidRDefault="009A5251">
      <w:pPr>
        <w:jc w:val="center"/>
        <w:rPr>
          <w:rFonts w:ascii="Times New Roman" w:hAnsi="Times New Roman" w:cs="Times New Roman"/>
        </w:rPr>
        <w:sectPr w:rsidR="001D2CBE" w:rsidRPr="009A5251">
          <w:pgSz w:w="16838" w:h="11906" w:orient="landscape"/>
          <w:pgMar w:top="1800" w:right="1440" w:bottom="1800" w:left="1440" w:header="851" w:footer="992" w:gutter="0"/>
          <w:cols w:space="425"/>
          <w:docGrid w:type="lines" w:linePitch="312"/>
        </w:sectPr>
      </w:pPr>
      <w:bookmarkStart w:id="0" w:name="_Hlk126328027"/>
      <w:r w:rsidRPr="009A5251">
        <w:rPr>
          <w:rFonts w:ascii="Times New Roman" w:hAnsi="Times New Roman" w:cs="Times New Roman" w:hint="eastAsia"/>
          <w:b/>
          <w:noProof/>
        </w:rPr>
        <w:lastRenderedPageBreak/>
        <w:drawing>
          <wp:inline distT="0" distB="0" distL="0" distR="0" wp14:anchorId="6485B679" wp14:editId="78B6276E">
            <wp:extent cx="8863330" cy="3925570"/>
            <wp:effectExtent l="0" t="0" r="0" b="0"/>
            <wp:docPr id="2974875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487560" name="图片 7"/>
                    <pic:cNvPicPr>
                      <a:picLocks noChangeAspect="1"/>
                    </pic:cNvPicPr>
                  </pic:nvPicPr>
                  <pic:blipFill>
                    <a:blip r:embed="rId18"/>
                    <a:stretch>
                      <a:fillRect/>
                    </a:stretch>
                  </pic:blipFill>
                  <pic:spPr>
                    <a:xfrm>
                      <a:off x="0" y="0"/>
                      <a:ext cx="8863330" cy="3925570"/>
                    </a:xfrm>
                    <a:prstGeom prst="rect">
                      <a:avLst/>
                    </a:prstGeom>
                  </pic:spPr>
                </pic:pic>
              </a:graphicData>
            </a:graphic>
          </wp:inline>
        </w:drawing>
      </w:r>
      <w:r w:rsidRPr="009A5251">
        <w:rPr>
          <w:rFonts w:ascii="Times New Roman" w:hAnsi="Times New Roman" w:cs="Times New Roman" w:hint="eastAsia"/>
          <w:b/>
        </w:rPr>
        <w:t>Fig</w:t>
      </w:r>
      <w:r w:rsidRPr="009A5251">
        <w:rPr>
          <w:rFonts w:ascii="Times New Roman" w:hAnsi="Times New Roman" w:cs="Times New Roman"/>
          <w:b/>
        </w:rPr>
        <w:t xml:space="preserve">. </w:t>
      </w:r>
      <w:r w:rsidRPr="009A5251">
        <w:rPr>
          <w:rFonts w:ascii="Times New Roman" w:hAnsi="Times New Roman" w:cs="Times New Roman" w:hint="eastAsia"/>
          <w:b/>
        </w:rPr>
        <w:t>S</w:t>
      </w:r>
      <w:r w:rsidRPr="009A5251">
        <w:rPr>
          <w:rFonts w:ascii="Times New Roman" w:hAnsi="Times New Roman" w:cs="Times New Roman"/>
          <w:b/>
        </w:rPr>
        <w:t xml:space="preserve">1. </w:t>
      </w:r>
      <w:r w:rsidRPr="009A5251">
        <w:rPr>
          <w:rFonts w:ascii="Times New Roman" w:hAnsi="Times New Roman" w:cs="Times New Roman"/>
        </w:rPr>
        <w:t>Geographic comparison diagram</w:t>
      </w:r>
      <w:r w:rsidRPr="009A5251">
        <w:rPr>
          <w:rFonts w:ascii="Times New Roman" w:hAnsi="Times New Roman" w:cs="Times New Roman" w:hint="eastAsia"/>
        </w:rPr>
        <w:t xml:space="preserve"> of</w:t>
      </w:r>
      <w:r w:rsidRPr="009A5251">
        <w:rPr>
          <w:rFonts w:ascii="Times New Roman" w:hAnsi="Times New Roman" w:cs="Times New Roman"/>
        </w:rPr>
        <w:t xml:space="preserve"> </w:t>
      </w:r>
      <w:r w:rsidRPr="009A5251">
        <w:rPr>
          <w:rFonts w:ascii="Times New Roman" w:hAnsi="Times New Roman" w:cs="Times New Roman"/>
          <w:szCs w:val="21"/>
        </w:rPr>
        <w:t>high temperature-sensitive risks</w:t>
      </w:r>
      <w:r w:rsidRPr="009A5251">
        <w:rPr>
          <w:rFonts w:ascii="Times New Roman" w:hAnsi="Times New Roman" w:cs="Times New Roman"/>
        </w:rPr>
        <w:t xml:space="preserve"> (HTR) </w:t>
      </w:r>
      <w:r w:rsidRPr="009A5251">
        <w:rPr>
          <w:rFonts w:ascii="Times New Roman" w:hAnsi="Times New Roman" w:cs="Times New Roman" w:hint="eastAsia"/>
        </w:rPr>
        <w:t>aspect</w:t>
      </w:r>
      <w:bookmarkEnd w:id="0"/>
      <w:r w:rsidRPr="009A5251">
        <w:rPr>
          <w:rFonts w:ascii="Times New Roman" w:hAnsi="Times New Roman" w:cs="Times New Roman" w:hint="eastAsia"/>
        </w:rPr>
        <w:t>.</w:t>
      </w:r>
    </w:p>
    <w:p w14:paraId="772F4EA3" w14:textId="77777777" w:rsidR="001D2CBE" w:rsidRPr="009A5251" w:rsidRDefault="009A5251">
      <w:pPr>
        <w:rPr>
          <w:rFonts w:ascii="Times New Roman" w:hAnsi="Times New Roman" w:cs="Times New Roman"/>
          <w:b/>
        </w:rPr>
      </w:pPr>
      <w:r w:rsidRPr="009A5251">
        <w:rPr>
          <w:rFonts w:ascii="Times New Roman" w:hAnsi="Times New Roman" w:cs="Times New Roman"/>
          <w:b/>
          <w:noProof/>
        </w:rPr>
        <w:lastRenderedPageBreak/>
        <w:drawing>
          <wp:inline distT="0" distB="0" distL="0" distR="0" wp14:anchorId="7F13A13E" wp14:editId="2F1DB226">
            <wp:extent cx="8863330" cy="3959225"/>
            <wp:effectExtent l="0" t="0" r="0" b="3175"/>
            <wp:docPr id="7362393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39388" name="图片 8"/>
                    <pic:cNvPicPr>
                      <a:picLocks noChangeAspect="1"/>
                    </pic:cNvPicPr>
                  </pic:nvPicPr>
                  <pic:blipFill>
                    <a:blip r:embed="rId19"/>
                    <a:stretch>
                      <a:fillRect/>
                    </a:stretch>
                  </pic:blipFill>
                  <pic:spPr>
                    <a:xfrm>
                      <a:off x="0" y="0"/>
                      <a:ext cx="8863330" cy="3959225"/>
                    </a:xfrm>
                    <a:prstGeom prst="rect">
                      <a:avLst/>
                    </a:prstGeom>
                  </pic:spPr>
                </pic:pic>
              </a:graphicData>
            </a:graphic>
          </wp:inline>
        </w:drawing>
      </w:r>
    </w:p>
    <w:p w14:paraId="6CE8A957" w14:textId="77777777" w:rsidR="001D2CBE" w:rsidRPr="009A5251" w:rsidRDefault="009A5251">
      <w:pPr>
        <w:jc w:val="center"/>
        <w:rPr>
          <w:rFonts w:ascii="Times New Roman" w:hAnsi="Times New Roman" w:cs="Times New Roman"/>
        </w:rPr>
      </w:pPr>
      <w:r w:rsidRPr="009A5251">
        <w:rPr>
          <w:rFonts w:ascii="Times New Roman" w:hAnsi="Times New Roman" w:cs="Times New Roman" w:hint="eastAsia"/>
          <w:b/>
        </w:rPr>
        <w:t>Fig</w:t>
      </w:r>
      <w:r w:rsidRPr="009A5251">
        <w:rPr>
          <w:rFonts w:ascii="Times New Roman" w:hAnsi="Times New Roman" w:cs="Times New Roman"/>
          <w:b/>
        </w:rPr>
        <w:t xml:space="preserve">. </w:t>
      </w:r>
      <w:r w:rsidRPr="009A5251">
        <w:rPr>
          <w:rFonts w:ascii="Times New Roman" w:hAnsi="Times New Roman" w:cs="Times New Roman" w:hint="eastAsia"/>
          <w:b/>
        </w:rPr>
        <w:t>S</w:t>
      </w:r>
      <w:r w:rsidRPr="009A5251">
        <w:rPr>
          <w:rFonts w:ascii="Times New Roman" w:hAnsi="Times New Roman" w:cs="Times New Roman"/>
          <w:b/>
        </w:rPr>
        <w:t xml:space="preserve">2. </w:t>
      </w:r>
      <w:r w:rsidRPr="009A5251">
        <w:rPr>
          <w:rFonts w:ascii="Times New Roman" w:hAnsi="Times New Roman" w:cs="Times New Roman"/>
        </w:rPr>
        <w:t>Geographic comparison diagram</w:t>
      </w:r>
      <w:r w:rsidRPr="009A5251">
        <w:rPr>
          <w:rFonts w:ascii="Times New Roman" w:hAnsi="Times New Roman" w:cs="Times New Roman" w:hint="eastAsia"/>
        </w:rPr>
        <w:t xml:space="preserve"> of </w:t>
      </w:r>
      <w:r w:rsidRPr="009A5251">
        <w:rPr>
          <w:rFonts w:ascii="Times New Roman" w:hAnsi="Times New Roman" w:cs="Times New Roman"/>
        </w:rPr>
        <w:t>low temperature-sensitive risks</w:t>
      </w:r>
      <w:r w:rsidRPr="009A5251">
        <w:rPr>
          <w:rFonts w:ascii="Times New Roman" w:hAnsi="Times New Roman" w:cs="Times New Roman" w:hint="eastAsia"/>
        </w:rPr>
        <w:t xml:space="preserve"> </w:t>
      </w:r>
      <w:r w:rsidRPr="009A5251">
        <w:rPr>
          <w:rFonts w:ascii="Times New Roman" w:hAnsi="Times New Roman" w:cs="Times New Roman"/>
        </w:rPr>
        <w:t>(</w:t>
      </w:r>
      <w:r w:rsidRPr="009A5251">
        <w:rPr>
          <w:rFonts w:ascii="Times New Roman" w:hAnsi="Times New Roman" w:cs="Times New Roman" w:hint="eastAsia"/>
        </w:rPr>
        <w:t>L</w:t>
      </w:r>
      <w:r w:rsidRPr="009A5251">
        <w:rPr>
          <w:rFonts w:ascii="Times New Roman" w:hAnsi="Times New Roman" w:cs="Times New Roman"/>
        </w:rPr>
        <w:t xml:space="preserve">TR) </w:t>
      </w:r>
      <w:r w:rsidRPr="009A5251">
        <w:rPr>
          <w:rFonts w:ascii="Times New Roman" w:hAnsi="Times New Roman" w:cs="Times New Roman" w:hint="eastAsia"/>
        </w:rPr>
        <w:t>aspect.</w:t>
      </w:r>
    </w:p>
    <w:p w14:paraId="34B55EA0" w14:textId="77777777" w:rsidR="001D2CBE" w:rsidRPr="009A5251" w:rsidRDefault="009A5251">
      <w:pPr>
        <w:rPr>
          <w:rFonts w:ascii="Times New Roman" w:hAnsi="Times New Roman" w:cs="Times New Roman"/>
          <w:b/>
        </w:rPr>
      </w:pPr>
      <w:r w:rsidRPr="009A5251">
        <w:rPr>
          <w:rFonts w:ascii="Times New Roman" w:hAnsi="Times New Roman" w:cs="Times New Roman"/>
          <w:b/>
          <w:noProof/>
        </w:rPr>
        <w:lastRenderedPageBreak/>
        <w:drawing>
          <wp:inline distT="0" distB="0" distL="0" distR="0" wp14:anchorId="21482191" wp14:editId="673C6F45">
            <wp:extent cx="8863330" cy="3964940"/>
            <wp:effectExtent l="0" t="0" r="0" b="0"/>
            <wp:docPr id="985200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20016" name="图片 5"/>
                    <pic:cNvPicPr>
                      <a:picLocks noChangeAspect="1"/>
                    </pic:cNvPicPr>
                  </pic:nvPicPr>
                  <pic:blipFill>
                    <a:blip r:embed="rId20"/>
                    <a:stretch>
                      <a:fillRect/>
                    </a:stretch>
                  </pic:blipFill>
                  <pic:spPr>
                    <a:xfrm>
                      <a:off x="0" y="0"/>
                      <a:ext cx="8863330" cy="3964940"/>
                    </a:xfrm>
                    <a:prstGeom prst="rect">
                      <a:avLst/>
                    </a:prstGeom>
                  </pic:spPr>
                </pic:pic>
              </a:graphicData>
            </a:graphic>
          </wp:inline>
        </w:drawing>
      </w:r>
    </w:p>
    <w:p w14:paraId="2CFBE8E2" w14:textId="77777777" w:rsidR="001D2CBE" w:rsidRPr="009A5251" w:rsidRDefault="009A5251">
      <w:pPr>
        <w:jc w:val="center"/>
        <w:rPr>
          <w:rFonts w:ascii="Times New Roman" w:hAnsi="Times New Roman" w:cs="Times New Roman"/>
        </w:rPr>
        <w:sectPr w:rsidR="001D2CBE" w:rsidRPr="009A5251">
          <w:pgSz w:w="16838" w:h="11906" w:orient="landscape"/>
          <w:pgMar w:top="1800" w:right="1440" w:bottom="1800" w:left="1440" w:header="851" w:footer="992" w:gutter="0"/>
          <w:cols w:space="425"/>
          <w:docGrid w:type="lines" w:linePitch="312"/>
        </w:sectPr>
      </w:pPr>
      <w:r w:rsidRPr="009A5251">
        <w:rPr>
          <w:rFonts w:ascii="Times New Roman" w:hAnsi="Times New Roman" w:cs="Times New Roman"/>
          <w:b/>
        </w:rPr>
        <w:t xml:space="preserve">Fig. </w:t>
      </w:r>
      <w:r w:rsidRPr="009A5251">
        <w:rPr>
          <w:rFonts w:ascii="Times New Roman" w:hAnsi="Times New Roman" w:cs="Times New Roman" w:hint="eastAsia"/>
          <w:b/>
        </w:rPr>
        <w:t>S3</w:t>
      </w:r>
      <w:r w:rsidRPr="009A5251">
        <w:rPr>
          <w:rFonts w:ascii="Times New Roman" w:hAnsi="Times New Roman" w:cs="Times New Roman"/>
          <w:b/>
        </w:rPr>
        <w:t xml:space="preserve">. </w:t>
      </w:r>
      <w:r w:rsidRPr="009A5251">
        <w:rPr>
          <w:rFonts w:ascii="Times New Roman" w:hAnsi="Times New Roman" w:cs="Times New Roman"/>
        </w:rPr>
        <w:t>Geographic comparison diagram</w:t>
      </w:r>
      <w:r w:rsidRPr="009A5251">
        <w:rPr>
          <w:rFonts w:ascii="Times New Roman" w:hAnsi="Times New Roman" w:cs="Times New Roman" w:hint="eastAsia"/>
        </w:rPr>
        <w:t xml:space="preserve"> of</w:t>
      </w:r>
      <w:r w:rsidRPr="009A5251">
        <w:rPr>
          <w:rFonts w:ascii="Times New Roman" w:hAnsi="Times New Roman" w:cs="Times New Roman"/>
        </w:rPr>
        <w:t xml:space="preserve"> low temperature exposure (LTE) </w:t>
      </w:r>
      <w:r w:rsidRPr="009A5251">
        <w:rPr>
          <w:rFonts w:ascii="Times New Roman" w:hAnsi="Times New Roman" w:cs="Times New Roman" w:hint="eastAsia"/>
        </w:rPr>
        <w:t>aspect.</w:t>
      </w:r>
      <w:r w:rsidRPr="009A5251">
        <w:rPr>
          <w:rFonts w:ascii="Times New Roman" w:hAnsi="Times New Roman" w:cs="Times New Roman"/>
        </w:rPr>
        <w:t xml:space="preserve"> </w:t>
      </w:r>
    </w:p>
    <w:p w14:paraId="5721E7E3" w14:textId="77777777" w:rsidR="001D2CBE" w:rsidRPr="009A5251" w:rsidRDefault="009A5251">
      <w:pPr>
        <w:jc w:val="center"/>
        <w:rPr>
          <w:rFonts w:ascii="Times New Roman" w:hAnsi="Times New Roman" w:cs="Times New Roman"/>
        </w:rPr>
        <w:sectPr w:rsidR="001D2CBE" w:rsidRPr="009A5251">
          <w:pgSz w:w="16838" w:h="11906" w:orient="landscape"/>
          <w:pgMar w:top="1800" w:right="1440" w:bottom="1800" w:left="1440" w:header="851" w:footer="992" w:gutter="0"/>
          <w:cols w:space="425"/>
          <w:docGrid w:type="lines" w:linePitch="312"/>
        </w:sectPr>
      </w:pPr>
      <w:r w:rsidRPr="009A5251">
        <w:rPr>
          <w:rFonts w:ascii="Times New Roman" w:hAnsi="Times New Roman" w:cs="Times New Roman" w:hint="eastAsia"/>
          <w:b/>
          <w:noProof/>
        </w:rPr>
        <w:lastRenderedPageBreak/>
        <w:drawing>
          <wp:inline distT="0" distB="0" distL="0" distR="0" wp14:anchorId="1485A1BB" wp14:editId="659A397B">
            <wp:extent cx="8863330" cy="3986530"/>
            <wp:effectExtent l="0" t="0" r="0" b="0"/>
            <wp:docPr id="1441442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44266" name="图片 4"/>
                    <pic:cNvPicPr>
                      <a:picLocks noChangeAspect="1"/>
                    </pic:cNvPicPr>
                  </pic:nvPicPr>
                  <pic:blipFill>
                    <a:blip r:embed="rId21"/>
                    <a:stretch>
                      <a:fillRect/>
                    </a:stretch>
                  </pic:blipFill>
                  <pic:spPr>
                    <a:xfrm>
                      <a:off x="0" y="0"/>
                      <a:ext cx="8863330" cy="3986530"/>
                    </a:xfrm>
                    <a:prstGeom prst="rect">
                      <a:avLst/>
                    </a:prstGeom>
                  </pic:spPr>
                </pic:pic>
              </a:graphicData>
            </a:graphic>
          </wp:inline>
        </w:drawing>
      </w:r>
      <w:r w:rsidRPr="009A5251">
        <w:rPr>
          <w:rFonts w:ascii="Times New Roman" w:hAnsi="Times New Roman" w:cs="Times New Roman" w:hint="eastAsia"/>
          <w:b/>
        </w:rPr>
        <w:t>Fig</w:t>
      </w:r>
      <w:r w:rsidRPr="009A5251">
        <w:rPr>
          <w:rFonts w:ascii="Times New Roman" w:hAnsi="Times New Roman" w:cs="Times New Roman"/>
          <w:b/>
        </w:rPr>
        <w:t xml:space="preserve">. </w:t>
      </w:r>
      <w:r w:rsidRPr="009A5251">
        <w:rPr>
          <w:rFonts w:ascii="Times New Roman" w:hAnsi="Times New Roman" w:cs="Times New Roman" w:hint="eastAsia"/>
          <w:b/>
        </w:rPr>
        <w:t>S4</w:t>
      </w:r>
      <w:r w:rsidRPr="009A5251">
        <w:rPr>
          <w:rFonts w:ascii="Times New Roman" w:hAnsi="Times New Roman" w:cs="Times New Roman"/>
          <w:b/>
        </w:rPr>
        <w:t xml:space="preserve">. </w:t>
      </w:r>
      <w:r w:rsidRPr="009A5251">
        <w:rPr>
          <w:rFonts w:ascii="Times New Roman" w:hAnsi="Times New Roman" w:cs="Times New Roman"/>
        </w:rPr>
        <w:t xml:space="preserve">Geographic comparison diagram </w:t>
      </w:r>
      <w:r w:rsidRPr="009A5251">
        <w:rPr>
          <w:rFonts w:ascii="Times New Roman" w:hAnsi="Times New Roman" w:cs="Times New Roman" w:hint="eastAsia"/>
        </w:rPr>
        <w:t xml:space="preserve">of </w:t>
      </w:r>
      <w:r w:rsidRPr="009A5251">
        <w:rPr>
          <w:rFonts w:ascii="Times New Roman" w:hAnsi="Times New Roman" w:cs="Times New Roman"/>
        </w:rPr>
        <w:t>vulnerability factors</w:t>
      </w:r>
      <w:r w:rsidRPr="009A5251">
        <w:rPr>
          <w:rFonts w:ascii="Times New Roman" w:hAnsi="Times New Roman" w:cs="Times New Roman" w:hint="eastAsia"/>
        </w:rPr>
        <w:t xml:space="preserve"> </w:t>
      </w:r>
      <w:r w:rsidRPr="009A5251">
        <w:rPr>
          <w:rFonts w:ascii="Times New Roman" w:hAnsi="Times New Roman" w:cs="Times New Roman"/>
        </w:rPr>
        <w:t>(</w:t>
      </w:r>
      <w:r w:rsidRPr="009A5251">
        <w:rPr>
          <w:rFonts w:ascii="Times New Roman" w:hAnsi="Times New Roman" w:cs="Times New Roman" w:hint="eastAsia"/>
        </w:rPr>
        <w:t>VF</w:t>
      </w:r>
      <w:r w:rsidRPr="009A5251">
        <w:rPr>
          <w:rFonts w:ascii="Times New Roman" w:hAnsi="Times New Roman" w:cs="Times New Roman"/>
        </w:rPr>
        <w:t xml:space="preserve">) </w:t>
      </w:r>
      <w:r w:rsidRPr="009A5251">
        <w:rPr>
          <w:rFonts w:ascii="Times New Roman" w:hAnsi="Times New Roman" w:cs="Times New Roman" w:hint="eastAsia"/>
        </w:rPr>
        <w:t xml:space="preserve">aspect. </w:t>
      </w:r>
    </w:p>
    <w:p w14:paraId="4AC9DBBC" w14:textId="77777777" w:rsidR="001D2CBE" w:rsidRPr="009A5251" w:rsidRDefault="009A5251">
      <w:pPr>
        <w:jc w:val="center"/>
        <w:rPr>
          <w:rFonts w:ascii="Times New Roman" w:hAnsi="Times New Roman" w:cs="Times New Roman"/>
        </w:rPr>
      </w:pPr>
      <w:r w:rsidRPr="009A5251">
        <w:rPr>
          <w:rFonts w:ascii="Times New Roman" w:hAnsi="Times New Roman" w:cs="Times New Roman" w:hint="eastAsia"/>
          <w:b/>
          <w:noProof/>
        </w:rPr>
        <w:lastRenderedPageBreak/>
        <w:drawing>
          <wp:inline distT="0" distB="0" distL="0" distR="0" wp14:anchorId="689C0683" wp14:editId="44B2BFD5">
            <wp:extent cx="8688705" cy="4175760"/>
            <wp:effectExtent l="0" t="0" r="0" b="0"/>
            <wp:docPr id="16037265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26555" name="图片 3"/>
                    <pic:cNvPicPr>
                      <a:picLocks noChangeAspect="1"/>
                    </pic:cNvPicPr>
                  </pic:nvPicPr>
                  <pic:blipFill>
                    <a:blip r:embed="rId22"/>
                    <a:stretch>
                      <a:fillRect/>
                    </a:stretch>
                  </pic:blipFill>
                  <pic:spPr>
                    <a:xfrm>
                      <a:off x="0" y="0"/>
                      <a:ext cx="8689285" cy="4176000"/>
                    </a:xfrm>
                    <a:prstGeom prst="rect">
                      <a:avLst/>
                    </a:prstGeom>
                  </pic:spPr>
                </pic:pic>
              </a:graphicData>
            </a:graphic>
          </wp:inline>
        </w:drawing>
      </w:r>
      <w:r w:rsidRPr="009A5251">
        <w:rPr>
          <w:rFonts w:ascii="Times New Roman" w:hAnsi="Times New Roman" w:cs="Times New Roman" w:hint="eastAsia"/>
          <w:b/>
        </w:rPr>
        <w:t>Fig</w:t>
      </w:r>
      <w:r w:rsidRPr="009A5251">
        <w:rPr>
          <w:rFonts w:ascii="Times New Roman" w:hAnsi="Times New Roman" w:cs="Times New Roman"/>
          <w:b/>
        </w:rPr>
        <w:t xml:space="preserve">. </w:t>
      </w:r>
      <w:r w:rsidRPr="009A5251">
        <w:rPr>
          <w:rFonts w:ascii="Times New Roman" w:hAnsi="Times New Roman" w:cs="Times New Roman" w:hint="eastAsia"/>
          <w:b/>
        </w:rPr>
        <w:t>S5</w:t>
      </w:r>
      <w:r w:rsidRPr="009A5251">
        <w:rPr>
          <w:rFonts w:ascii="Times New Roman" w:hAnsi="Times New Roman" w:cs="Times New Roman"/>
          <w:b/>
        </w:rPr>
        <w:t xml:space="preserve">. </w:t>
      </w:r>
      <w:r w:rsidRPr="009A5251">
        <w:rPr>
          <w:rFonts w:ascii="Times New Roman" w:hAnsi="Times New Roman" w:cs="Times New Roman"/>
        </w:rPr>
        <w:t>Geographic comparison diagram of economic development in 2019.</w:t>
      </w:r>
    </w:p>
    <w:p w14:paraId="3CFFA732" w14:textId="77777777" w:rsidR="001D2CBE" w:rsidRPr="009A5251" w:rsidRDefault="001D2CBE">
      <w:pPr>
        <w:rPr>
          <w:rFonts w:ascii="Times New Roman" w:hAnsi="Times New Roman" w:cs="Times New Roman"/>
        </w:rPr>
      </w:pPr>
    </w:p>
    <w:p w14:paraId="36BDF238" w14:textId="77777777" w:rsidR="001D2CBE" w:rsidRPr="009A5251" w:rsidRDefault="001D2CBE">
      <w:pPr>
        <w:rPr>
          <w:rFonts w:ascii="Times New Roman" w:hAnsi="Times New Roman" w:cs="Times New Roman"/>
        </w:rPr>
        <w:sectPr w:rsidR="001D2CBE" w:rsidRPr="009A5251">
          <w:pgSz w:w="16838" w:h="11906" w:orient="landscape"/>
          <w:pgMar w:top="1800" w:right="1440" w:bottom="1800" w:left="1440" w:header="851" w:footer="992" w:gutter="0"/>
          <w:cols w:space="425"/>
          <w:docGrid w:type="lines" w:linePitch="312"/>
        </w:sectPr>
      </w:pPr>
    </w:p>
    <w:p w14:paraId="30022C01" w14:textId="77777777" w:rsidR="001D2CBE" w:rsidRPr="009A5251" w:rsidRDefault="009A5251">
      <w:pPr>
        <w:jc w:val="center"/>
        <w:rPr>
          <w:rFonts w:ascii="Times New Roman" w:hAnsi="Times New Roman" w:cs="Times New Roman"/>
        </w:rPr>
        <w:sectPr w:rsidR="001D2CBE" w:rsidRPr="009A5251">
          <w:pgSz w:w="16838" w:h="11906" w:orient="landscape"/>
          <w:pgMar w:top="1800" w:right="1440" w:bottom="1800" w:left="1440" w:header="851" w:footer="992" w:gutter="0"/>
          <w:cols w:space="425"/>
          <w:docGrid w:type="lines" w:linePitch="312"/>
        </w:sectPr>
      </w:pPr>
      <w:r w:rsidRPr="009A5251">
        <w:rPr>
          <w:rFonts w:ascii="Times New Roman" w:hAnsi="Times New Roman" w:cs="Times New Roman" w:hint="eastAsia"/>
          <w:b/>
          <w:noProof/>
        </w:rPr>
        <w:lastRenderedPageBreak/>
        <w:drawing>
          <wp:inline distT="0" distB="0" distL="0" distR="0" wp14:anchorId="18762BF8" wp14:editId="0881778E">
            <wp:extent cx="8700770" cy="4139565"/>
            <wp:effectExtent l="0" t="0" r="5080" b="0"/>
            <wp:docPr id="6133472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47242" name="图片 2"/>
                    <pic:cNvPicPr>
                      <a:picLocks noChangeAspect="1"/>
                    </pic:cNvPicPr>
                  </pic:nvPicPr>
                  <pic:blipFill>
                    <a:blip r:embed="rId23"/>
                    <a:stretch>
                      <a:fillRect/>
                    </a:stretch>
                  </pic:blipFill>
                  <pic:spPr>
                    <a:xfrm>
                      <a:off x="0" y="0"/>
                      <a:ext cx="8700900" cy="4140000"/>
                    </a:xfrm>
                    <a:prstGeom prst="rect">
                      <a:avLst/>
                    </a:prstGeom>
                  </pic:spPr>
                </pic:pic>
              </a:graphicData>
            </a:graphic>
          </wp:inline>
        </w:drawing>
      </w:r>
      <w:r w:rsidRPr="009A5251">
        <w:rPr>
          <w:rFonts w:ascii="Times New Roman" w:hAnsi="Times New Roman" w:cs="Times New Roman" w:hint="eastAsia"/>
          <w:b/>
        </w:rPr>
        <w:t>Fig</w:t>
      </w:r>
      <w:r w:rsidRPr="009A5251">
        <w:rPr>
          <w:rFonts w:ascii="Times New Roman" w:hAnsi="Times New Roman" w:cs="Times New Roman"/>
          <w:b/>
        </w:rPr>
        <w:t xml:space="preserve">. </w:t>
      </w:r>
      <w:r w:rsidRPr="009A5251">
        <w:rPr>
          <w:rFonts w:ascii="Times New Roman" w:hAnsi="Times New Roman" w:cs="Times New Roman" w:hint="eastAsia"/>
          <w:b/>
        </w:rPr>
        <w:t>S6</w:t>
      </w:r>
      <w:r w:rsidRPr="009A5251">
        <w:rPr>
          <w:rFonts w:ascii="Times New Roman" w:hAnsi="Times New Roman" w:cs="Times New Roman"/>
          <w:b/>
        </w:rPr>
        <w:t xml:space="preserve">. </w:t>
      </w:r>
      <w:r w:rsidRPr="009A5251">
        <w:rPr>
          <w:rFonts w:ascii="Times New Roman" w:hAnsi="Times New Roman" w:cs="Times New Roman"/>
        </w:rPr>
        <w:t>Geographic comparison diagram of social aging in 2019.</w:t>
      </w:r>
    </w:p>
    <w:p w14:paraId="5E5EFE26" w14:textId="77777777" w:rsidR="001D2CBE" w:rsidRPr="009A5251" w:rsidRDefault="009A5251">
      <w:pPr>
        <w:rPr>
          <w:rFonts w:ascii="Times New Roman" w:hAnsi="Times New Roman" w:cs="Times New Roman"/>
          <w:b/>
          <w:sz w:val="24"/>
          <w:szCs w:val="24"/>
        </w:rPr>
      </w:pPr>
      <w:r w:rsidRPr="009A5251">
        <w:rPr>
          <w:rFonts w:ascii="Times New Roman" w:hAnsi="Times New Roman" w:cs="Times New Roman"/>
          <w:b/>
          <w:sz w:val="24"/>
          <w:szCs w:val="24"/>
        </w:rPr>
        <w:lastRenderedPageBreak/>
        <w:t>References</w:t>
      </w:r>
    </w:p>
    <w:p w14:paraId="7D48E532" w14:textId="77777777" w:rsidR="001D2CBE" w:rsidRPr="009A5251" w:rsidRDefault="009A5251">
      <w:pPr>
        <w:spacing w:line="360" w:lineRule="auto"/>
        <w:rPr>
          <w:rFonts w:ascii="Times New Roman" w:hAnsi="Times New Roman" w:cs="Times New Roman"/>
        </w:rPr>
      </w:pPr>
      <w:r w:rsidRPr="009A5251">
        <w:rPr>
          <w:rFonts w:ascii="Times New Roman" w:hAnsi="Times New Roman" w:cs="Times New Roman"/>
        </w:rPr>
        <w:t>1</w:t>
      </w:r>
      <w:r w:rsidRPr="009A5251">
        <w:rPr>
          <w:rFonts w:ascii="Times New Roman" w:hAnsi="Times New Roman" w:cs="Times New Roman" w:hint="eastAsia"/>
        </w:rPr>
        <w:t>.</w:t>
      </w:r>
      <w:r w:rsidRPr="009A5251">
        <w:rPr>
          <w:rFonts w:ascii="Times New Roman" w:hAnsi="Times New Roman" w:cs="Times New Roman"/>
        </w:rPr>
        <w:t xml:space="preserve"> Arundel, A.V., Sterling, E.M., Biggin, J.H., Sterling, T.D., 1986. Indirect health effects of relative humidity in indoor environments. </w:t>
      </w:r>
      <w:r w:rsidRPr="009A5251">
        <w:rPr>
          <w:rFonts w:ascii="Times New Roman" w:hAnsi="Times New Roman" w:cs="Times New Roman"/>
          <w:iCs/>
        </w:rPr>
        <w:t>Environ. Health Perspect.</w:t>
      </w:r>
      <w:r w:rsidRPr="009A5251">
        <w:rPr>
          <w:rFonts w:ascii="Times New Roman" w:hAnsi="Times New Roman" w:cs="Times New Roman"/>
        </w:rPr>
        <w:t xml:space="preserve"> </w:t>
      </w:r>
      <w:r w:rsidRPr="009A5251">
        <w:rPr>
          <w:rFonts w:ascii="Times New Roman" w:hAnsi="Times New Roman" w:cs="Times New Roman"/>
          <w:bCs/>
        </w:rPr>
        <w:t>65</w:t>
      </w:r>
      <w:r w:rsidRPr="009A5251">
        <w:rPr>
          <w:rFonts w:ascii="Times New Roman" w:hAnsi="Times New Roman" w:cs="Times New Roman"/>
        </w:rPr>
        <w:t>, 351-361. https://doi.org/10.2307/3430203.</w:t>
      </w:r>
    </w:p>
    <w:p w14:paraId="708DB6DB" w14:textId="77777777" w:rsidR="001D2CBE" w:rsidRPr="009A5251" w:rsidRDefault="009A5251">
      <w:pPr>
        <w:spacing w:line="360" w:lineRule="auto"/>
        <w:rPr>
          <w:rFonts w:ascii="Times New Roman" w:hAnsi="Times New Roman" w:cs="Times New Roman"/>
          <w:szCs w:val="21"/>
        </w:rPr>
      </w:pPr>
      <w:r w:rsidRPr="009A5251">
        <w:rPr>
          <w:rFonts w:ascii="Times New Roman" w:eastAsia="DengXian" w:hAnsi="Times New Roman" w:cs="Times New Roman"/>
          <w:color w:val="000000"/>
          <w:kern w:val="0"/>
          <w:szCs w:val="21"/>
        </w:rPr>
        <w:t>2</w:t>
      </w:r>
      <w:r w:rsidRPr="009A5251">
        <w:rPr>
          <w:rFonts w:ascii="Times New Roman" w:eastAsia="DengXian" w:hAnsi="Times New Roman" w:cs="Times New Roman" w:hint="eastAsia"/>
          <w:color w:val="000000"/>
          <w:kern w:val="0"/>
          <w:szCs w:val="21"/>
        </w:rPr>
        <w:t>.</w:t>
      </w:r>
      <w:r w:rsidRPr="009A5251">
        <w:rPr>
          <w:rFonts w:ascii="Times New Roman" w:eastAsia="DengXian" w:hAnsi="Times New Roman" w:cs="Times New Roman"/>
          <w:color w:val="000000"/>
          <w:kern w:val="0"/>
          <w:szCs w:val="21"/>
        </w:rPr>
        <w:t xml:space="preserve"> </w:t>
      </w:r>
      <w:r w:rsidRPr="009A5251">
        <w:rPr>
          <w:rFonts w:ascii="Times New Roman" w:hAnsi="Times New Roman" w:cs="Times New Roman"/>
        </w:rPr>
        <w:t>Cheung, P.K., Jim, C.Y.</w:t>
      </w:r>
      <w:r w:rsidRPr="009A5251">
        <w:rPr>
          <w:rFonts w:ascii="Times New Roman" w:eastAsia="DengXian" w:hAnsi="Times New Roman" w:cs="Times New Roman" w:hint="eastAsia"/>
          <w:color w:val="000000"/>
          <w:kern w:val="0"/>
          <w:szCs w:val="21"/>
        </w:rPr>
        <w:t>,</w:t>
      </w:r>
      <w:r w:rsidRPr="009A5251">
        <w:rPr>
          <w:rFonts w:ascii="Times New Roman" w:eastAsia="DengXian" w:hAnsi="Times New Roman" w:cs="Times New Roman"/>
          <w:color w:val="000000"/>
          <w:kern w:val="0"/>
          <w:szCs w:val="21"/>
        </w:rPr>
        <w:t xml:space="preserve"> 2018. Global pattern of human thermal adaptation and limit of thermal neutrality: Systematic analysis of outdoor neutral temperature. </w:t>
      </w:r>
      <w:r w:rsidRPr="009A5251">
        <w:rPr>
          <w:rFonts w:ascii="Times New Roman" w:eastAsia="DengXian" w:hAnsi="Times New Roman" w:cs="Times New Roman"/>
          <w:iCs/>
          <w:color w:val="000000"/>
          <w:kern w:val="0"/>
          <w:szCs w:val="21"/>
        </w:rPr>
        <w:t>Int J Climatol</w:t>
      </w:r>
      <w:r w:rsidRPr="009A5251">
        <w:rPr>
          <w:rFonts w:ascii="Times New Roman" w:eastAsia="DengXian" w:hAnsi="Times New Roman" w:cs="Times New Roman"/>
          <w:color w:val="000000"/>
          <w:kern w:val="0"/>
          <w:szCs w:val="21"/>
        </w:rPr>
        <w:t>.</w:t>
      </w:r>
      <w:r w:rsidRPr="009A5251">
        <w:t xml:space="preserve"> </w:t>
      </w:r>
      <w:r w:rsidRPr="009A5251">
        <w:rPr>
          <w:rFonts w:ascii="Times New Roman" w:eastAsia="DengXian" w:hAnsi="Times New Roman" w:cs="Times New Roman"/>
          <w:color w:val="000000"/>
          <w:kern w:val="0"/>
          <w:szCs w:val="21"/>
        </w:rPr>
        <w:t>38(14), 5037-5049. https://doi.org/</w:t>
      </w:r>
      <w:r w:rsidRPr="009A5251">
        <w:rPr>
          <w:rFonts w:ascii="Times New Roman" w:hAnsi="Times New Roman" w:cs="Times New Roman"/>
        </w:rPr>
        <w:t>10.1002/joc.5732.</w:t>
      </w:r>
    </w:p>
    <w:p w14:paraId="07ACEDF7" w14:textId="77777777" w:rsidR="001D2CBE" w:rsidRDefault="009A5251">
      <w:pPr>
        <w:spacing w:line="360" w:lineRule="auto"/>
        <w:rPr>
          <w:rFonts w:ascii="Times New Roman" w:hAnsi="Times New Roman" w:cs="Times New Roman"/>
        </w:rPr>
      </w:pPr>
      <w:r w:rsidRPr="009A5251">
        <w:rPr>
          <w:rFonts w:ascii="Times New Roman" w:hAnsi="Times New Roman" w:cs="Times New Roman"/>
        </w:rPr>
        <w:t>3</w:t>
      </w:r>
      <w:r w:rsidRPr="009A5251">
        <w:rPr>
          <w:rFonts w:ascii="Times New Roman" w:hAnsi="Times New Roman" w:cs="Times New Roman" w:hint="eastAsia"/>
        </w:rPr>
        <w:t>.</w:t>
      </w:r>
      <w:r w:rsidRPr="009A5251">
        <w:rPr>
          <w:rFonts w:ascii="Times New Roman" w:hAnsi="Times New Roman" w:cs="Times New Roman"/>
        </w:rPr>
        <w:t xml:space="preserve"> GBD 2019 Risk Factors Collaborators, 2020. Global burden of 87 risk factors in 204 countries and territories, 1990-2019: a systematic analysis for the Global Burden of Disease Study 2019. </w:t>
      </w:r>
      <w:r w:rsidRPr="009A5251">
        <w:rPr>
          <w:rFonts w:ascii="Times New Roman" w:hAnsi="Times New Roman" w:cs="Times New Roman"/>
          <w:iCs/>
        </w:rPr>
        <w:t>Lancet.</w:t>
      </w:r>
      <w:r w:rsidRPr="009A5251">
        <w:rPr>
          <w:rFonts w:ascii="Times New Roman" w:hAnsi="Times New Roman" w:cs="Times New Roman"/>
        </w:rPr>
        <w:t xml:space="preserve"> 396(10258), 1223-1249. https://doi.org/10.1016/s0140-6736(20)30752-2.</w:t>
      </w:r>
    </w:p>
    <w:p w14:paraId="1031E0B2" w14:textId="77777777" w:rsidR="001D2CBE" w:rsidRDefault="001D2CBE">
      <w:pPr>
        <w:rPr>
          <w:rFonts w:ascii="Times New Roman" w:hAnsi="Times New Roman" w:cs="Times New Roman"/>
        </w:rPr>
      </w:pPr>
    </w:p>
    <w:sectPr w:rsidR="001D2CB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1A883C" w14:textId="77777777" w:rsidR="009A5251" w:rsidRDefault="009A5251">
      <w:r>
        <w:separator/>
      </w:r>
    </w:p>
  </w:endnote>
  <w:endnote w:type="continuationSeparator" w:id="0">
    <w:p w14:paraId="134D91AF" w14:textId="77777777" w:rsidR="009A5251" w:rsidRDefault="009A52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default"/>
    <w:sig w:usb0="00000203" w:usb1="288F0000" w:usb2="0000000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Rockwell">
    <w:panose1 w:val="02060603020205020403"/>
    <w:charset w:val="00"/>
    <w:family w:val="roman"/>
    <w:pitch w:val="variable"/>
    <w:sig w:usb0="00000007" w:usb1="00000000" w:usb2="00000000" w:usb3="00000000" w:csb0="00000003"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9DF620" w14:textId="08394A7D" w:rsidR="009A5251" w:rsidRDefault="009A5251">
    <w:pPr>
      <w:pStyle w:val="Footer"/>
    </w:pPr>
    <w:r>
      <w:rPr>
        <w:noProof/>
      </w:rPr>
      <mc:AlternateContent>
        <mc:Choice Requires="wps">
          <w:drawing>
            <wp:anchor distT="0" distB="0" distL="0" distR="0" simplePos="0" relativeHeight="251659264" behindDoc="0" locked="0" layoutInCell="1" allowOverlap="1" wp14:anchorId="18EB43ED" wp14:editId="3CEC0A1B">
              <wp:simplePos x="635" y="635"/>
              <wp:positionH relativeFrom="page">
                <wp:align>left</wp:align>
              </wp:positionH>
              <wp:positionV relativeFrom="page">
                <wp:align>bottom</wp:align>
              </wp:positionV>
              <wp:extent cx="2077085" cy="324485"/>
              <wp:effectExtent l="0" t="0" r="18415" b="0"/>
              <wp:wrapNone/>
              <wp:docPr id="868827764"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3E7DF4F5" w14:textId="012B2231" w:rsidR="009A5251" w:rsidRPr="009A5251" w:rsidRDefault="009A5251" w:rsidP="009A5251">
                          <w:pPr>
                            <w:rPr>
                              <w:rFonts w:ascii="Rockwell" w:eastAsia="Rockwell" w:hAnsi="Rockwell" w:cs="Rockwell"/>
                              <w:noProof/>
                              <w:color w:val="0078D7"/>
                              <w:sz w:val="18"/>
                              <w:szCs w:val="18"/>
                            </w:rPr>
                          </w:pPr>
                          <w:r w:rsidRPr="009A5251">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8EB43ED"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3.5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2pCEgIAACIEAAAOAAAAZHJzL2Uyb0RvYy54bWysU8tu2zAQvBfoPxC815Jdu0kFy4GbwEUB&#10;IwngFDlTFGkJILkESVtyv75Lyo8kzSnohRrurvYxO5zf9FqRvXC+BVPS8SinRBgOdWu2Jf39tPpy&#10;TYkPzNRMgRElPQhPbxafP807W4gJNKBq4QgmMb7obEmbEGyRZZ43QjM/AisMOiU4zQJe3TarHesw&#10;u1bZJM+/ZR242jrgwnu03g1Oukj5pRQ8PEjpRSCqpNhbSKdLZxXPbDFnxdYx27T82Ab7QBeatQaL&#10;nlPdscDIzrX/pNItd+BBhhEHnYGULRdpBpxmnL+ZZtMwK9IsSI63Z5r8/0vL7/cb++hI6H9AjwuM&#10;hHTWFx6NcZ5eOh2/2ClBP1J4ONMm+kA4Gif51VV+PaOEo+/rZDpFjGmyy9/W+fBTgCYRlNThWhJb&#10;bL/2YQg9hcRiBlatUmk1yrwyYM5oyS4tRhT6qidt/aL9CuoDTuVgWLi3fNVi6TXz4ZE53DAOgqoN&#10;D3hIBV1J4YgoacD9ec8e45F49FLSoWJKalDSlKhfBhcymU3zPCos3RC4E6gSGH/PZ9FvdvoWUIxj&#10;fBeWJxiDgzpB6UA/o6iXsRq6mOFYs6TVCd6GQb/4KLhYLlMQismysDYby2PqyFkk9Kl/Zs4eWQ+4&#10;r3s4aYoVb8gfYuOf3i53AVeQNhP5Hdg80o5CTLs9Ppqo9Jf3FHV52ou/AAAA//8DAFBLAwQUAAYA&#10;CAAAACEA95LYyNoAAAAEAQAADwAAAGRycy9kb3ducmV2LnhtbEyPzU7DMBCE70i8g7VI3KiTIFIU&#10;4lRV+RFXQiU4OvE2jhqv03jbhrfHcIHLSqMZzXxbrmY3iBNOofekIF0kIJBab3rqFGzfn2/uQQTW&#10;ZPTgCRV8YYBVdXlR6sL4M73hqeZOxBIKhVZgmcdCytBadDos/IgUvZ2fnOYop06aSZ9juRtkliS5&#10;dLqnuGD1iBuL7b4+OgX548vajh/552GXhdfQ+D3X/kmp66t5/QCCcea/MPzgR3SoIlPjj2SCGBTE&#10;R/j3Ru82W6YgGgV3aQqyKuV/+OobAAD//wMAUEsBAi0AFAAGAAgAAAAhALaDOJL+AAAA4QEAABMA&#10;AAAAAAAAAAAAAAAAAAAAAFtDb250ZW50X1R5cGVzXS54bWxQSwECLQAUAAYACAAAACEAOP0h/9YA&#10;AACUAQAACwAAAAAAAAAAAAAAAAAvAQAAX3JlbHMvLnJlbHNQSwECLQAUAAYACAAAACEAYUtqQhIC&#10;AAAiBAAADgAAAAAAAAAAAAAAAAAuAgAAZHJzL2Uyb0RvYy54bWxQSwECLQAUAAYACAAAACEA95LY&#10;yNoAAAAEAQAADwAAAAAAAAAAAAAAAABsBAAAZHJzL2Rvd25yZXYueG1sUEsFBgAAAAAEAAQA8wAA&#10;AHMFAAAAAA==&#10;" filled="f" stroked="f">
              <v:fill o:detectmouseclick="t"/>
              <v:textbox style="mso-fit-shape-to-text:t" inset="20pt,0,0,15pt">
                <w:txbxContent>
                  <w:p w14:paraId="3E7DF4F5" w14:textId="012B2231" w:rsidR="009A5251" w:rsidRPr="009A5251" w:rsidRDefault="009A5251" w:rsidP="009A5251">
                    <w:pPr>
                      <w:rPr>
                        <w:rFonts w:ascii="Rockwell" w:eastAsia="Rockwell" w:hAnsi="Rockwell" w:cs="Rockwell"/>
                        <w:noProof/>
                        <w:color w:val="0078D7"/>
                        <w:sz w:val="18"/>
                        <w:szCs w:val="18"/>
                      </w:rPr>
                    </w:pPr>
                    <w:r w:rsidRPr="009A5251">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5A51A3" w14:textId="010DFC34" w:rsidR="001D2CBE" w:rsidRDefault="009A5251">
    <w:pPr>
      <w:pStyle w:val="Footer"/>
      <w:jc w:val="center"/>
    </w:pPr>
    <w:r>
      <w:rPr>
        <w:noProof/>
      </w:rPr>
      <mc:AlternateContent>
        <mc:Choice Requires="wps">
          <w:drawing>
            <wp:anchor distT="0" distB="0" distL="0" distR="0" simplePos="0" relativeHeight="251660288" behindDoc="0" locked="0" layoutInCell="1" allowOverlap="1" wp14:anchorId="1091178F" wp14:editId="06E2179B">
              <wp:simplePos x="914400" y="6623437"/>
              <wp:positionH relativeFrom="page">
                <wp:align>left</wp:align>
              </wp:positionH>
              <wp:positionV relativeFrom="page">
                <wp:align>bottom</wp:align>
              </wp:positionV>
              <wp:extent cx="2077085" cy="324485"/>
              <wp:effectExtent l="0" t="0" r="18415" b="0"/>
              <wp:wrapNone/>
              <wp:docPr id="356353625"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32C63F46" w14:textId="7A76268F" w:rsidR="009A5251" w:rsidRPr="009A5251" w:rsidRDefault="009A5251" w:rsidP="009A5251">
                          <w:pPr>
                            <w:rPr>
                              <w:rFonts w:ascii="Rockwell" w:eastAsia="Rockwell" w:hAnsi="Rockwell" w:cs="Rockwell"/>
                              <w:noProof/>
                              <w:color w:val="0078D7"/>
                              <w:sz w:val="18"/>
                              <w:szCs w:val="18"/>
                            </w:rPr>
                          </w:pPr>
                          <w:r w:rsidRPr="009A5251">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091178F" id="_x0000_t202" coordsize="21600,21600" o:spt="202" path="m,l,21600r21600,l21600,xe">
              <v:stroke joinstyle="miter"/>
              <v:path gradientshapeok="t" o:connecttype="rect"/>
            </v:shapetype>
            <v:shape id="Text Box 3" o:spid="_x0000_s1027" type="#_x0000_t202" alt="Information Classification: General" style="position:absolute;left:0;text-align:left;margin-left:0;margin-top:0;width:163.5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ZkAEwIAACIEAAAOAAAAZHJzL2Uyb0RvYy54bWysU01v2zAMvQ/YfxB0X+xkydoZcYqsRYYB&#10;QVsgHXqWZSk2IImCpMTOfv0oOU62bqdhF5kiaX6897S867UiR+F8C6ak00lOiTAc6tbsS/r9ZfPh&#10;lhIfmKmZAiNKehKe3q3ev1t2thAzaEDVwhEsYnzR2ZI2IdgiyzxvhGZ+AlYYDEpwmgW8un1WO9Zh&#10;da2yWZ5/yjpwtXXAhffofRiCdJXqSyl4eJLSi0BUSXG2kE6Xziqe2WrJir1jtmn5eQz2D1No1hps&#10;ein1wAIjB9f+UUq33IEHGSYcdAZStlykHXCbaf5mm13DrEi7IDjeXmDy/68sfzzu7LMjof8CPRIY&#10;AemsLzw64z69dDp+cVKCcYTwdIFN9IFwdM7ym5v8dkEJx9jH2XyONpbJrn9b58NXAZpEo6QOaUlo&#10;sePWhyF1TInNDGxapRI1yvzmwJrRk11HjFboq560NU4yjl9BfcKtHAyEe8s3LbbeMh+emUOGcRFU&#10;bXjCQyroSgpni5IG3I+/+WM+Ao9RSjpUTEkNSpoS9c0gIbPFPM+jwtINDTcaVTKmn/NFjJuDvgcU&#10;4xTfheXJjMlBjaZ0oF9R1OvYDUPMcOxZ0mo078OgX3wUXKzXKQnFZFnYmp3lsXTELAL60r8yZ8+o&#10;B+TrEUZNseIN+ENu/NPb9SEgBYmZiO+A5hl2FGLi9vxootJ/vaes69Ne/QQAAP//AwBQSwMEFAAG&#10;AAgAAAAhAPeS2MjaAAAABAEAAA8AAABkcnMvZG93bnJldi54bWxMj81OwzAQhO9IvIO1SNyokyBS&#10;FOJUVfkRV0IlODrxNo4ar9N424a3x3CBy0qjGc18W65mN4gTTqH3pCBdJCCQWm966hRs359v7kEE&#10;1mT04AkVfGGAVXV5UerC+DO94anmTsQSCoVWYJnHQsrQWnQ6LPyIFL2dn5zmKKdOmkmfY7kbZJYk&#10;uXS6p7hg9Ygbi+2+PjoF+ePL2o4f+edhl4XX0Pg91/5Jqeuref0AgnHmvzD84Ed0qCJT449kghgU&#10;xEf490bvNlumIBoFd2kKsirlf/jqGwAA//8DAFBLAQItABQABgAIAAAAIQC2gziS/gAAAOEBAAAT&#10;AAAAAAAAAAAAAAAAAAAAAABbQ29udGVudF9UeXBlc10ueG1sUEsBAi0AFAAGAAgAAAAhADj9If/W&#10;AAAAlAEAAAsAAAAAAAAAAAAAAAAALwEAAF9yZWxzLy5yZWxzUEsBAi0AFAAGAAgAAAAhADDdmQAT&#10;AgAAIgQAAA4AAAAAAAAAAAAAAAAALgIAAGRycy9lMm9Eb2MueG1sUEsBAi0AFAAGAAgAAAAhAPeS&#10;2MjaAAAABAEAAA8AAAAAAAAAAAAAAAAAbQQAAGRycy9kb3ducmV2LnhtbFBLBQYAAAAABAAEAPMA&#10;AAB0BQAAAAA=&#10;" filled="f" stroked="f">
              <v:fill o:detectmouseclick="t"/>
              <v:textbox style="mso-fit-shape-to-text:t" inset="20pt,0,0,15pt">
                <w:txbxContent>
                  <w:p w14:paraId="32C63F46" w14:textId="7A76268F" w:rsidR="009A5251" w:rsidRPr="009A5251" w:rsidRDefault="009A5251" w:rsidP="009A5251">
                    <w:pPr>
                      <w:rPr>
                        <w:rFonts w:ascii="Rockwell" w:eastAsia="Rockwell" w:hAnsi="Rockwell" w:cs="Rockwell"/>
                        <w:noProof/>
                        <w:color w:val="0078D7"/>
                        <w:sz w:val="18"/>
                        <w:szCs w:val="18"/>
                      </w:rPr>
                    </w:pPr>
                    <w:r w:rsidRPr="009A5251">
                      <w:rPr>
                        <w:rFonts w:ascii="Rockwell" w:eastAsia="Rockwell" w:hAnsi="Rockwell" w:cs="Rockwell"/>
                        <w:noProof/>
                        <w:color w:val="0078D7"/>
                        <w:sz w:val="18"/>
                        <w:szCs w:val="18"/>
                      </w:rPr>
                      <w:t>Information Classification: General</w:t>
                    </w:r>
                  </w:p>
                </w:txbxContent>
              </v:textbox>
              <w10:wrap anchorx="page" anchory="page"/>
            </v:shape>
          </w:pict>
        </mc:Fallback>
      </mc:AlternateContent>
    </w:r>
    <w:sdt>
      <w:sdtPr>
        <w:id w:val="-1524008956"/>
      </w:sdtPr>
      <w:sdtEndPr/>
      <w:sdtContent>
        <w:r>
          <w:fldChar w:fldCharType="begin"/>
        </w:r>
        <w:r>
          <w:instrText>PAGE   \* MERGEFORMAT</w:instrText>
        </w:r>
        <w:r>
          <w:fldChar w:fldCharType="separate"/>
        </w:r>
        <w:r>
          <w:rPr>
            <w:lang w:val="zh-CN"/>
          </w:rPr>
          <w:t>2</w:t>
        </w:r>
        <w:r>
          <w:fldChar w:fldCharType="end"/>
        </w:r>
      </w:sdtContent>
    </w:sdt>
  </w:p>
  <w:p w14:paraId="43FA8FDE" w14:textId="77777777" w:rsidR="001D2CBE" w:rsidRDefault="001D2CB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FFDDF" w14:textId="33B2B8A7" w:rsidR="009A5251" w:rsidRDefault="009A5251">
    <w:pPr>
      <w:pStyle w:val="Footer"/>
    </w:pPr>
    <w:r>
      <w:rPr>
        <w:noProof/>
      </w:rPr>
      <mc:AlternateContent>
        <mc:Choice Requires="wps">
          <w:drawing>
            <wp:anchor distT="0" distB="0" distL="0" distR="0" simplePos="0" relativeHeight="251658240" behindDoc="0" locked="0" layoutInCell="1" allowOverlap="1" wp14:anchorId="6A62A22D" wp14:editId="7F417C6B">
              <wp:simplePos x="635" y="635"/>
              <wp:positionH relativeFrom="page">
                <wp:align>left</wp:align>
              </wp:positionH>
              <wp:positionV relativeFrom="page">
                <wp:align>bottom</wp:align>
              </wp:positionV>
              <wp:extent cx="2077085" cy="324485"/>
              <wp:effectExtent l="0" t="0" r="18415" b="0"/>
              <wp:wrapNone/>
              <wp:docPr id="1723571800"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5E9109B7" w14:textId="7D2E8ADE" w:rsidR="009A5251" w:rsidRPr="009A5251" w:rsidRDefault="009A5251" w:rsidP="009A5251">
                          <w:pPr>
                            <w:rPr>
                              <w:rFonts w:ascii="Rockwell" w:eastAsia="Rockwell" w:hAnsi="Rockwell" w:cs="Rockwell"/>
                              <w:noProof/>
                              <w:color w:val="0078D7"/>
                              <w:sz w:val="18"/>
                              <w:szCs w:val="18"/>
                            </w:rPr>
                          </w:pPr>
                          <w:r w:rsidRPr="009A5251">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A62A22D"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163.5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JjDwIAABsEAAAOAAAAZHJzL2Uyb0RvYy54bWysU01v2zAMvQ/YfxB0X+xkydoZcYqsRYYB&#10;QVsgHXqWZSk2IImCpMTOfv0o2Um2bqdhF/mJpPnx+LS867UiR+F8C6ak00lOiTAc6tbsS/r9ZfPh&#10;lhIfmKmZAiNKehKe3q3ev1t2thAzaEDVwhFMYnzR2ZI2IdgiyzxvhGZ+AlYYdEpwmgW8un1WO9Zh&#10;dq2yWZ5/yjpwtXXAhfdofRicdJXySyl4eJLSi0BUSbG3kE6Xziqe2WrJir1jtmn52Ab7hy40aw0W&#10;vaR6YIGRg2v/SKVb7sCDDBMOOgMpWy7SDDjNNH8zza5hVqRZkBxvLzT5/5eWPx539tmR0H+BHhcY&#10;CemsLzwa4zy9dDp+sVOCfqTwdKFN9IFwNM7ym5v8dkEJR9/H2XyOGNNk17+t8+GrAE0iKKnDtSS2&#10;2HHrwxB6DonFDGxapdJqlPnNgDmjJbu2GFHoq37su4L6hOM4GDbtLd+0WHPLfHhmDleLE6BcwxMe&#10;UkFXUhgRJQ24H3+zx3hkHL2UdCiVkhrUMiXqm8FNzBbzPI/SSjcE7gyqBKaf80X0m4O+B1ThFB+E&#10;5QnG4KDOUDrQr6jmdayGLmY41ixpdYb3YRAuvgYu1usUhCqyLGzNzvKYOpIVmXzpX5mzI90BF/UI&#10;ZzGx4g3rQ2z809v1ISD3aSWR2IHNkW9UYFrq+FqixH+9p6jrm179BAAA//8DAFBLAwQUAAYACAAA&#10;ACEA95LYyNoAAAAEAQAADwAAAGRycy9kb3ducmV2LnhtbEyPzU7DMBCE70i8g7VI3KiTIFIU4lRV&#10;+RFXQiU4OvE2jhqv03jbhrfHcIHLSqMZzXxbrmY3iBNOofekIF0kIJBab3rqFGzfn2/uQQTWZPTg&#10;CRV8YYBVdXlR6sL4M73hqeZOxBIKhVZgmcdCytBadDos/IgUvZ2fnOYop06aSZ9juRtkliS5dLqn&#10;uGD1iBuL7b4+OgX548vajh/552GXhdfQ+D3X/kmp66t5/QCCcea/MPzgR3SoIlPjj2SCGBTER/j3&#10;Ru82W6YgGgV3aQqyKuV/+OobAAD//wMAUEsBAi0AFAAGAAgAAAAhALaDOJL+AAAA4QEAABMAAAAA&#10;AAAAAAAAAAAAAAAAAFtDb250ZW50X1R5cGVzXS54bWxQSwECLQAUAAYACAAAACEAOP0h/9YAAACU&#10;AQAACwAAAAAAAAAAAAAAAAAvAQAAX3JlbHMvLnJlbHNQSwECLQAUAAYACAAAACEAdBwSYw8CAAAb&#10;BAAADgAAAAAAAAAAAAAAAAAuAgAAZHJzL2Uyb0RvYy54bWxQSwECLQAUAAYACAAAACEA95LYyNoA&#10;AAAEAQAADwAAAAAAAAAAAAAAAABpBAAAZHJzL2Rvd25yZXYueG1sUEsFBgAAAAAEAAQA8wAAAHAF&#10;AAAAAA==&#10;" filled="f" stroked="f">
              <v:fill o:detectmouseclick="t"/>
              <v:textbox style="mso-fit-shape-to-text:t" inset="20pt,0,0,15pt">
                <w:txbxContent>
                  <w:p w14:paraId="5E9109B7" w14:textId="7D2E8ADE" w:rsidR="009A5251" w:rsidRPr="009A5251" w:rsidRDefault="009A5251" w:rsidP="009A5251">
                    <w:pPr>
                      <w:rPr>
                        <w:rFonts w:ascii="Rockwell" w:eastAsia="Rockwell" w:hAnsi="Rockwell" w:cs="Rockwell"/>
                        <w:noProof/>
                        <w:color w:val="0078D7"/>
                        <w:sz w:val="18"/>
                        <w:szCs w:val="18"/>
                      </w:rPr>
                    </w:pPr>
                    <w:r w:rsidRPr="009A5251">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AF76ED6" w14:textId="77777777" w:rsidR="009A5251" w:rsidRDefault="009A5251">
      <w:r>
        <w:separator/>
      </w:r>
    </w:p>
  </w:footnote>
  <w:footnote w:type="continuationSeparator" w:id="0">
    <w:p w14:paraId="7A51622B" w14:textId="77777777" w:rsidR="009A5251" w:rsidRDefault="009A52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DE84AD" w14:textId="77777777" w:rsidR="001D2CBE" w:rsidRDefault="001D2CBE">
    <w:pPr>
      <w:pStyle w:val="Header"/>
      <w:pBdr>
        <w:bottom w:val="single" w:sz="4" w:space="1" w:color="FFFFFF" w:themeColor="background1"/>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3041363"/>
    <w:multiLevelType w:val="multilevel"/>
    <w:tmpl w:val="53041363"/>
    <w:lvl w:ilvl="0">
      <w:start w:val="7"/>
      <w:numFmt w:val="decimal"/>
      <w:lvlText w:val="%1"/>
      <w:lvlJc w:val="left"/>
      <w:pPr>
        <w:ind w:left="360" w:hanging="360"/>
      </w:pPr>
      <w:rPr>
        <w:rFonts w:hint="default"/>
      </w:rPr>
    </w:lvl>
    <w:lvl w:ilvl="1">
      <w:start w:val="2"/>
      <w:numFmt w:val="decimalZero"/>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num w:numId="1" w16cid:durableId="2010215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WQzZjIwMzllYzgzNmQ2ZTI0ZmE5NGEzMDAxZjQ3NWQifQ=="/>
  </w:docVars>
  <w:rsids>
    <w:rsidRoot w:val="004E25FC"/>
    <w:rsid w:val="000236D2"/>
    <w:rsid w:val="00025B40"/>
    <w:rsid w:val="00037077"/>
    <w:rsid w:val="000423A4"/>
    <w:rsid w:val="0005693B"/>
    <w:rsid w:val="000810C6"/>
    <w:rsid w:val="00084428"/>
    <w:rsid w:val="00090168"/>
    <w:rsid w:val="000920CD"/>
    <w:rsid w:val="00093267"/>
    <w:rsid w:val="000B42B7"/>
    <w:rsid w:val="000B506C"/>
    <w:rsid w:val="000C670C"/>
    <w:rsid w:val="000D095E"/>
    <w:rsid w:val="000D0DCE"/>
    <w:rsid w:val="000D5800"/>
    <w:rsid w:val="000D77B0"/>
    <w:rsid w:val="000E7EE3"/>
    <w:rsid w:val="00101331"/>
    <w:rsid w:val="00101AB2"/>
    <w:rsid w:val="001104A4"/>
    <w:rsid w:val="00112D52"/>
    <w:rsid w:val="00124EC3"/>
    <w:rsid w:val="001252C7"/>
    <w:rsid w:val="001268FF"/>
    <w:rsid w:val="00130E54"/>
    <w:rsid w:val="0013156C"/>
    <w:rsid w:val="00136DAC"/>
    <w:rsid w:val="00144410"/>
    <w:rsid w:val="00145BCF"/>
    <w:rsid w:val="0015341B"/>
    <w:rsid w:val="00153C3A"/>
    <w:rsid w:val="00157A5F"/>
    <w:rsid w:val="00161762"/>
    <w:rsid w:val="00183200"/>
    <w:rsid w:val="00193BC4"/>
    <w:rsid w:val="0019439A"/>
    <w:rsid w:val="001A2499"/>
    <w:rsid w:val="001A57CD"/>
    <w:rsid w:val="001B223C"/>
    <w:rsid w:val="001C0361"/>
    <w:rsid w:val="001C0ECD"/>
    <w:rsid w:val="001C4FF9"/>
    <w:rsid w:val="001D2CBE"/>
    <w:rsid w:val="001E2A8B"/>
    <w:rsid w:val="001E2D34"/>
    <w:rsid w:val="00201016"/>
    <w:rsid w:val="002071A7"/>
    <w:rsid w:val="00216D4C"/>
    <w:rsid w:val="0022021A"/>
    <w:rsid w:val="0022582A"/>
    <w:rsid w:val="002341E2"/>
    <w:rsid w:val="0024527A"/>
    <w:rsid w:val="002458F7"/>
    <w:rsid w:val="002866E8"/>
    <w:rsid w:val="00290A0B"/>
    <w:rsid w:val="00296AEA"/>
    <w:rsid w:val="0029708E"/>
    <w:rsid w:val="00297967"/>
    <w:rsid w:val="002C2C2F"/>
    <w:rsid w:val="002C4EDD"/>
    <w:rsid w:val="002D3CD7"/>
    <w:rsid w:val="002E4CBD"/>
    <w:rsid w:val="002F0CEB"/>
    <w:rsid w:val="002F4525"/>
    <w:rsid w:val="003105C9"/>
    <w:rsid w:val="00315B85"/>
    <w:rsid w:val="00332DB0"/>
    <w:rsid w:val="00347ACF"/>
    <w:rsid w:val="00350FF0"/>
    <w:rsid w:val="003A0008"/>
    <w:rsid w:val="003A11F2"/>
    <w:rsid w:val="003A409C"/>
    <w:rsid w:val="003A57DF"/>
    <w:rsid w:val="003A73AA"/>
    <w:rsid w:val="003A7DB8"/>
    <w:rsid w:val="003E3EBD"/>
    <w:rsid w:val="003F203E"/>
    <w:rsid w:val="003F3ABA"/>
    <w:rsid w:val="00423BC0"/>
    <w:rsid w:val="00424B47"/>
    <w:rsid w:val="00442550"/>
    <w:rsid w:val="004677D4"/>
    <w:rsid w:val="0047312E"/>
    <w:rsid w:val="004961B6"/>
    <w:rsid w:val="004B3D9A"/>
    <w:rsid w:val="004C7A9A"/>
    <w:rsid w:val="004D28FA"/>
    <w:rsid w:val="004D43ED"/>
    <w:rsid w:val="004E153C"/>
    <w:rsid w:val="004E25FC"/>
    <w:rsid w:val="004E76B3"/>
    <w:rsid w:val="004F4B4B"/>
    <w:rsid w:val="004F4D60"/>
    <w:rsid w:val="00510DC6"/>
    <w:rsid w:val="005113C1"/>
    <w:rsid w:val="00517149"/>
    <w:rsid w:val="00525631"/>
    <w:rsid w:val="0052648D"/>
    <w:rsid w:val="005362AE"/>
    <w:rsid w:val="00544D41"/>
    <w:rsid w:val="005503A5"/>
    <w:rsid w:val="00586A55"/>
    <w:rsid w:val="0059635F"/>
    <w:rsid w:val="005B1948"/>
    <w:rsid w:val="005B7722"/>
    <w:rsid w:val="005C7675"/>
    <w:rsid w:val="005D0509"/>
    <w:rsid w:val="005D10F5"/>
    <w:rsid w:val="005F101F"/>
    <w:rsid w:val="00600759"/>
    <w:rsid w:val="0060185F"/>
    <w:rsid w:val="006144E1"/>
    <w:rsid w:val="006152E7"/>
    <w:rsid w:val="006342D3"/>
    <w:rsid w:val="00655DE1"/>
    <w:rsid w:val="00657389"/>
    <w:rsid w:val="0066361E"/>
    <w:rsid w:val="00667706"/>
    <w:rsid w:val="00675E6E"/>
    <w:rsid w:val="00677245"/>
    <w:rsid w:val="006806D3"/>
    <w:rsid w:val="00681642"/>
    <w:rsid w:val="00692C76"/>
    <w:rsid w:val="006958CB"/>
    <w:rsid w:val="006B04B8"/>
    <w:rsid w:val="006B3B25"/>
    <w:rsid w:val="006E064F"/>
    <w:rsid w:val="006E1035"/>
    <w:rsid w:val="006E1142"/>
    <w:rsid w:val="006E1B29"/>
    <w:rsid w:val="006E4031"/>
    <w:rsid w:val="00707C7C"/>
    <w:rsid w:val="00710633"/>
    <w:rsid w:val="00731AC5"/>
    <w:rsid w:val="00740AD5"/>
    <w:rsid w:val="00741FC3"/>
    <w:rsid w:val="00744B08"/>
    <w:rsid w:val="0075616A"/>
    <w:rsid w:val="00757F5E"/>
    <w:rsid w:val="007664D9"/>
    <w:rsid w:val="00785CC7"/>
    <w:rsid w:val="007874C6"/>
    <w:rsid w:val="0079130B"/>
    <w:rsid w:val="00793810"/>
    <w:rsid w:val="00794D60"/>
    <w:rsid w:val="00797844"/>
    <w:rsid w:val="007A2619"/>
    <w:rsid w:val="007A39ED"/>
    <w:rsid w:val="007A4DFA"/>
    <w:rsid w:val="007C0590"/>
    <w:rsid w:val="007C1CA9"/>
    <w:rsid w:val="007D750B"/>
    <w:rsid w:val="00801CC7"/>
    <w:rsid w:val="00801E93"/>
    <w:rsid w:val="00801FDF"/>
    <w:rsid w:val="00813072"/>
    <w:rsid w:val="008200D9"/>
    <w:rsid w:val="0083412D"/>
    <w:rsid w:val="0083417D"/>
    <w:rsid w:val="008516FB"/>
    <w:rsid w:val="00854F89"/>
    <w:rsid w:val="0085615A"/>
    <w:rsid w:val="00865DE5"/>
    <w:rsid w:val="00897A80"/>
    <w:rsid w:val="008A4328"/>
    <w:rsid w:val="008B1F72"/>
    <w:rsid w:val="008C3719"/>
    <w:rsid w:val="008D2578"/>
    <w:rsid w:val="008D67C3"/>
    <w:rsid w:val="008F167C"/>
    <w:rsid w:val="00902E45"/>
    <w:rsid w:val="00914237"/>
    <w:rsid w:val="00937F48"/>
    <w:rsid w:val="009435CC"/>
    <w:rsid w:val="00953919"/>
    <w:rsid w:val="00971F44"/>
    <w:rsid w:val="0098494C"/>
    <w:rsid w:val="00987400"/>
    <w:rsid w:val="009A5251"/>
    <w:rsid w:val="009C4183"/>
    <w:rsid w:val="009C7703"/>
    <w:rsid w:val="009D2264"/>
    <w:rsid w:val="009F2202"/>
    <w:rsid w:val="009F54DB"/>
    <w:rsid w:val="00A0586F"/>
    <w:rsid w:val="00A15063"/>
    <w:rsid w:val="00A15816"/>
    <w:rsid w:val="00A25F0F"/>
    <w:rsid w:val="00A31B60"/>
    <w:rsid w:val="00A63674"/>
    <w:rsid w:val="00A705B3"/>
    <w:rsid w:val="00A72334"/>
    <w:rsid w:val="00A738D1"/>
    <w:rsid w:val="00A8153D"/>
    <w:rsid w:val="00A81DA0"/>
    <w:rsid w:val="00AA7595"/>
    <w:rsid w:val="00AB484B"/>
    <w:rsid w:val="00AD07D6"/>
    <w:rsid w:val="00AD7AAB"/>
    <w:rsid w:val="00AE1568"/>
    <w:rsid w:val="00B15D9D"/>
    <w:rsid w:val="00B16534"/>
    <w:rsid w:val="00B31137"/>
    <w:rsid w:val="00B33D83"/>
    <w:rsid w:val="00B47C39"/>
    <w:rsid w:val="00B528BF"/>
    <w:rsid w:val="00B53395"/>
    <w:rsid w:val="00B5517F"/>
    <w:rsid w:val="00B66332"/>
    <w:rsid w:val="00B666B8"/>
    <w:rsid w:val="00B744B8"/>
    <w:rsid w:val="00B773DE"/>
    <w:rsid w:val="00B87F60"/>
    <w:rsid w:val="00BC00BB"/>
    <w:rsid w:val="00BC76CA"/>
    <w:rsid w:val="00BD5AB6"/>
    <w:rsid w:val="00BD7F02"/>
    <w:rsid w:val="00C0630F"/>
    <w:rsid w:val="00C17159"/>
    <w:rsid w:val="00C208B8"/>
    <w:rsid w:val="00C232B9"/>
    <w:rsid w:val="00C36981"/>
    <w:rsid w:val="00C41831"/>
    <w:rsid w:val="00C4684D"/>
    <w:rsid w:val="00C57AE0"/>
    <w:rsid w:val="00C60578"/>
    <w:rsid w:val="00C82B2F"/>
    <w:rsid w:val="00C833F3"/>
    <w:rsid w:val="00C95B0B"/>
    <w:rsid w:val="00CA46D4"/>
    <w:rsid w:val="00CA67E3"/>
    <w:rsid w:val="00CB087E"/>
    <w:rsid w:val="00CB6D56"/>
    <w:rsid w:val="00CB77E7"/>
    <w:rsid w:val="00CC7D62"/>
    <w:rsid w:val="00CD4269"/>
    <w:rsid w:val="00CD5E2C"/>
    <w:rsid w:val="00CE2027"/>
    <w:rsid w:val="00CE7D18"/>
    <w:rsid w:val="00CE7F69"/>
    <w:rsid w:val="00CF5DD5"/>
    <w:rsid w:val="00CF7222"/>
    <w:rsid w:val="00D03879"/>
    <w:rsid w:val="00D1159B"/>
    <w:rsid w:val="00D11AA3"/>
    <w:rsid w:val="00D11D61"/>
    <w:rsid w:val="00D21896"/>
    <w:rsid w:val="00D24CD4"/>
    <w:rsid w:val="00D31BF2"/>
    <w:rsid w:val="00D321B4"/>
    <w:rsid w:val="00D323D4"/>
    <w:rsid w:val="00D34820"/>
    <w:rsid w:val="00D43909"/>
    <w:rsid w:val="00D448BD"/>
    <w:rsid w:val="00D45554"/>
    <w:rsid w:val="00D53074"/>
    <w:rsid w:val="00D56675"/>
    <w:rsid w:val="00D70BEB"/>
    <w:rsid w:val="00D762E5"/>
    <w:rsid w:val="00D913FC"/>
    <w:rsid w:val="00DA179C"/>
    <w:rsid w:val="00DB0066"/>
    <w:rsid w:val="00DB0681"/>
    <w:rsid w:val="00DB3EB2"/>
    <w:rsid w:val="00DC33AB"/>
    <w:rsid w:val="00DD6BD1"/>
    <w:rsid w:val="00DD77FC"/>
    <w:rsid w:val="00DD7DFC"/>
    <w:rsid w:val="00DE31A6"/>
    <w:rsid w:val="00DE407C"/>
    <w:rsid w:val="00DF54F7"/>
    <w:rsid w:val="00DF69DC"/>
    <w:rsid w:val="00DF6C68"/>
    <w:rsid w:val="00E07D15"/>
    <w:rsid w:val="00E1159F"/>
    <w:rsid w:val="00E16E3E"/>
    <w:rsid w:val="00E31206"/>
    <w:rsid w:val="00E36A33"/>
    <w:rsid w:val="00E37EBC"/>
    <w:rsid w:val="00E52A91"/>
    <w:rsid w:val="00E55263"/>
    <w:rsid w:val="00E63FA8"/>
    <w:rsid w:val="00E72DBC"/>
    <w:rsid w:val="00E7326E"/>
    <w:rsid w:val="00E73B52"/>
    <w:rsid w:val="00E743FC"/>
    <w:rsid w:val="00E74C0A"/>
    <w:rsid w:val="00E810F7"/>
    <w:rsid w:val="00E870F3"/>
    <w:rsid w:val="00E9062F"/>
    <w:rsid w:val="00ED0622"/>
    <w:rsid w:val="00ED221E"/>
    <w:rsid w:val="00ED2C78"/>
    <w:rsid w:val="00ED603B"/>
    <w:rsid w:val="00ED7CD2"/>
    <w:rsid w:val="00EE1F06"/>
    <w:rsid w:val="00EE6149"/>
    <w:rsid w:val="00EE7EEF"/>
    <w:rsid w:val="00EF43D8"/>
    <w:rsid w:val="00F230BA"/>
    <w:rsid w:val="00F26CA2"/>
    <w:rsid w:val="00F35B01"/>
    <w:rsid w:val="00F4018B"/>
    <w:rsid w:val="00F5768D"/>
    <w:rsid w:val="00F636E8"/>
    <w:rsid w:val="00F66834"/>
    <w:rsid w:val="00F715BB"/>
    <w:rsid w:val="00F722D3"/>
    <w:rsid w:val="00F77256"/>
    <w:rsid w:val="00F8013C"/>
    <w:rsid w:val="00F8050C"/>
    <w:rsid w:val="00F84105"/>
    <w:rsid w:val="00F91ED7"/>
    <w:rsid w:val="00F92A17"/>
    <w:rsid w:val="00F9434A"/>
    <w:rsid w:val="00F94491"/>
    <w:rsid w:val="00F95ADB"/>
    <w:rsid w:val="00F96A51"/>
    <w:rsid w:val="00FA5D7F"/>
    <w:rsid w:val="00FA7A43"/>
    <w:rsid w:val="00FC10A4"/>
    <w:rsid w:val="00FC36BA"/>
    <w:rsid w:val="00FC5112"/>
    <w:rsid w:val="00FC7FA6"/>
    <w:rsid w:val="00FE4A09"/>
    <w:rsid w:val="00FF2D21"/>
    <w:rsid w:val="04E377CC"/>
    <w:rsid w:val="061C31DC"/>
    <w:rsid w:val="0BC65752"/>
    <w:rsid w:val="0CEA19A3"/>
    <w:rsid w:val="113A1401"/>
    <w:rsid w:val="131F798B"/>
    <w:rsid w:val="145E381E"/>
    <w:rsid w:val="15D361A8"/>
    <w:rsid w:val="169F1276"/>
    <w:rsid w:val="17CF65B8"/>
    <w:rsid w:val="1DC32E8B"/>
    <w:rsid w:val="249E5772"/>
    <w:rsid w:val="2A9D5A63"/>
    <w:rsid w:val="2D087445"/>
    <w:rsid w:val="2EFC4E63"/>
    <w:rsid w:val="320D7D85"/>
    <w:rsid w:val="356E5E6D"/>
    <w:rsid w:val="383F7ACE"/>
    <w:rsid w:val="385D56EE"/>
    <w:rsid w:val="3BCD0BEE"/>
    <w:rsid w:val="513C002C"/>
    <w:rsid w:val="567B525D"/>
    <w:rsid w:val="56FC7846"/>
    <w:rsid w:val="59D800F7"/>
    <w:rsid w:val="5B4C0D64"/>
    <w:rsid w:val="5DAE6179"/>
    <w:rsid w:val="626A0A4E"/>
    <w:rsid w:val="64EF5CC1"/>
    <w:rsid w:val="67492A58"/>
    <w:rsid w:val="6B5177D2"/>
    <w:rsid w:val="6D5910F7"/>
    <w:rsid w:val="720339FD"/>
    <w:rsid w:val="76B10E4B"/>
    <w:rsid w:val="781829E0"/>
    <w:rsid w:val="7A6976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A43A706"/>
  <w14:defaultImageDpi w14:val="32767"/>
  <w15:docId w15:val="{483F71B3-F7CF-4F3B-8A6F-353F408783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qFormat="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qFormat="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qFormat/>
    <w:pPr>
      <w:widowControl w:val="0"/>
      <w:jc w:val="both"/>
    </w:pPr>
    <w:rPr>
      <w:rFonts w:asciiTheme="minorHAnsi" w:eastAsiaTheme="minorEastAsia" w:hAnsiTheme="minorHAnsi" w:cstheme="minorBidi"/>
      <w:kern w:val="2"/>
      <w:sz w:val="21"/>
      <w:szCs w:val="22"/>
      <w:lang w:val="en-US" w:eastAsia="zh-CN"/>
    </w:rPr>
  </w:style>
  <w:style w:type="paragraph" w:styleId="Heading1">
    <w:name w:val="heading 1"/>
    <w:basedOn w:val="Normal"/>
    <w:next w:val="Normal"/>
    <w:link w:val="Heading1Char"/>
    <w:uiPriority w:val="9"/>
    <w:qFormat/>
    <w:pPr>
      <w:keepNext/>
      <w:keepLines/>
      <w:spacing w:before="340" w:after="330" w:line="578" w:lineRule="auto"/>
      <w:outlineLvl w:val="0"/>
    </w:pPr>
    <w:rPr>
      <w:b/>
      <w:bCs/>
      <w:kern w:val="44"/>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AHeading">
    <w:name w:val="toa heading"/>
    <w:basedOn w:val="Normal"/>
    <w:next w:val="Normal"/>
    <w:uiPriority w:val="99"/>
    <w:semiHidden/>
    <w:unhideWhenUsed/>
    <w:qFormat/>
    <w:pPr>
      <w:spacing w:before="120"/>
    </w:pPr>
    <w:rPr>
      <w:rFonts w:asciiTheme="majorHAnsi" w:eastAsiaTheme="majorEastAsia" w:hAnsiTheme="majorHAnsi" w:cstheme="majorBidi"/>
      <w:b/>
      <w:bCs/>
      <w:sz w:val="24"/>
      <w:szCs w:val="24"/>
    </w:rPr>
  </w:style>
  <w:style w:type="paragraph" w:styleId="CommentText">
    <w:name w:val="annotation text"/>
    <w:basedOn w:val="Normal"/>
    <w:link w:val="CommentTextChar"/>
    <w:uiPriority w:val="99"/>
    <w:semiHidden/>
    <w:unhideWhenUsed/>
    <w:qFormat/>
    <w:pPr>
      <w:jc w:val="left"/>
    </w:pPr>
  </w:style>
  <w:style w:type="paragraph" w:styleId="BalloonText">
    <w:name w:val="Balloon Text"/>
    <w:basedOn w:val="Normal"/>
    <w:link w:val="BalloonTextChar"/>
    <w:uiPriority w:val="99"/>
    <w:semiHidden/>
    <w:unhideWhenUsed/>
    <w:qFormat/>
    <w:rPr>
      <w:sz w:val="18"/>
      <w:szCs w:val="18"/>
    </w:rPr>
  </w:style>
  <w:style w:type="paragraph" w:styleId="Footer">
    <w:name w:val="footer"/>
    <w:basedOn w:val="Normal"/>
    <w:link w:val="FooterChar"/>
    <w:uiPriority w:val="99"/>
    <w:unhideWhenUsed/>
    <w:qFormat/>
    <w:pPr>
      <w:tabs>
        <w:tab w:val="center" w:pos="4153"/>
        <w:tab w:val="right" w:pos="8306"/>
      </w:tabs>
      <w:snapToGrid w:val="0"/>
      <w:jc w:val="left"/>
    </w:pPr>
    <w:rPr>
      <w:sz w:val="18"/>
      <w:szCs w:val="18"/>
    </w:rPr>
  </w:style>
  <w:style w:type="paragraph" w:styleId="Header">
    <w:name w:val="header"/>
    <w:basedOn w:val="Normal"/>
    <w:link w:val="HeaderChar"/>
    <w:uiPriority w:val="99"/>
    <w:unhideWhenUsed/>
    <w:qFormat/>
    <w:pPr>
      <w:pBdr>
        <w:bottom w:val="single" w:sz="6" w:space="1" w:color="auto"/>
      </w:pBdr>
      <w:tabs>
        <w:tab w:val="center" w:pos="4153"/>
        <w:tab w:val="right" w:pos="8306"/>
      </w:tabs>
      <w:snapToGrid w:val="0"/>
      <w:jc w:val="center"/>
    </w:pPr>
    <w:rPr>
      <w:sz w:val="18"/>
      <w:szCs w:val="18"/>
    </w:rPr>
  </w:style>
  <w:style w:type="paragraph" w:styleId="FootnoteText">
    <w:name w:val="footnote text"/>
    <w:basedOn w:val="Normal"/>
    <w:link w:val="FootnoteTextChar"/>
    <w:uiPriority w:val="99"/>
    <w:unhideWhenUsed/>
    <w:qFormat/>
    <w:pPr>
      <w:snapToGrid w:val="0"/>
      <w:jc w:val="left"/>
    </w:pPr>
    <w:rPr>
      <w:sz w:val="18"/>
      <w:szCs w:val="18"/>
    </w:rPr>
  </w:style>
  <w:style w:type="paragraph" w:styleId="CommentSubject">
    <w:name w:val="annotation subject"/>
    <w:basedOn w:val="CommentText"/>
    <w:next w:val="CommentText"/>
    <w:link w:val="CommentSubjectChar"/>
    <w:uiPriority w:val="99"/>
    <w:semiHidden/>
    <w:unhideWhenUsed/>
    <w:qFormat/>
    <w:rPr>
      <w:b/>
      <w:bCs/>
    </w:rPr>
  </w:style>
  <w:style w:type="character" w:styleId="Hyperlink">
    <w:name w:val="Hyperlink"/>
    <w:basedOn w:val="DefaultParagraphFont"/>
    <w:uiPriority w:val="99"/>
    <w:unhideWhenUsed/>
    <w:qFormat/>
    <w:rPr>
      <w:color w:val="0000FF"/>
      <w:u w:val="single"/>
    </w:rPr>
  </w:style>
  <w:style w:type="character" w:styleId="CommentReference">
    <w:name w:val="annotation reference"/>
    <w:basedOn w:val="DefaultParagraphFont"/>
    <w:uiPriority w:val="99"/>
    <w:semiHidden/>
    <w:unhideWhenUsed/>
    <w:qFormat/>
    <w:rPr>
      <w:sz w:val="21"/>
      <w:szCs w:val="21"/>
    </w:rPr>
  </w:style>
  <w:style w:type="character" w:styleId="FootnoteReference">
    <w:name w:val="footnote reference"/>
    <w:basedOn w:val="DefaultParagraphFont"/>
    <w:uiPriority w:val="99"/>
    <w:semiHidden/>
    <w:unhideWhenUsed/>
    <w:qFormat/>
    <w:rPr>
      <w:vertAlign w:val="superscript"/>
    </w:rPr>
  </w:style>
  <w:style w:type="paragraph" w:styleId="ListParagraph">
    <w:name w:val="List Paragraph"/>
    <w:basedOn w:val="Normal"/>
    <w:uiPriority w:val="34"/>
    <w:qFormat/>
    <w:pPr>
      <w:ind w:firstLineChars="200" w:firstLine="420"/>
    </w:pPr>
  </w:style>
  <w:style w:type="character" w:customStyle="1" w:styleId="Heading1Char">
    <w:name w:val="Heading 1 Char"/>
    <w:basedOn w:val="DefaultParagraphFont"/>
    <w:link w:val="Heading1"/>
    <w:uiPriority w:val="9"/>
    <w:qFormat/>
    <w:rPr>
      <w:b/>
      <w:bCs/>
      <w:kern w:val="44"/>
      <w:sz w:val="44"/>
      <w:szCs w:val="44"/>
    </w:rPr>
  </w:style>
  <w:style w:type="character" w:customStyle="1" w:styleId="HeaderChar">
    <w:name w:val="Header Char"/>
    <w:basedOn w:val="DefaultParagraphFont"/>
    <w:link w:val="Header"/>
    <w:uiPriority w:val="99"/>
    <w:qFormat/>
    <w:rPr>
      <w:sz w:val="18"/>
      <w:szCs w:val="18"/>
    </w:rPr>
  </w:style>
  <w:style w:type="character" w:customStyle="1" w:styleId="FooterChar">
    <w:name w:val="Footer Char"/>
    <w:basedOn w:val="DefaultParagraphFont"/>
    <w:link w:val="Footer"/>
    <w:uiPriority w:val="99"/>
    <w:qFormat/>
    <w:rPr>
      <w:sz w:val="18"/>
      <w:szCs w:val="18"/>
    </w:rPr>
  </w:style>
  <w:style w:type="character" w:customStyle="1" w:styleId="1">
    <w:name w:val="未处理的提及1"/>
    <w:basedOn w:val="DefaultParagraphFont"/>
    <w:uiPriority w:val="99"/>
    <w:semiHidden/>
    <w:unhideWhenUsed/>
    <w:qFormat/>
    <w:rPr>
      <w:color w:val="605E5C"/>
      <w:shd w:val="clear" w:color="auto" w:fill="E1DFDD"/>
    </w:rPr>
  </w:style>
  <w:style w:type="character" w:customStyle="1" w:styleId="BalloonTextChar">
    <w:name w:val="Balloon Text Char"/>
    <w:basedOn w:val="DefaultParagraphFont"/>
    <w:link w:val="BalloonText"/>
    <w:uiPriority w:val="99"/>
    <w:semiHidden/>
    <w:qFormat/>
    <w:rPr>
      <w:kern w:val="2"/>
      <w:sz w:val="18"/>
      <w:szCs w:val="18"/>
    </w:rPr>
  </w:style>
  <w:style w:type="character" w:customStyle="1" w:styleId="CommentTextChar">
    <w:name w:val="Comment Text Char"/>
    <w:basedOn w:val="DefaultParagraphFont"/>
    <w:link w:val="CommentText"/>
    <w:uiPriority w:val="99"/>
    <w:semiHidden/>
    <w:qFormat/>
    <w:rPr>
      <w:kern w:val="2"/>
      <w:sz w:val="21"/>
      <w:szCs w:val="22"/>
    </w:rPr>
  </w:style>
  <w:style w:type="character" w:customStyle="1" w:styleId="CommentSubjectChar">
    <w:name w:val="Comment Subject Char"/>
    <w:basedOn w:val="CommentTextChar"/>
    <w:link w:val="CommentSubject"/>
    <w:uiPriority w:val="99"/>
    <w:semiHidden/>
    <w:qFormat/>
    <w:rPr>
      <w:b/>
      <w:bCs/>
      <w:kern w:val="2"/>
      <w:sz w:val="21"/>
      <w:szCs w:val="22"/>
    </w:rPr>
  </w:style>
  <w:style w:type="character" w:customStyle="1" w:styleId="2">
    <w:name w:val="未处理的提及2"/>
    <w:basedOn w:val="DefaultParagraphFont"/>
    <w:uiPriority w:val="99"/>
    <w:semiHidden/>
    <w:unhideWhenUsed/>
    <w:qFormat/>
    <w:rPr>
      <w:color w:val="605E5C"/>
      <w:shd w:val="clear" w:color="auto" w:fill="E1DFDD"/>
    </w:rPr>
  </w:style>
  <w:style w:type="character" w:customStyle="1" w:styleId="FootnoteTextChar">
    <w:name w:val="Footnote Text Char"/>
    <w:basedOn w:val="DefaultParagraphFont"/>
    <w:link w:val="FootnoteText"/>
    <w:uiPriority w:val="99"/>
    <w:qFormat/>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s://extranet.who.int/e-spar" TargetMode="External"/><Relationship Id="rId18" Type="http://schemas.openxmlformats.org/officeDocument/2006/relationships/image" Target="media/image1.png"/><Relationship Id="rId3" Type="http://schemas.openxmlformats.org/officeDocument/2006/relationships/styles" Target="styles.xml"/><Relationship Id="rId21" Type="http://schemas.openxmlformats.org/officeDocument/2006/relationships/image" Target="media/image4.jpeg"/><Relationship Id="rId7" Type="http://schemas.openxmlformats.org/officeDocument/2006/relationships/endnotes" Target="endnotes.xml"/><Relationship Id="rId12" Type="http://schemas.openxmlformats.org/officeDocument/2006/relationships/hyperlink" Target="https://climateknowledgeportal.worldbank.org/download-data" TargetMode="External"/><Relationship Id="rId17" Type="http://schemas.openxmlformats.org/officeDocument/2006/relationships/hyperlink" Target="https://apps.who.int/gho/data/node.main"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databank.worldbank.org/source/world-development-indicators" TargetMode="External"/><Relationship Id="rId20" Type="http://schemas.openxmlformats.org/officeDocument/2006/relationships/image" Target="media/image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vizhub.healthdata.org/gbd-results/" TargetMode="External"/><Relationship Id="rId23" Type="http://schemas.openxmlformats.org/officeDocument/2006/relationships/image" Target="media/image6.jpeg"/><Relationship Id="rId10" Type="http://schemas.openxmlformats.org/officeDocument/2006/relationships/footer" Target="footer2.xml"/><Relationship Id="rId19"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ghdx.healthdata.org/record/global-burden-disease-study-2019-gbd-2019-air-pollution-exposure-estimates-1990-2019" TargetMode="External"/><Relationship Id="rId22" Type="http://schemas.openxmlformats.org/officeDocument/2006/relationships/image" Target="media/image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B8662D-49A8-46E7-87D3-CCEF7E805D80}">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8775</Words>
  <Characters>50023</Characters>
  <Application>Microsoft Office Word</Application>
  <DocSecurity>0</DocSecurity>
  <Lines>416</Lines>
  <Paragraphs>117</Paragraphs>
  <ScaleCrop>false</ScaleCrop>
  <Company/>
  <LinksUpToDate>false</LinksUpToDate>
  <CharactersWithSpaces>58681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cf</dc:creator>
  <cp:lastModifiedBy>Pratt, Lucas</cp:lastModifiedBy>
  <cp:revision>2</cp:revision>
  <dcterms:created xsi:type="dcterms:W3CDTF">2024-12-06T01:59:00Z</dcterms:created>
  <dcterms:modified xsi:type="dcterms:W3CDTF">2024-12-06T01:59:00Z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2052-12.1.0.19199</vt:lpwstr>
  </property>
  <property fmtid="{D5CDD505-2E9C-101B-9397-08002B2CF9AE}" pid="3" name="ICV">
    <vt:lpwstr>5839CE7C32144DE0B768CD36E9EEAF24_13</vt:lpwstr>
  </property>
  <property fmtid="{D5CDD505-2E9C-101B-9397-08002B2CF9AE}" pid="4" name="ZOTERO_PREF_1">
    <vt:lpwstr>&lt;data data-version="3" zotero-version="6.0.36"&gt;&lt;session id="O7BLyfGX"/&gt;&lt;style id="http://www.zotero.org/styles/vancouver" locale="zh-CN" hasBibliography="1" bibliographyStyleHasBeenSet="0"/&gt;&lt;prefs&gt;&lt;pref name="fieldType" value="Field"/&gt;&lt;pref name="automati</vt:lpwstr>
  </property>
  <property fmtid="{D5CDD505-2E9C-101B-9397-08002B2CF9AE}" pid="5" name="ZOTERO_PREF_2">
    <vt:lpwstr>cJournalAbbreviations" value="true"/&gt;&lt;/prefs&gt;&lt;/data&gt;</vt:lpwstr>
  </property>
  <property fmtid="{D5CDD505-2E9C-101B-9397-08002B2CF9AE}" pid="6" name="ClassificationContentMarkingFooterShapeIds">
    <vt:lpwstr>66bb9e58,33c94274,153d8659</vt:lpwstr>
  </property>
  <property fmtid="{D5CDD505-2E9C-101B-9397-08002B2CF9AE}" pid="7" name="ClassificationContentMarkingFooterFontProps">
    <vt:lpwstr>#0078d7,9,Rockwell</vt:lpwstr>
  </property>
  <property fmtid="{D5CDD505-2E9C-101B-9397-08002B2CF9AE}" pid="8" name="ClassificationContentMarkingFooterText">
    <vt:lpwstr>Information Classification: General</vt:lpwstr>
  </property>
  <property fmtid="{D5CDD505-2E9C-101B-9397-08002B2CF9AE}" pid="9" name="MSIP_Label_2bbab825-a111-45e4-86a1-18cee0005896_Enabled">
    <vt:lpwstr>true</vt:lpwstr>
  </property>
  <property fmtid="{D5CDD505-2E9C-101B-9397-08002B2CF9AE}" pid="10" name="MSIP_Label_2bbab825-a111-45e4-86a1-18cee0005896_SetDate">
    <vt:lpwstr>2024-12-06T01:59:59Z</vt:lpwstr>
  </property>
  <property fmtid="{D5CDD505-2E9C-101B-9397-08002B2CF9AE}" pid="11" name="MSIP_Label_2bbab825-a111-45e4-86a1-18cee0005896_Method">
    <vt:lpwstr>Standard</vt:lpwstr>
  </property>
  <property fmtid="{D5CDD505-2E9C-101B-9397-08002B2CF9AE}" pid="12" name="MSIP_Label_2bbab825-a111-45e4-86a1-18cee0005896_Name">
    <vt:lpwstr>2bbab825-a111-45e4-86a1-18cee0005896</vt:lpwstr>
  </property>
  <property fmtid="{D5CDD505-2E9C-101B-9397-08002B2CF9AE}" pid="13" name="MSIP_Label_2bbab825-a111-45e4-86a1-18cee0005896_SiteId">
    <vt:lpwstr>2567d566-604c-408a-8a60-55d0dc9d9d6b</vt:lpwstr>
  </property>
  <property fmtid="{D5CDD505-2E9C-101B-9397-08002B2CF9AE}" pid="14" name="MSIP_Label_2bbab825-a111-45e4-86a1-18cee0005896_ActionId">
    <vt:lpwstr>24504092-5e16-4c49-82f0-5d50d3c6f485</vt:lpwstr>
  </property>
  <property fmtid="{D5CDD505-2E9C-101B-9397-08002B2CF9AE}" pid="15" name="MSIP_Label_2bbab825-a111-45e4-86a1-18cee0005896_ContentBits">
    <vt:lpwstr>2</vt:lpwstr>
  </property>
</Properties>
</file>