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DD8604">
      <w:pPr>
        <w:spacing w:line="480" w:lineRule="auto"/>
        <w:jc w:val="center"/>
        <w:rPr>
          <w:rFonts w:ascii="Times New Roman" w:hAnsi="Times New Roman" w:cs="Times New Roman"/>
          <w:b/>
          <w:bCs/>
          <w:sz w:val="24"/>
        </w:rPr>
      </w:pPr>
      <w:r>
        <w:rPr>
          <w:rFonts w:ascii="Times New Roman" w:hAnsi="Times New Roman" w:cs="Times New Roman"/>
          <w:b/>
          <w:bCs/>
          <w:sz w:val="24"/>
        </w:rPr>
        <w:drawing>
          <wp:inline distT="0" distB="0" distL="0" distR="0">
            <wp:extent cx="4680585" cy="3754120"/>
            <wp:effectExtent l="0" t="0" r="0" b="17780"/>
            <wp:docPr id="302698370" name="图片 1" descr="图片包含 黑暗, 照片, 亮, 灯光&#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698370" name="图片 1" descr="图片包含 黑暗, 照片, 亮, 灯光&#10;&#10;描述已自动生成"/>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80585" cy="3754120"/>
                    </a:xfrm>
                    <a:prstGeom prst="rect">
                      <a:avLst/>
                    </a:prstGeom>
                  </pic:spPr>
                </pic:pic>
              </a:graphicData>
            </a:graphic>
          </wp:inline>
        </w:drawing>
      </w:r>
    </w:p>
    <w:p w14:paraId="3D6B10BC">
      <w:pPr>
        <w:spacing w:line="480" w:lineRule="auto"/>
        <w:ind w:firstLine="482" w:firstLineChars="200"/>
        <w:jc w:val="left"/>
        <w:rPr>
          <w:rFonts w:ascii="Times New Roman" w:hAnsi="Times New Roman" w:cs="Times New Roman"/>
          <w:b/>
          <w:bCs/>
          <w:sz w:val="24"/>
        </w:rPr>
      </w:pPr>
      <w:r>
        <w:rPr>
          <w:rFonts w:ascii="Times New Roman" w:hAnsi="Times New Roman" w:cs="Times New Roman"/>
          <w:b/>
          <w:bCs/>
          <w:sz w:val="24"/>
        </w:rPr>
        <w:t xml:space="preserve">Supplementary Figure 1. Effects of LPS pre-EVs on the </w:t>
      </w:r>
      <w:r>
        <w:rPr>
          <w:rFonts w:hint="eastAsia" w:ascii="Times New Roman" w:hAnsi="Times New Roman" w:cs="Times New Roman"/>
          <w:b/>
          <w:bCs/>
          <w:sz w:val="24"/>
        </w:rPr>
        <w:t>t</w:t>
      </w:r>
      <w:r>
        <w:rPr>
          <w:rFonts w:ascii="Times New Roman" w:hAnsi="Times New Roman" w:cs="Times New Roman"/>
          <w:b/>
          <w:bCs/>
          <w:sz w:val="24"/>
        </w:rPr>
        <w:t xml:space="preserve">ight </w:t>
      </w:r>
      <w:r>
        <w:rPr>
          <w:rFonts w:hint="eastAsia" w:ascii="Times New Roman" w:hAnsi="Times New Roman" w:cs="Times New Roman"/>
          <w:b/>
          <w:bCs/>
          <w:sz w:val="24"/>
        </w:rPr>
        <w:t>j</w:t>
      </w:r>
      <w:r>
        <w:rPr>
          <w:rFonts w:ascii="Times New Roman" w:hAnsi="Times New Roman" w:cs="Times New Roman"/>
          <w:b/>
          <w:bCs/>
          <w:sz w:val="24"/>
        </w:rPr>
        <w:t xml:space="preserve">unction </w:t>
      </w:r>
      <w:r>
        <w:rPr>
          <w:rFonts w:hint="eastAsia" w:ascii="Times New Roman" w:hAnsi="Times New Roman" w:cs="Times New Roman"/>
          <w:b/>
          <w:bCs/>
          <w:sz w:val="24"/>
        </w:rPr>
        <w:t>p</w:t>
      </w:r>
      <w:r>
        <w:rPr>
          <w:rFonts w:ascii="Times New Roman" w:hAnsi="Times New Roman" w:cs="Times New Roman"/>
          <w:b/>
          <w:bCs/>
          <w:sz w:val="24"/>
        </w:rPr>
        <w:t xml:space="preserve">rotein ZO-1 in the </w:t>
      </w:r>
      <w:r>
        <w:rPr>
          <w:rFonts w:hint="eastAsia" w:ascii="Times New Roman" w:hAnsi="Times New Roman" w:cs="Times New Roman"/>
          <w:b/>
          <w:bCs/>
          <w:sz w:val="24"/>
        </w:rPr>
        <w:t>i</w:t>
      </w:r>
      <w:r>
        <w:rPr>
          <w:rFonts w:ascii="Times New Roman" w:hAnsi="Times New Roman" w:cs="Times New Roman"/>
          <w:b/>
          <w:bCs/>
          <w:sz w:val="24"/>
        </w:rPr>
        <w:t xml:space="preserve">ntestinal </w:t>
      </w:r>
      <w:r>
        <w:rPr>
          <w:rFonts w:hint="eastAsia" w:ascii="Times New Roman" w:hAnsi="Times New Roman" w:cs="Times New Roman"/>
          <w:b/>
          <w:bCs/>
          <w:sz w:val="24"/>
        </w:rPr>
        <w:t>e</w:t>
      </w:r>
      <w:r>
        <w:rPr>
          <w:rFonts w:ascii="Times New Roman" w:hAnsi="Times New Roman" w:cs="Times New Roman"/>
          <w:b/>
          <w:bCs/>
          <w:sz w:val="24"/>
        </w:rPr>
        <w:t>pithelium of DSS-</w:t>
      </w:r>
      <w:r>
        <w:rPr>
          <w:rFonts w:hint="eastAsia" w:ascii="Times New Roman" w:hAnsi="Times New Roman" w:cs="Times New Roman"/>
          <w:b/>
          <w:bCs/>
          <w:sz w:val="24"/>
        </w:rPr>
        <w:t>i</w:t>
      </w:r>
      <w:r>
        <w:rPr>
          <w:rFonts w:ascii="Times New Roman" w:hAnsi="Times New Roman" w:cs="Times New Roman"/>
          <w:b/>
          <w:bCs/>
          <w:sz w:val="24"/>
        </w:rPr>
        <w:t xml:space="preserve">nduced </w:t>
      </w:r>
      <w:r>
        <w:rPr>
          <w:rFonts w:hint="eastAsia" w:ascii="Times New Roman" w:hAnsi="Times New Roman" w:cs="Times New Roman"/>
          <w:b/>
          <w:bCs/>
          <w:sz w:val="24"/>
        </w:rPr>
        <w:t>c</w:t>
      </w:r>
      <w:r>
        <w:rPr>
          <w:rFonts w:ascii="Times New Roman" w:hAnsi="Times New Roman" w:cs="Times New Roman"/>
          <w:b/>
          <w:bCs/>
          <w:sz w:val="24"/>
        </w:rPr>
        <w:t xml:space="preserve">olitis </w:t>
      </w:r>
      <w:r>
        <w:rPr>
          <w:rFonts w:hint="eastAsia" w:ascii="Times New Roman" w:hAnsi="Times New Roman" w:cs="Times New Roman"/>
          <w:b/>
          <w:bCs/>
          <w:sz w:val="24"/>
        </w:rPr>
        <w:t>m</w:t>
      </w:r>
      <w:r>
        <w:rPr>
          <w:rFonts w:ascii="Times New Roman" w:hAnsi="Times New Roman" w:cs="Times New Roman"/>
          <w:b/>
          <w:bCs/>
          <w:sz w:val="24"/>
        </w:rPr>
        <w:t>ice</w:t>
      </w:r>
      <w:r>
        <w:rPr>
          <w:rFonts w:hint="eastAsia" w:ascii="Times New Roman" w:hAnsi="Times New Roman" w:cs="Times New Roman"/>
          <w:b/>
          <w:bCs/>
          <w:sz w:val="24"/>
        </w:rPr>
        <w:t>.</w:t>
      </w:r>
    </w:p>
    <w:p w14:paraId="4F6DC880">
      <w:pPr>
        <w:spacing w:line="480" w:lineRule="auto"/>
        <w:rPr>
          <w:rFonts w:ascii="Times New Roman" w:hAnsi="Times New Roman" w:cs="Times New Roman"/>
          <w:sz w:val="24"/>
        </w:rPr>
      </w:pPr>
      <w:r>
        <w:rPr>
          <w:rFonts w:ascii="Times New Roman" w:hAnsi="Times New Roman" w:cs="Times New Roman"/>
          <w:sz w:val="24"/>
        </w:rPr>
        <w:t>Immunofluorescence staining show</w:t>
      </w:r>
      <w:r>
        <w:rPr>
          <w:rFonts w:hint="eastAsia" w:ascii="Times New Roman" w:hAnsi="Times New Roman" w:cs="Times New Roman"/>
          <w:sz w:val="24"/>
        </w:rPr>
        <w:t>ed</w:t>
      </w:r>
      <w:r>
        <w:rPr>
          <w:rFonts w:ascii="Times New Roman" w:hAnsi="Times New Roman" w:cs="Times New Roman"/>
          <w:sz w:val="24"/>
        </w:rPr>
        <w:t xml:space="preserve"> the expression of the tight junction protein ZO-1 in the intestinal epithelium of mice from different treatment groups. ZO-1 </w:t>
      </w:r>
      <w:r>
        <w:rPr>
          <w:rFonts w:hint="eastAsia" w:ascii="Times New Roman" w:hAnsi="Times New Roman" w:cs="Times New Roman"/>
          <w:sz w:val="24"/>
        </w:rPr>
        <w:t>was</w:t>
      </w:r>
      <w:r>
        <w:rPr>
          <w:rFonts w:ascii="Times New Roman" w:hAnsi="Times New Roman" w:cs="Times New Roman"/>
          <w:sz w:val="24"/>
        </w:rPr>
        <w:t xml:space="preserve"> shown in red, and nuclei </w:t>
      </w:r>
      <w:r>
        <w:rPr>
          <w:rFonts w:hint="eastAsia" w:ascii="Times New Roman" w:hAnsi="Times New Roman" w:cs="Times New Roman"/>
          <w:sz w:val="24"/>
        </w:rPr>
        <w:t>were</w:t>
      </w:r>
      <w:r>
        <w:rPr>
          <w:rFonts w:ascii="Times New Roman" w:hAnsi="Times New Roman" w:cs="Times New Roman"/>
          <w:sz w:val="24"/>
        </w:rPr>
        <w:t xml:space="preserve"> stained with DAPI in blue. Compared to the DSS group, the LPS pre-EVs group exhibit</w:t>
      </w:r>
      <w:r>
        <w:rPr>
          <w:rFonts w:hint="eastAsia" w:ascii="Times New Roman" w:hAnsi="Times New Roman" w:cs="Times New Roman"/>
          <w:sz w:val="24"/>
        </w:rPr>
        <w:t>ed</w:t>
      </w:r>
      <w:r>
        <w:rPr>
          <w:rFonts w:ascii="Times New Roman" w:hAnsi="Times New Roman" w:cs="Times New Roman"/>
          <w:sz w:val="24"/>
        </w:rPr>
        <w:t xml:space="preserve"> significantly enhanced ZO-1 expression, indicating a protective effect on intestinal barrier function. Scale bars: 500 μm on the</w:t>
      </w:r>
      <w:r>
        <w:rPr>
          <w:rFonts w:hint="eastAsia" w:ascii="Times New Roman" w:hAnsi="Times New Roman" w:cs="Times New Roman"/>
          <w:sz w:val="24"/>
        </w:rPr>
        <w:t xml:space="preserve"> leftmost </w:t>
      </w:r>
      <w:r>
        <w:rPr>
          <w:rFonts w:ascii="Times New Roman" w:hAnsi="Times New Roman" w:cs="Times New Roman"/>
          <w:sz w:val="24"/>
        </w:rPr>
        <w:t xml:space="preserve">images, 50 μm on </w:t>
      </w:r>
      <w:r>
        <w:rPr>
          <w:rFonts w:hint="eastAsia" w:ascii="Times New Roman" w:hAnsi="Times New Roman" w:cs="Times New Roman"/>
          <w:sz w:val="24"/>
        </w:rPr>
        <w:t>other</w:t>
      </w:r>
      <w:r>
        <w:rPr>
          <w:rFonts w:ascii="Times New Roman" w:hAnsi="Times New Roman" w:cs="Times New Roman"/>
          <w:sz w:val="24"/>
        </w:rPr>
        <w:t xml:space="preserve"> images.</w:t>
      </w:r>
    </w:p>
    <w:p w14:paraId="41B1A5ED">
      <w:pPr>
        <w:spacing w:line="480" w:lineRule="auto"/>
        <w:jc w:val="center"/>
        <w:rPr>
          <w:rFonts w:ascii="Times New Roman" w:hAnsi="Times New Roman" w:cs="Times New Roman"/>
          <w:sz w:val="24"/>
        </w:rPr>
      </w:pPr>
      <w:r>
        <w:rPr>
          <w:rFonts w:ascii="Times New Roman" w:hAnsi="Times New Roman" w:cs="Times New Roman"/>
          <w:sz w:val="24"/>
        </w:rPr>
        <w:drawing>
          <wp:inline distT="0" distB="0" distL="0" distR="0">
            <wp:extent cx="4780915" cy="3811905"/>
            <wp:effectExtent l="0" t="0" r="0" b="17145"/>
            <wp:docPr id="1502717209" name="图片 2" descr="黑暗中的灯光&#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2717209" name="图片 2" descr="黑暗中的灯光&#10;&#10;低可信度描述已自动生成"/>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80915" cy="3811905"/>
                    </a:xfrm>
                    <a:prstGeom prst="rect">
                      <a:avLst/>
                    </a:prstGeom>
                  </pic:spPr>
                </pic:pic>
              </a:graphicData>
            </a:graphic>
          </wp:inline>
        </w:drawing>
      </w:r>
    </w:p>
    <w:p w14:paraId="57373D41">
      <w:pPr>
        <w:spacing w:line="480" w:lineRule="auto"/>
        <w:ind w:firstLine="482" w:firstLineChars="200"/>
        <w:jc w:val="left"/>
        <w:rPr>
          <w:rFonts w:ascii="Times New Roman" w:hAnsi="Times New Roman" w:cs="Times New Roman"/>
          <w:sz w:val="24"/>
        </w:rPr>
      </w:pPr>
      <w:bookmarkStart w:id="0" w:name="OLE_LINK1"/>
      <w:r>
        <w:rPr>
          <w:rFonts w:ascii="Times New Roman" w:hAnsi="Times New Roman" w:cs="Times New Roman"/>
          <w:b/>
          <w:bCs/>
          <w:sz w:val="24"/>
        </w:rPr>
        <w:t xml:space="preserve">Supplementary Figure 2. </w:t>
      </w:r>
      <w:bookmarkEnd w:id="0"/>
      <w:r>
        <w:rPr>
          <w:rFonts w:ascii="Times New Roman" w:hAnsi="Times New Roman" w:cs="Times New Roman"/>
          <w:b/>
          <w:bCs/>
          <w:sz w:val="24"/>
        </w:rPr>
        <w:t xml:space="preserve">Effects of LPS pre-EVs on the </w:t>
      </w:r>
      <w:r>
        <w:rPr>
          <w:rFonts w:hint="eastAsia" w:ascii="Times New Roman" w:hAnsi="Times New Roman" w:cs="Times New Roman"/>
          <w:b/>
          <w:bCs/>
          <w:sz w:val="24"/>
        </w:rPr>
        <w:t>t</w:t>
      </w:r>
      <w:r>
        <w:rPr>
          <w:rFonts w:ascii="Times New Roman" w:hAnsi="Times New Roman" w:cs="Times New Roman"/>
          <w:b/>
          <w:bCs/>
          <w:sz w:val="24"/>
        </w:rPr>
        <w:t xml:space="preserve">ight </w:t>
      </w:r>
      <w:r>
        <w:rPr>
          <w:rFonts w:hint="eastAsia" w:ascii="Times New Roman" w:hAnsi="Times New Roman" w:cs="Times New Roman"/>
          <w:b/>
          <w:bCs/>
          <w:sz w:val="24"/>
        </w:rPr>
        <w:t>j</w:t>
      </w:r>
      <w:r>
        <w:rPr>
          <w:rFonts w:ascii="Times New Roman" w:hAnsi="Times New Roman" w:cs="Times New Roman"/>
          <w:b/>
          <w:bCs/>
          <w:sz w:val="24"/>
        </w:rPr>
        <w:t xml:space="preserve">unction </w:t>
      </w:r>
      <w:r>
        <w:rPr>
          <w:rFonts w:hint="eastAsia" w:ascii="Times New Roman" w:hAnsi="Times New Roman" w:cs="Times New Roman"/>
          <w:b/>
          <w:bCs/>
          <w:sz w:val="24"/>
        </w:rPr>
        <w:t>p</w:t>
      </w:r>
      <w:r>
        <w:rPr>
          <w:rFonts w:ascii="Times New Roman" w:hAnsi="Times New Roman" w:cs="Times New Roman"/>
          <w:b/>
          <w:bCs/>
          <w:sz w:val="24"/>
        </w:rPr>
        <w:t xml:space="preserve">rotein Occludin in the </w:t>
      </w:r>
      <w:r>
        <w:rPr>
          <w:rFonts w:hint="eastAsia" w:ascii="Times New Roman" w:hAnsi="Times New Roman" w:cs="Times New Roman"/>
          <w:b/>
          <w:bCs/>
          <w:sz w:val="24"/>
        </w:rPr>
        <w:t>i</w:t>
      </w:r>
      <w:r>
        <w:rPr>
          <w:rFonts w:ascii="Times New Roman" w:hAnsi="Times New Roman" w:cs="Times New Roman"/>
          <w:b/>
          <w:bCs/>
          <w:sz w:val="24"/>
        </w:rPr>
        <w:t xml:space="preserve">ntestinal </w:t>
      </w:r>
      <w:r>
        <w:rPr>
          <w:rFonts w:hint="eastAsia" w:ascii="Times New Roman" w:hAnsi="Times New Roman" w:cs="Times New Roman"/>
          <w:b/>
          <w:bCs/>
          <w:sz w:val="24"/>
        </w:rPr>
        <w:t>e</w:t>
      </w:r>
      <w:r>
        <w:rPr>
          <w:rFonts w:ascii="Times New Roman" w:hAnsi="Times New Roman" w:cs="Times New Roman"/>
          <w:b/>
          <w:bCs/>
          <w:sz w:val="24"/>
        </w:rPr>
        <w:t>pithelium of DSS-</w:t>
      </w:r>
      <w:r>
        <w:rPr>
          <w:rFonts w:hint="eastAsia" w:ascii="Times New Roman" w:hAnsi="Times New Roman" w:cs="Times New Roman"/>
          <w:b/>
          <w:bCs/>
          <w:sz w:val="24"/>
        </w:rPr>
        <w:t>i</w:t>
      </w:r>
      <w:r>
        <w:rPr>
          <w:rFonts w:ascii="Times New Roman" w:hAnsi="Times New Roman" w:cs="Times New Roman"/>
          <w:b/>
          <w:bCs/>
          <w:sz w:val="24"/>
        </w:rPr>
        <w:t xml:space="preserve">nduced </w:t>
      </w:r>
      <w:r>
        <w:rPr>
          <w:rFonts w:hint="eastAsia" w:ascii="Times New Roman" w:hAnsi="Times New Roman" w:cs="Times New Roman"/>
          <w:b/>
          <w:bCs/>
          <w:sz w:val="24"/>
        </w:rPr>
        <w:t>c</w:t>
      </w:r>
      <w:r>
        <w:rPr>
          <w:rFonts w:ascii="Times New Roman" w:hAnsi="Times New Roman" w:cs="Times New Roman"/>
          <w:b/>
          <w:bCs/>
          <w:sz w:val="24"/>
        </w:rPr>
        <w:t xml:space="preserve">olitis </w:t>
      </w:r>
      <w:r>
        <w:rPr>
          <w:rFonts w:hint="eastAsia" w:ascii="Times New Roman" w:hAnsi="Times New Roman" w:cs="Times New Roman"/>
          <w:b/>
          <w:bCs/>
          <w:sz w:val="24"/>
        </w:rPr>
        <w:t>m</w:t>
      </w:r>
      <w:r>
        <w:rPr>
          <w:rFonts w:ascii="Times New Roman" w:hAnsi="Times New Roman" w:cs="Times New Roman"/>
          <w:b/>
          <w:bCs/>
          <w:sz w:val="24"/>
        </w:rPr>
        <w:t>ice</w:t>
      </w:r>
      <w:r>
        <w:rPr>
          <w:rFonts w:hint="eastAsia" w:ascii="Times New Roman" w:hAnsi="Times New Roman" w:cs="Times New Roman"/>
          <w:b/>
          <w:bCs/>
          <w:sz w:val="24"/>
        </w:rPr>
        <w:t>.</w:t>
      </w:r>
    </w:p>
    <w:p w14:paraId="7D35BD60">
      <w:pPr>
        <w:spacing w:line="480" w:lineRule="auto"/>
        <w:rPr>
          <w:rFonts w:ascii="Times New Roman" w:hAnsi="Times New Roman" w:cs="Times New Roman"/>
          <w:sz w:val="24"/>
        </w:rPr>
      </w:pPr>
      <w:r>
        <w:rPr>
          <w:rFonts w:ascii="Times New Roman" w:hAnsi="Times New Roman" w:cs="Times New Roman"/>
          <w:sz w:val="24"/>
        </w:rPr>
        <w:t>Immunofluorescence staining show</w:t>
      </w:r>
      <w:r>
        <w:rPr>
          <w:rFonts w:hint="eastAsia" w:ascii="Times New Roman" w:hAnsi="Times New Roman" w:cs="Times New Roman"/>
          <w:sz w:val="24"/>
        </w:rPr>
        <w:t>ed</w:t>
      </w:r>
      <w:r>
        <w:rPr>
          <w:rFonts w:ascii="Times New Roman" w:hAnsi="Times New Roman" w:cs="Times New Roman"/>
          <w:sz w:val="24"/>
        </w:rPr>
        <w:t xml:space="preserve"> the expression of the tight junction protein Occludin in the intestinal epithelium of mice from different treatment groups. Occludin </w:t>
      </w:r>
      <w:r>
        <w:rPr>
          <w:rFonts w:hint="eastAsia" w:ascii="Times New Roman" w:hAnsi="Times New Roman" w:cs="Times New Roman"/>
          <w:sz w:val="24"/>
        </w:rPr>
        <w:t>was</w:t>
      </w:r>
      <w:r>
        <w:rPr>
          <w:rFonts w:ascii="Times New Roman" w:hAnsi="Times New Roman" w:cs="Times New Roman"/>
          <w:sz w:val="24"/>
        </w:rPr>
        <w:t xml:space="preserve"> shown in red, and nuclei </w:t>
      </w:r>
      <w:r>
        <w:rPr>
          <w:rFonts w:hint="eastAsia" w:ascii="Times New Roman" w:hAnsi="Times New Roman" w:cs="Times New Roman"/>
          <w:sz w:val="24"/>
        </w:rPr>
        <w:t>were</w:t>
      </w:r>
      <w:r>
        <w:rPr>
          <w:rFonts w:ascii="Times New Roman" w:hAnsi="Times New Roman" w:cs="Times New Roman"/>
          <w:sz w:val="24"/>
        </w:rPr>
        <w:t xml:space="preserve"> stained with DAPI in blue. The LPS pre-EVs group exhibit</w:t>
      </w:r>
      <w:r>
        <w:rPr>
          <w:rFonts w:hint="eastAsia" w:ascii="Times New Roman" w:hAnsi="Times New Roman" w:cs="Times New Roman"/>
          <w:sz w:val="24"/>
        </w:rPr>
        <w:t>ed</w:t>
      </w:r>
      <w:r>
        <w:rPr>
          <w:rFonts w:ascii="Times New Roman" w:hAnsi="Times New Roman" w:cs="Times New Roman"/>
          <w:sz w:val="24"/>
        </w:rPr>
        <w:t xml:space="preserve"> significantly enhanced Occludin expression, indicating a protective effect on intestinal barrier integrity. Scale bars: 500 μm on the</w:t>
      </w:r>
      <w:r>
        <w:rPr>
          <w:rFonts w:hint="eastAsia" w:ascii="Times New Roman" w:hAnsi="Times New Roman" w:cs="Times New Roman"/>
          <w:sz w:val="24"/>
        </w:rPr>
        <w:t xml:space="preserve"> leftmost </w:t>
      </w:r>
      <w:r>
        <w:rPr>
          <w:rFonts w:ascii="Times New Roman" w:hAnsi="Times New Roman" w:cs="Times New Roman"/>
          <w:sz w:val="24"/>
        </w:rPr>
        <w:t xml:space="preserve">images, 50 μm on </w:t>
      </w:r>
      <w:r>
        <w:rPr>
          <w:rFonts w:hint="eastAsia" w:ascii="Times New Roman" w:hAnsi="Times New Roman" w:cs="Times New Roman"/>
          <w:sz w:val="24"/>
        </w:rPr>
        <w:t>other</w:t>
      </w:r>
      <w:r>
        <w:rPr>
          <w:rFonts w:ascii="Times New Roman" w:hAnsi="Times New Roman" w:cs="Times New Roman"/>
          <w:sz w:val="24"/>
        </w:rPr>
        <w:t xml:space="preserve"> images.</w:t>
      </w:r>
    </w:p>
    <w:p w14:paraId="11AF191E">
      <w:pPr>
        <w:spacing w:line="480" w:lineRule="auto"/>
        <w:jc w:val="center"/>
        <w:rPr>
          <w:rFonts w:ascii="Times New Roman" w:hAnsi="Times New Roman" w:cs="Times New Roman"/>
          <w:sz w:val="24"/>
        </w:rPr>
      </w:pPr>
      <w:r>
        <w:rPr>
          <w:rFonts w:ascii="Times New Roman" w:hAnsi="Times New Roman" w:cs="Times New Roman"/>
          <w:sz w:val="24"/>
        </w:rPr>
        <w:drawing>
          <wp:inline distT="0" distB="0" distL="0" distR="0">
            <wp:extent cx="4805680" cy="3787140"/>
            <wp:effectExtent l="0" t="0" r="0" b="3810"/>
            <wp:docPr id="371704075" name="图片 3" descr="黑暗中的灯光&#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04075" name="图片 3" descr="黑暗中的灯光&#10;&#10;低可信度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5680" cy="3787140"/>
                    </a:xfrm>
                    <a:prstGeom prst="rect">
                      <a:avLst/>
                    </a:prstGeom>
                  </pic:spPr>
                </pic:pic>
              </a:graphicData>
            </a:graphic>
          </wp:inline>
        </w:drawing>
      </w:r>
    </w:p>
    <w:p w14:paraId="05635683">
      <w:pPr>
        <w:spacing w:line="480" w:lineRule="auto"/>
        <w:ind w:firstLine="482" w:firstLineChars="200"/>
        <w:jc w:val="left"/>
        <w:rPr>
          <w:rFonts w:ascii="Times New Roman" w:hAnsi="Times New Roman" w:cs="Times New Roman"/>
          <w:sz w:val="24"/>
        </w:rPr>
      </w:pPr>
      <w:r>
        <w:rPr>
          <w:rFonts w:ascii="Times New Roman" w:hAnsi="Times New Roman" w:cs="Times New Roman"/>
          <w:b/>
          <w:bCs/>
          <w:sz w:val="24"/>
        </w:rPr>
        <w:t xml:space="preserve">Supplementary Figure 3. Effects of LPS pre-EVs on the </w:t>
      </w:r>
      <w:r>
        <w:rPr>
          <w:rFonts w:hint="eastAsia" w:ascii="Times New Roman" w:hAnsi="Times New Roman" w:cs="Times New Roman"/>
          <w:b/>
          <w:bCs/>
          <w:sz w:val="24"/>
        </w:rPr>
        <w:t>t</w:t>
      </w:r>
      <w:r>
        <w:rPr>
          <w:rFonts w:ascii="Times New Roman" w:hAnsi="Times New Roman" w:cs="Times New Roman"/>
          <w:b/>
          <w:bCs/>
          <w:sz w:val="24"/>
        </w:rPr>
        <w:t xml:space="preserve">ight </w:t>
      </w:r>
      <w:r>
        <w:rPr>
          <w:rFonts w:hint="eastAsia" w:ascii="Times New Roman" w:hAnsi="Times New Roman" w:cs="Times New Roman"/>
          <w:b/>
          <w:bCs/>
          <w:sz w:val="24"/>
        </w:rPr>
        <w:t>j</w:t>
      </w:r>
      <w:r>
        <w:rPr>
          <w:rFonts w:ascii="Times New Roman" w:hAnsi="Times New Roman" w:cs="Times New Roman"/>
          <w:b/>
          <w:bCs/>
          <w:sz w:val="24"/>
        </w:rPr>
        <w:t xml:space="preserve">unction </w:t>
      </w:r>
      <w:r>
        <w:rPr>
          <w:rFonts w:hint="eastAsia" w:ascii="Times New Roman" w:hAnsi="Times New Roman" w:cs="Times New Roman"/>
          <w:b/>
          <w:bCs/>
          <w:sz w:val="24"/>
        </w:rPr>
        <w:t>p</w:t>
      </w:r>
      <w:r>
        <w:rPr>
          <w:rFonts w:ascii="Times New Roman" w:hAnsi="Times New Roman" w:cs="Times New Roman"/>
          <w:b/>
          <w:bCs/>
          <w:sz w:val="24"/>
        </w:rPr>
        <w:t xml:space="preserve">rotein Claudin-1 in the </w:t>
      </w:r>
      <w:r>
        <w:rPr>
          <w:rFonts w:hint="eastAsia" w:ascii="Times New Roman" w:hAnsi="Times New Roman" w:cs="Times New Roman"/>
          <w:b/>
          <w:bCs/>
          <w:sz w:val="24"/>
        </w:rPr>
        <w:t>i</w:t>
      </w:r>
      <w:r>
        <w:rPr>
          <w:rFonts w:ascii="Times New Roman" w:hAnsi="Times New Roman" w:cs="Times New Roman"/>
          <w:b/>
          <w:bCs/>
          <w:sz w:val="24"/>
        </w:rPr>
        <w:t xml:space="preserve">ntestinal </w:t>
      </w:r>
      <w:r>
        <w:rPr>
          <w:rFonts w:hint="eastAsia" w:ascii="Times New Roman" w:hAnsi="Times New Roman" w:cs="Times New Roman"/>
          <w:b/>
          <w:bCs/>
          <w:sz w:val="24"/>
        </w:rPr>
        <w:t>e</w:t>
      </w:r>
      <w:r>
        <w:rPr>
          <w:rFonts w:ascii="Times New Roman" w:hAnsi="Times New Roman" w:cs="Times New Roman"/>
          <w:b/>
          <w:bCs/>
          <w:sz w:val="24"/>
        </w:rPr>
        <w:t>pithelium of DSS-</w:t>
      </w:r>
      <w:r>
        <w:rPr>
          <w:rFonts w:hint="eastAsia" w:ascii="Times New Roman" w:hAnsi="Times New Roman" w:cs="Times New Roman"/>
          <w:b/>
          <w:bCs/>
          <w:sz w:val="24"/>
        </w:rPr>
        <w:t>i</w:t>
      </w:r>
      <w:r>
        <w:rPr>
          <w:rFonts w:ascii="Times New Roman" w:hAnsi="Times New Roman" w:cs="Times New Roman"/>
          <w:b/>
          <w:bCs/>
          <w:sz w:val="24"/>
        </w:rPr>
        <w:t xml:space="preserve">nduced </w:t>
      </w:r>
      <w:r>
        <w:rPr>
          <w:rFonts w:hint="eastAsia" w:ascii="Times New Roman" w:hAnsi="Times New Roman" w:cs="Times New Roman"/>
          <w:b/>
          <w:bCs/>
          <w:sz w:val="24"/>
        </w:rPr>
        <w:t>c</w:t>
      </w:r>
      <w:r>
        <w:rPr>
          <w:rFonts w:ascii="Times New Roman" w:hAnsi="Times New Roman" w:cs="Times New Roman"/>
          <w:b/>
          <w:bCs/>
          <w:sz w:val="24"/>
        </w:rPr>
        <w:t xml:space="preserve">olitis </w:t>
      </w:r>
      <w:r>
        <w:rPr>
          <w:rFonts w:hint="eastAsia" w:ascii="Times New Roman" w:hAnsi="Times New Roman" w:cs="Times New Roman"/>
          <w:b/>
          <w:bCs/>
          <w:sz w:val="24"/>
        </w:rPr>
        <w:t>m</w:t>
      </w:r>
      <w:r>
        <w:rPr>
          <w:rFonts w:ascii="Times New Roman" w:hAnsi="Times New Roman" w:cs="Times New Roman"/>
          <w:b/>
          <w:bCs/>
          <w:sz w:val="24"/>
        </w:rPr>
        <w:t>ice</w:t>
      </w:r>
      <w:r>
        <w:rPr>
          <w:rFonts w:hint="eastAsia" w:ascii="Times New Roman" w:hAnsi="Times New Roman" w:cs="Times New Roman"/>
          <w:b/>
          <w:bCs/>
          <w:sz w:val="24"/>
        </w:rPr>
        <w:t>.</w:t>
      </w:r>
    </w:p>
    <w:p w14:paraId="4EFAA56C">
      <w:pPr>
        <w:spacing w:line="480" w:lineRule="auto"/>
        <w:rPr>
          <w:rFonts w:ascii="Times New Roman" w:hAnsi="Times New Roman" w:cs="Times New Roman"/>
          <w:sz w:val="24"/>
        </w:rPr>
      </w:pPr>
      <w:r>
        <w:rPr>
          <w:rFonts w:ascii="Times New Roman" w:hAnsi="Times New Roman" w:cs="Times New Roman"/>
          <w:sz w:val="24"/>
        </w:rPr>
        <w:t>Immunofluorescence staining show</w:t>
      </w:r>
      <w:r>
        <w:rPr>
          <w:rFonts w:hint="eastAsia" w:ascii="Times New Roman" w:hAnsi="Times New Roman" w:cs="Times New Roman"/>
          <w:sz w:val="24"/>
        </w:rPr>
        <w:t>ed</w:t>
      </w:r>
      <w:r>
        <w:rPr>
          <w:rFonts w:ascii="Times New Roman" w:hAnsi="Times New Roman" w:cs="Times New Roman"/>
          <w:sz w:val="24"/>
        </w:rPr>
        <w:t xml:space="preserve"> the expression of the tight junction protein Claudin-1 in the intestinal epithelium of mice from different treatment groups. Claudin-1 </w:t>
      </w:r>
      <w:r>
        <w:rPr>
          <w:rFonts w:hint="eastAsia" w:ascii="Times New Roman" w:hAnsi="Times New Roman" w:cs="Times New Roman"/>
          <w:sz w:val="24"/>
        </w:rPr>
        <w:t>was</w:t>
      </w:r>
      <w:r>
        <w:rPr>
          <w:rFonts w:ascii="Times New Roman" w:hAnsi="Times New Roman" w:cs="Times New Roman"/>
          <w:sz w:val="24"/>
        </w:rPr>
        <w:t xml:space="preserve"> shown in red, and nuclei </w:t>
      </w:r>
      <w:r>
        <w:rPr>
          <w:rFonts w:hint="eastAsia" w:ascii="Times New Roman" w:hAnsi="Times New Roman" w:cs="Times New Roman"/>
          <w:sz w:val="24"/>
        </w:rPr>
        <w:t>were</w:t>
      </w:r>
      <w:r>
        <w:rPr>
          <w:rFonts w:ascii="Times New Roman" w:hAnsi="Times New Roman" w:cs="Times New Roman"/>
          <w:sz w:val="24"/>
        </w:rPr>
        <w:t xml:space="preserve"> stained with DAPI in blue. The LPS pre-EVs group demonstrate</w:t>
      </w:r>
      <w:r>
        <w:rPr>
          <w:rFonts w:hint="eastAsia" w:ascii="Times New Roman" w:hAnsi="Times New Roman" w:cs="Times New Roman"/>
          <w:sz w:val="24"/>
        </w:rPr>
        <w:t>d</w:t>
      </w:r>
      <w:r>
        <w:rPr>
          <w:rFonts w:ascii="Times New Roman" w:hAnsi="Times New Roman" w:cs="Times New Roman"/>
          <w:sz w:val="24"/>
        </w:rPr>
        <w:t xml:space="preserve"> enhanced Claudin-1 expression, suggesting a protective effect on the intestinal barrier. Scale bars: 500 μm on the</w:t>
      </w:r>
      <w:r>
        <w:rPr>
          <w:rFonts w:hint="eastAsia" w:ascii="Times New Roman" w:hAnsi="Times New Roman" w:cs="Times New Roman"/>
          <w:sz w:val="24"/>
        </w:rPr>
        <w:t xml:space="preserve"> leftmost </w:t>
      </w:r>
      <w:r>
        <w:rPr>
          <w:rFonts w:ascii="Times New Roman" w:hAnsi="Times New Roman" w:cs="Times New Roman"/>
          <w:sz w:val="24"/>
        </w:rPr>
        <w:t xml:space="preserve">images, 50 μm on </w:t>
      </w:r>
      <w:r>
        <w:rPr>
          <w:rFonts w:hint="eastAsia" w:ascii="Times New Roman" w:hAnsi="Times New Roman" w:cs="Times New Roman"/>
          <w:sz w:val="24"/>
        </w:rPr>
        <w:t>other</w:t>
      </w:r>
      <w:r>
        <w:rPr>
          <w:rFonts w:ascii="Times New Roman" w:hAnsi="Times New Roman" w:cs="Times New Roman"/>
          <w:sz w:val="24"/>
        </w:rPr>
        <w:t xml:space="preserve"> images.</w:t>
      </w:r>
    </w:p>
    <w:p w14:paraId="00A9052B">
      <w:pPr>
        <w:spacing w:line="480" w:lineRule="auto"/>
        <w:rPr>
          <w:rFonts w:ascii="Times New Roman" w:hAnsi="Times New Roman" w:cs="Times New Roman"/>
          <w:sz w:val="24"/>
        </w:rPr>
      </w:pPr>
    </w:p>
    <w:p w14:paraId="6F37E96E">
      <w:pPr>
        <w:spacing w:line="480" w:lineRule="auto"/>
        <w:rPr>
          <w:rFonts w:ascii="Times New Roman" w:hAnsi="Times New Roman" w:cs="Times New Roman"/>
          <w:sz w:val="24"/>
        </w:rPr>
      </w:pPr>
    </w:p>
    <w:p w14:paraId="4F03249C">
      <w:pPr>
        <w:spacing w:line="480" w:lineRule="auto"/>
        <w:rPr>
          <w:rFonts w:ascii="Times New Roman" w:hAnsi="Times New Roman" w:cs="Times New Roman"/>
          <w:sz w:val="24"/>
        </w:rPr>
      </w:pPr>
    </w:p>
    <w:p w14:paraId="46A05F98">
      <w:pPr>
        <w:spacing w:line="480" w:lineRule="auto"/>
        <w:rPr>
          <w:rFonts w:ascii="Times New Roman" w:hAnsi="Times New Roman" w:cs="Times New Roman"/>
          <w:sz w:val="24"/>
        </w:rPr>
      </w:pPr>
      <w:r>
        <w:rPr>
          <w:rFonts w:hint="eastAsia"/>
        </w:rPr>
        <w:drawing>
          <wp:inline distT="0" distB="0" distL="114300" distR="114300">
            <wp:extent cx="5269865" cy="4097655"/>
            <wp:effectExtent l="0" t="0" r="635" b="4445"/>
            <wp:docPr id="1" name="图片 1" descr="Supplementary 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upplementary Figure 4"/>
                    <pic:cNvPicPr>
                      <a:picLocks noChangeAspect="1"/>
                    </pic:cNvPicPr>
                  </pic:nvPicPr>
                  <pic:blipFill>
                    <a:blip r:embed="rId10"/>
                    <a:stretch>
                      <a:fillRect/>
                    </a:stretch>
                  </pic:blipFill>
                  <pic:spPr>
                    <a:xfrm>
                      <a:off x="0" y="0"/>
                      <a:ext cx="5269865" cy="4097655"/>
                    </a:xfrm>
                    <a:prstGeom prst="rect">
                      <a:avLst/>
                    </a:prstGeom>
                  </pic:spPr>
                </pic:pic>
              </a:graphicData>
            </a:graphic>
          </wp:inline>
        </w:drawing>
      </w:r>
    </w:p>
    <w:p w14:paraId="11802BC7">
      <w:pPr>
        <w:widowControl/>
        <w:spacing w:line="360" w:lineRule="auto"/>
        <w:jc w:val="center"/>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Supplementary Figure 4. Gut Microbiota α-Diversity Analysis</w:t>
      </w:r>
    </w:p>
    <w:p w14:paraId="3372EFE1">
      <w:pPr>
        <w:widowControl/>
        <w:numPr>
          <w:ilvl w:val="0"/>
          <w:numId w:val="1"/>
        </w:numPr>
        <w:spacing w:line="360" w:lineRule="auto"/>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α-Diversity Indices</w:t>
      </w:r>
      <w:r>
        <w:rPr>
          <w:rFonts w:hint="eastAsia" w:ascii="Times New Roman" w:hAnsi="Times New Roman" w:cs="Times New Roman"/>
          <w:b/>
          <w:bCs/>
          <w:color w:val="000000" w:themeColor="text1"/>
          <w:sz w:val="24"/>
          <w:lang w:val="en-US" w:eastAsia="zh-CN"/>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 xml:space="preserve"> ACE, Chao1, and Shannon indices, which are commonly used to evaluate the richness and diversity of microbial communities in each group (A, B, C, D)</w:t>
      </w:r>
      <w:r>
        <w:rPr>
          <w:rFonts w:hint="eastAsia" w:ascii="Times New Roman" w:hAnsi="Times New Roman" w:cs="Times New Roman"/>
          <w:color w:val="000000" w:themeColor="text1"/>
          <w:sz w:val="24"/>
          <w:lang w:val="en-US" w:eastAsia="zh-CN"/>
          <w14:textFill>
            <w14:solidFill>
              <w14:schemeClr w14:val="tx1"/>
            </w14:solidFill>
          </w14:textFill>
        </w:rPr>
        <w:t>, are shown.</w:t>
      </w:r>
      <w:r>
        <w:rPr>
          <w:rFonts w:ascii="Times New Roman" w:hAnsi="Times New Roman" w:cs="Times New Roman"/>
          <w:color w:val="000000" w:themeColor="text1"/>
          <w:sz w:val="24"/>
          <w14:textFill>
            <w14:solidFill>
              <w14:schemeClr w14:val="tx1"/>
            </w14:solidFill>
          </w14:textFill>
        </w:rPr>
        <w:t xml:space="preserve"> The results </w:t>
      </w:r>
      <w:r>
        <w:rPr>
          <w:rFonts w:hint="eastAsia" w:ascii="Times New Roman" w:hAnsi="Times New Roman" w:cs="Times New Roman"/>
          <w:color w:val="000000" w:themeColor="text1"/>
          <w:sz w:val="24"/>
          <w:lang w:val="en-US" w:eastAsia="zh-CN"/>
          <w14:textFill>
            <w14:solidFill>
              <w14:schemeClr w14:val="tx1"/>
            </w14:solidFill>
          </w14:textFill>
        </w:rPr>
        <w:t>demonstrated</w:t>
      </w:r>
      <w:r>
        <w:rPr>
          <w:rFonts w:ascii="Times New Roman" w:hAnsi="Times New Roman" w:cs="Times New Roman"/>
          <w:color w:val="000000" w:themeColor="text1"/>
          <w:sz w:val="24"/>
          <w14:textFill>
            <w14:solidFill>
              <w14:schemeClr w14:val="tx1"/>
            </w14:solidFill>
          </w14:textFill>
        </w:rPr>
        <w:t xml:space="preserve"> that the P-EVs group (Group C) and the LPS pre-EVs group (Group D) have higher diversity indices compared to the DSS group (Group A), particularly in the Chao1 and ACE indices</w:t>
      </w:r>
      <w:r>
        <w:rPr>
          <w:rFonts w:hint="eastAsia" w:ascii="Times New Roman" w:hAnsi="Times New Roman" w:cs="Times New Roman"/>
          <w:color w:val="000000" w:themeColor="text1"/>
          <w:sz w:val="24"/>
          <w:lang w:val="en-US" w:eastAsia="zh-CN"/>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suggest</w:t>
      </w:r>
      <w:r>
        <w:rPr>
          <w:rFonts w:hint="eastAsia" w:ascii="Times New Roman" w:hAnsi="Times New Roman" w:cs="Times New Roman"/>
          <w:color w:val="000000" w:themeColor="text1"/>
          <w:sz w:val="24"/>
          <w:lang w:val="en-US" w:eastAsia="zh-CN"/>
          <w14:textFill>
            <w14:solidFill>
              <w14:schemeClr w14:val="tx1"/>
            </w14:solidFill>
          </w14:textFill>
        </w:rPr>
        <w:t>ing</w:t>
      </w:r>
      <w:r>
        <w:rPr>
          <w:rFonts w:ascii="Times New Roman" w:hAnsi="Times New Roman" w:cs="Times New Roman"/>
          <w:color w:val="000000" w:themeColor="text1"/>
          <w:sz w:val="24"/>
          <w14:textFill>
            <w14:solidFill>
              <w14:schemeClr w14:val="tx1"/>
            </w14:solidFill>
          </w14:textFill>
        </w:rPr>
        <w:t xml:space="preserve"> that both P-EVs and LPS pre-EVs may partially restore gut microbial diversity</w:t>
      </w:r>
      <w:r>
        <w:rPr>
          <w:rFonts w:hint="eastAsia" w:ascii="Times New Roman" w:hAnsi="Times New Roman" w:cs="Times New Roman"/>
          <w:color w:val="000000" w:themeColor="text1"/>
          <w:sz w:val="24"/>
          <w:lang w:val="en-US" w:eastAsia="zh-CN"/>
          <w14:textFill>
            <w14:solidFill>
              <w14:schemeClr w14:val="tx1"/>
            </w14:solidFill>
          </w14:textFill>
        </w:rPr>
        <w:t>. T</w:t>
      </w:r>
      <w:r>
        <w:rPr>
          <w:rFonts w:hint="eastAsia" w:ascii="Times New Roman" w:hAnsi="Times New Roman" w:cs="Times New Roman"/>
          <w:color w:val="000000" w:themeColor="text1"/>
          <w:sz w:val="24"/>
          <w14:textFill>
            <w14:solidFill>
              <w14:schemeClr w14:val="tx1"/>
            </w14:solidFill>
          </w14:textFill>
        </w:rPr>
        <w:t>he letters</w:t>
      </w:r>
      <w:r>
        <w:rPr>
          <w:rFonts w:hint="eastAsia" w:ascii="Times New Roman" w:hAnsi="Times New Roman" w:cs="Times New Roman"/>
          <w:color w:val="000000" w:themeColor="text1"/>
          <w:sz w:val="24"/>
          <w:lang w:val="en-US" w:eastAsia="zh-CN"/>
          <w14:textFill>
            <w14:solidFill>
              <w14:schemeClr w14:val="tx1"/>
            </w14:solidFill>
          </w14:textFill>
        </w:rPr>
        <w:t xml:space="preserve"> </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lang w:val="en-US" w:eastAsia="zh-CN"/>
          <w14:textFill>
            <w14:solidFill>
              <w14:schemeClr w14:val="tx1"/>
            </w14:solidFill>
          </w14:textFill>
        </w:rPr>
        <w:t>a, b</w:t>
      </w:r>
      <w:r>
        <w:rPr>
          <w:rFonts w:ascii="Times New Roman" w:hAnsi="Times New Roman" w:cs="Times New Roman"/>
          <w:color w:val="000000" w:themeColor="text1"/>
          <w:sz w:val="24"/>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represent significant differences between groups</w:t>
      </w:r>
      <w:r>
        <w:rPr>
          <w:rFonts w:hint="eastAsia" w:ascii="Times New Roman" w:hAnsi="Times New Roman" w:cs="Times New Roman"/>
          <w:color w:val="000000" w:themeColor="text1"/>
          <w:sz w:val="24"/>
          <w:lang w:val="en-US" w:eastAsia="zh-CN"/>
          <w14:textFill>
            <w14:solidFill>
              <w14:schemeClr w14:val="tx1"/>
            </w14:solidFill>
          </w14:textFill>
        </w:rPr>
        <w:t>,</w:t>
      </w:r>
      <w:r>
        <w:rPr>
          <w:rFonts w:hint="eastAsia" w:ascii="Times New Roman" w:hAnsi="Times New Roman" w:cs="Times New Roman"/>
          <w:color w:val="000000" w:themeColor="text1"/>
          <w:sz w:val="24"/>
          <w14:textFill>
            <w14:solidFill>
              <w14:schemeClr w14:val="tx1"/>
            </w14:solidFill>
          </w14:textFill>
        </w:rPr>
        <w:t xml:space="preserve"> </w:t>
      </w:r>
      <w:r>
        <w:rPr>
          <w:rFonts w:hint="eastAsia" w:ascii="Times New Roman" w:hAnsi="Times New Roman" w:cs="Times New Roman"/>
          <w:color w:val="000000" w:themeColor="text1"/>
          <w:sz w:val="24"/>
          <w:lang w:val="en-US" w:eastAsia="zh-CN"/>
          <w14:textFill>
            <w14:solidFill>
              <w14:schemeClr w14:val="tx1"/>
            </w14:solidFill>
          </w14:textFill>
        </w:rPr>
        <w:t>g</w:t>
      </w:r>
      <w:r>
        <w:rPr>
          <w:rFonts w:hint="eastAsia" w:ascii="Times New Roman" w:hAnsi="Times New Roman" w:cs="Times New Roman"/>
          <w:color w:val="000000" w:themeColor="text1"/>
          <w:sz w:val="24"/>
          <w14:textFill>
            <w14:solidFill>
              <w14:schemeClr w14:val="tx1"/>
            </w14:solidFill>
          </w14:textFill>
        </w:rPr>
        <w:t>roups with the same letter do not show significant differences, wh</w:t>
      </w:r>
      <w:r>
        <w:rPr>
          <w:rFonts w:hint="eastAsia" w:ascii="Times New Roman" w:hAnsi="Times New Roman" w:cs="Times New Roman"/>
          <w:color w:val="000000" w:themeColor="text1"/>
          <w:sz w:val="24"/>
          <w:lang w:val="en-US" w:eastAsia="zh-CN"/>
          <w14:textFill>
            <w14:solidFill>
              <w14:schemeClr w14:val="tx1"/>
            </w14:solidFill>
          </w14:textFill>
        </w:rPr>
        <w:t>ereas</w:t>
      </w:r>
      <w:r>
        <w:rPr>
          <w:rFonts w:hint="eastAsia" w:ascii="Times New Roman" w:hAnsi="Times New Roman" w:cs="Times New Roman"/>
          <w:color w:val="000000" w:themeColor="text1"/>
          <w:sz w:val="24"/>
          <w14:textFill>
            <w14:solidFill>
              <w14:schemeClr w14:val="tx1"/>
            </w14:solidFill>
          </w14:textFill>
        </w:rPr>
        <w:t xml:space="preserve"> groups with different letters exhibit significant differences (</w:t>
      </w:r>
      <w:r>
        <w:rPr>
          <w:rFonts w:hint="eastAsia" w:ascii="Times New Roman" w:hAnsi="Times New Roman" w:cs="Times New Roman"/>
          <w:i/>
          <w:iCs/>
          <w:color w:val="000000" w:themeColor="text1"/>
          <w:sz w:val="24"/>
          <w14:textFill>
            <w14:solidFill>
              <w14:schemeClr w14:val="tx1"/>
            </w14:solidFill>
          </w14:textFill>
        </w:rPr>
        <w:t>P</w:t>
      </w:r>
      <w:r>
        <w:rPr>
          <w:rFonts w:hint="eastAsia" w:ascii="Times New Roman" w:hAnsi="Times New Roman" w:cs="Times New Roman"/>
          <w:color w:val="000000" w:themeColor="text1"/>
          <w:sz w:val="24"/>
          <w14:textFill>
            <w14:solidFill>
              <w14:schemeClr w14:val="tx1"/>
            </w14:solidFill>
          </w14:textFill>
        </w:rPr>
        <w:t xml:space="preserve"> &lt; 0.05).</w:t>
      </w:r>
      <w:r>
        <w:rPr>
          <w:rFonts w:hint="eastAsia" w:ascii="Times New Roman" w:hAnsi="Times New Roman" w:cs="Times New Roman"/>
          <w:color w:val="000000" w:themeColor="text1"/>
          <w:sz w:val="24"/>
          <w:lang w:val="en-US" w:eastAsia="zh-CN"/>
          <w14:textFill>
            <w14:solidFill>
              <w14:schemeClr w14:val="tx1"/>
            </w14:solidFill>
          </w14:textFill>
        </w:rPr>
        <w:t xml:space="preserve">  </w:t>
      </w:r>
    </w:p>
    <w:p w14:paraId="3E958A64">
      <w:pPr>
        <w:widowControl/>
        <w:numPr>
          <w:ilvl w:val="0"/>
          <w:numId w:val="1"/>
        </w:numPr>
        <w:spacing w:line="360" w:lineRule="auto"/>
        <w:rPr>
          <w:rFonts w:ascii="Times New Roman" w:hAnsi="Times New Roman" w:cs="Times New Roman"/>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Relative Abundance at Different Taxonomic Levels</w:t>
      </w:r>
      <w:r>
        <w:rPr>
          <w:rFonts w:hint="eastAsia" w:ascii="Times New Roman" w:hAnsi="Times New Roman" w:cs="Times New Roman"/>
          <w:b/>
          <w:bCs/>
          <w:color w:val="000000" w:themeColor="text1"/>
          <w:sz w:val="24"/>
          <w:lang w:val="en-US" w:eastAsia="zh-CN"/>
          <w14:textFill>
            <w14:solidFill>
              <w14:schemeClr w14:val="tx1"/>
            </w14:solidFill>
          </w14:textFill>
        </w:rPr>
        <w:t>.</w:t>
      </w:r>
      <w:r>
        <w:rPr>
          <w:rFonts w:ascii="Times New Roman" w:hAnsi="Times New Roman" w:cs="Times New Roman"/>
          <w:color w:val="000000" w:themeColor="text1"/>
          <w:sz w:val="24"/>
          <w14:textFill>
            <w14:solidFill>
              <w14:schemeClr w14:val="tx1"/>
            </w14:solidFill>
          </w14:textFill>
        </w:rPr>
        <w:t xml:space="preserve"> This panel shows the relative abundance distributions at the phylum, species, and genus levels for each group. Compared to the DSS group (Group A) and the Control group (Group B), the P-EVs group (Group C) displays significantly different microbial compositions at various taxonomic levels. At the genus level, in particular, the abundance of </w:t>
      </w:r>
      <w:r>
        <w:rPr>
          <w:rFonts w:ascii="Times New Roman" w:hAnsi="Times New Roman" w:cs="Times New Roman"/>
          <w:i/>
          <w:iCs/>
          <w:color w:val="000000" w:themeColor="text1"/>
          <w:sz w:val="24"/>
          <w14:textFill>
            <w14:solidFill>
              <w14:schemeClr w14:val="tx1"/>
            </w14:solidFill>
          </w14:textFill>
        </w:rPr>
        <w:t>Clostridia_UCG-014</w:t>
      </w:r>
      <w:r>
        <w:rPr>
          <w:rFonts w:ascii="Times New Roman" w:hAnsi="Times New Roman" w:cs="Times New Roman"/>
          <w:color w:val="000000" w:themeColor="text1"/>
          <w:sz w:val="24"/>
          <w14:textFill>
            <w14:solidFill>
              <w14:schemeClr w14:val="tx1"/>
            </w14:solidFill>
          </w14:textFill>
        </w:rPr>
        <w:t xml:space="preserve"> increased, while the abundances of </w:t>
      </w:r>
      <w:r>
        <w:rPr>
          <w:rFonts w:ascii="Times New Roman" w:hAnsi="Times New Roman" w:cs="Times New Roman"/>
          <w:i/>
          <w:iCs/>
          <w:color w:val="000000" w:themeColor="text1"/>
          <w:sz w:val="24"/>
          <w14:textFill>
            <w14:solidFill>
              <w14:schemeClr w14:val="tx1"/>
            </w14:solidFill>
          </w14:textFill>
        </w:rPr>
        <w:t>Streptococcus</w:t>
      </w:r>
      <w:r>
        <w:rPr>
          <w:rFonts w:ascii="Times New Roman" w:hAnsi="Times New Roman" w:cs="Times New Roman"/>
          <w:color w:val="000000" w:themeColor="text1"/>
          <w:sz w:val="24"/>
          <w14:textFill>
            <w14:solidFill>
              <w14:schemeClr w14:val="tx1"/>
            </w14:solidFill>
          </w14:textFill>
        </w:rPr>
        <w:t xml:space="preserve"> and </w:t>
      </w:r>
      <w:r>
        <w:rPr>
          <w:rFonts w:ascii="Times New Roman" w:hAnsi="Times New Roman" w:cs="Times New Roman"/>
          <w:i/>
          <w:iCs/>
          <w:color w:val="000000" w:themeColor="text1"/>
          <w:sz w:val="24"/>
          <w14:textFill>
            <w14:solidFill>
              <w14:schemeClr w14:val="tx1"/>
            </w14:solidFill>
          </w14:textFill>
        </w:rPr>
        <w:t>Shigella</w:t>
      </w:r>
      <w:r>
        <w:rPr>
          <w:rFonts w:ascii="Times New Roman" w:hAnsi="Times New Roman" w:cs="Times New Roman"/>
          <w:color w:val="000000" w:themeColor="text1"/>
          <w:sz w:val="24"/>
          <w14:textFill>
            <w14:solidFill>
              <w14:schemeClr w14:val="tx1"/>
            </w14:solidFill>
          </w14:textFill>
        </w:rPr>
        <w:t xml:space="preserve"> decreased, indicating that P-EVs promote the growth of beneficial bacteria and inhibit pathogenic bacteria.</w:t>
      </w:r>
    </w:p>
    <w:p w14:paraId="2309BEC9">
      <w:pPr>
        <w:widowControl/>
        <w:numPr>
          <w:numId w:val="0"/>
        </w:numPr>
        <w:spacing w:line="360" w:lineRule="auto"/>
        <w:rPr>
          <w:rFonts w:ascii="Times New Roman" w:hAnsi="Times New Roman" w:cs="Times New Roman"/>
          <w:color w:val="000000" w:themeColor="text1"/>
          <w:sz w:val="24"/>
          <w14:textFill>
            <w14:solidFill>
              <w14:schemeClr w14:val="tx1"/>
            </w14:solidFill>
          </w14:textFill>
        </w:rPr>
      </w:pPr>
    </w:p>
    <w:p w14:paraId="395CF650">
      <w:pPr>
        <w:widowControl/>
        <w:numPr>
          <w:numId w:val="0"/>
        </w:numPr>
        <w:spacing w:line="360" w:lineRule="auto"/>
        <w:rPr>
          <w:rFonts w:ascii="Times New Roman" w:hAnsi="Times New Roman" w:cs="Times New Roman"/>
          <w:color w:val="000000" w:themeColor="text1"/>
          <w:sz w:val="24"/>
          <w14:textFill>
            <w14:solidFill>
              <w14:schemeClr w14:val="tx1"/>
            </w14:solidFill>
          </w14:textFill>
        </w:rPr>
      </w:pPr>
      <w:bookmarkStart w:id="1" w:name="_GoBack"/>
      <w:bookmarkEnd w:id="1"/>
    </w:p>
    <w:p w14:paraId="09EAECC8">
      <w:pPr>
        <w:widowControl/>
        <w:spacing w:line="360" w:lineRule="auto"/>
        <w:jc w:val="center"/>
        <w:rPr>
          <w:rFonts w:ascii="Times New Roman" w:hAnsi="Times New Roman" w:cs="Times New Roman"/>
          <w:color w:val="000000" w:themeColor="text1"/>
          <w:sz w:val="24"/>
          <w14:textFill>
            <w14:solidFill>
              <w14:schemeClr w14:val="tx1"/>
            </w14:solidFill>
          </w14:textFill>
        </w:rPr>
      </w:pPr>
      <w:r>
        <w:rPr>
          <w:rFonts w:hint="eastAsia"/>
        </w:rPr>
        <w:drawing>
          <wp:inline distT="0" distB="0" distL="114300" distR="114300">
            <wp:extent cx="4290695" cy="4290695"/>
            <wp:effectExtent l="0" t="0" r="1905" b="1905"/>
            <wp:docPr id="5" name="图片 5" descr="Supplementary 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upplementary Figure 5"/>
                    <pic:cNvPicPr>
                      <a:picLocks noChangeAspect="1"/>
                    </pic:cNvPicPr>
                  </pic:nvPicPr>
                  <pic:blipFill>
                    <a:blip r:embed="rId11"/>
                    <a:stretch>
                      <a:fillRect/>
                    </a:stretch>
                  </pic:blipFill>
                  <pic:spPr>
                    <a:xfrm>
                      <a:off x="0" y="0"/>
                      <a:ext cx="4290695" cy="4290695"/>
                    </a:xfrm>
                    <a:prstGeom prst="rect">
                      <a:avLst/>
                    </a:prstGeom>
                  </pic:spPr>
                </pic:pic>
              </a:graphicData>
            </a:graphic>
          </wp:inline>
        </w:drawing>
      </w:r>
    </w:p>
    <w:p w14:paraId="148A6EF4">
      <w:pPr>
        <w:widowControl/>
        <w:spacing w:line="360" w:lineRule="auto"/>
        <w:jc w:val="center"/>
        <w:rPr>
          <w:rFonts w:ascii="Times New Roman" w:hAnsi="Times New Roman" w:cs="Times New Roman"/>
          <w:b/>
          <w:bCs/>
          <w:color w:val="000000" w:themeColor="text1"/>
          <w:sz w:val="24"/>
          <w14:textFill>
            <w14:solidFill>
              <w14:schemeClr w14:val="tx1"/>
            </w14:solidFill>
          </w14:textFill>
        </w:rPr>
      </w:pPr>
      <w:r>
        <w:rPr>
          <w:rFonts w:ascii="Times New Roman" w:hAnsi="Times New Roman" w:cs="Times New Roman"/>
          <w:b/>
          <w:bCs/>
          <w:color w:val="000000" w:themeColor="text1"/>
          <w:sz w:val="24"/>
          <w14:textFill>
            <w14:solidFill>
              <w14:schemeClr w14:val="tx1"/>
            </w14:solidFill>
          </w14:textFill>
        </w:rPr>
        <w:t>Supplementary Figure 5. Gut Microbiota PCoA Analysis</w:t>
      </w:r>
    </w:p>
    <w:p w14:paraId="1DCF4642">
      <w:pPr>
        <w:widowControl/>
        <w:spacing w:line="360" w:lineRule="auto"/>
      </w:pPr>
      <w:r>
        <w:rPr>
          <w:rFonts w:ascii="Times New Roman" w:hAnsi="Times New Roman" w:cs="Times New Roman"/>
          <w:color w:val="000000" w:themeColor="text1"/>
          <w:sz w:val="24"/>
          <w14:textFill>
            <w14:solidFill>
              <w14:schemeClr w14:val="tx1"/>
            </w14:solidFill>
          </w14:textFill>
        </w:rPr>
        <w:t>This figure presents the results of principal coordinate analysis (PCoA), reflecting the overall differences in gut microbial community structures among the groups (A, B, C, D). PC1 and PC3 explain 39.73% and 6.92% of the variation in community structure, respectively. The P-EVs group (Group C) is clearly separated from the DSS group (Group A) on the PCoA plot, indicating that P-EVs significantly altered the overall structure of the gut microbiome. Additionally, the LPS pre-EVs group (Group D) also exhibits distinct clustering from other groups, suggesting substantial changes in its microbial community structure.</w:t>
      </w:r>
    </w:p>
    <w:p w14:paraId="33C70D9F"/>
    <w:sectPr>
      <w:footerReference r:id="rId5" w:type="first"/>
      <w:footerReference r:id="rId3" w:type="default"/>
      <w:foot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Rockwell">
    <w:panose1 w:val="02060603020205020403"/>
    <w:charset w:val="00"/>
    <w:family w:val="roman"/>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2C377">
    <w:pPr>
      <w:pStyle w:val="3"/>
    </w:pPr>
    <w:r>
      <mc:AlternateContent>
        <mc:Choice Requires="wps">
          <w:drawing>
            <wp:anchor distT="0" distB="0" distL="0" distR="0" simplePos="0" relativeHeight="251661312" behindDoc="0" locked="0" layoutInCell="1" allowOverlap="1">
              <wp:simplePos x="0" y="0"/>
              <wp:positionH relativeFrom="page">
                <wp:align>left</wp:align>
              </wp:positionH>
              <wp:positionV relativeFrom="page">
                <wp:align>bottom</wp:align>
              </wp:positionV>
              <wp:extent cx="2077085" cy="324485"/>
              <wp:effectExtent l="0" t="0" r="18415" b="0"/>
              <wp:wrapNone/>
              <wp:docPr id="1909630231" name="Text Box 3" descr="Information Classification: General"/>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3019A5B6">
                          <w:pPr>
                            <w:rPr>
                              <w:rFonts w:ascii="Rockwell" w:hAnsi="Rockwell" w:eastAsia="Rockwell" w:cs="Rockwell"/>
                              <w:color w:val="0078D7"/>
                              <w:sz w:val="18"/>
                              <w:szCs w:val="18"/>
                            </w:rPr>
                          </w:pPr>
                          <w:r>
                            <w:rPr>
                              <w:rFonts w:ascii="Rockwell" w:hAnsi="Rockwell" w:eastAsia="Rockwell" w:cs="Rockwell"/>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 id="Text Box 3" o:spid="_x0000_s1026" o:spt="202" alt="Information Classification: General" type="#_x0000_t202" style="position:absolute;left:0pt;height:25.55pt;width:163.55pt;mso-position-horizontal:left;mso-position-horizontal-relative:page;mso-position-vertical:bottom;mso-position-vertical-relative:page;mso-wrap-style:none;z-index:251661312;v-text-anchor:bottom;mso-width-relative:page;mso-height-relative:page;" filled="f" stroked="f" coordsize="21600,21600" o:gfxdata="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g3WOKdMAAAAEAQAADwAAAAAAAAABACAAAAAiAAAAZHJz&#10;L2Rvd25yZXYueG1sUEsBAhQAFAAAAAgAh07iQIRGNBhCAgAAiQQAAA4AAAAAAAAAAQAgAAAAIgEA&#10;AGRycy9lMm9Eb2MueG1sUEsFBgAAAAAGAAYAWQEAANYFAAAAAA==&#10;">
              <v:fill on="f" focussize="0,0"/>
              <v:stroke on="f"/>
              <v:imagedata o:title=""/>
              <o:lock v:ext="edit" aspectratio="f"/>
              <v:textbox inset="20pt,0mm,0mm,15pt" style="mso-fit-shape-to-text:t;">
                <w:txbxContent>
                  <w:p w14:paraId="3019A5B6">
                    <w:pPr>
                      <w:rPr>
                        <w:rFonts w:ascii="Rockwell" w:hAnsi="Rockwell" w:eastAsia="Rockwell" w:cs="Rockwell"/>
                        <w:color w:val="0078D7"/>
                        <w:sz w:val="18"/>
                        <w:szCs w:val="18"/>
                      </w:rPr>
                    </w:pPr>
                    <w:r>
                      <w:rPr>
                        <w:rFonts w:ascii="Rockwell" w:hAnsi="Rockwell" w:eastAsia="Rockwell" w:cs="Rockwell"/>
                        <w:color w:val="0078D7"/>
                        <w:sz w:val="18"/>
                        <w:szCs w:val="18"/>
                      </w:rPr>
                      <w:t>Information Classification: General</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FCE48D">
    <w:pPr>
      <w:pStyle w:val="3"/>
    </w:pPr>
    <w:r>
      <mc:AlternateContent>
        <mc:Choice Requires="wps">
          <w:drawing>
            <wp:anchor distT="0" distB="0" distL="0" distR="0" simplePos="0" relativeHeight="251660288" behindDoc="0" locked="0" layoutInCell="1" allowOverlap="1">
              <wp:simplePos x="0" y="0"/>
              <wp:positionH relativeFrom="page">
                <wp:align>left</wp:align>
              </wp:positionH>
              <wp:positionV relativeFrom="page">
                <wp:align>bottom</wp:align>
              </wp:positionV>
              <wp:extent cx="2077085" cy="324485"/>
              <wp:effectExtent l="0" t="0" r="18415" b="0"/>
              <wp:wrapNone/>
              <wp:docPr id="958954414" name="Text Box 2" descr="Information Classification: General"/>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07BDAD30">
                          <w:pPr>
                            <w:rPr>
                              <w:rFonts w:ascii="Rockwell" w:hAnsi="Rockwell" w:eastAsia="Rockwell" w:cs="Rockwell"/>
                              <w:color w:val="0078D7"/>
                              <w:sz w:val="18"/>
                              <w:szCs w:val="18"/>
                            </w:rPr>
                          </w:pPr>
                          <w:r>
                            <w:rPr>
                              <w:rFonts w:ascii="Rockwell" w:hAnsi="Rockwell" w:eastAsia="Rockwell" w:cs="Rockwell"/>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 id="Text Box 2" o:spid="_x0000_s1026" o:spt="202" alt="Information Classification: General" type="#_x0000_t202" style="position:absolute;left:0pt;height:25.55pt;width:163.55pt;mso-position-horizontal:left;mso-position-horizontal-relative:page;mso-position-vertical:bottom;mso-position-vertical-relative:page;mso-wrap-style:none;z-index:251660288;v-text-anchor:bottom;mso-width-relative:page;mso-height-relative:page;" filled="f" stroked="f" coordsize="21600,21600" o:gfxdata="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DdY4p0wAAAAQBAAAPAAAAAAAAAAEAIAAAACIAAABk&#10;cnMvZG93bnJldi54bWxQSwECFAAUAAAACACHTuJAH25l1EQCAACIBAAADgAAAAAAAAABACAAAAAi&#10;AQAAZHJzL2Uyb0RvYy54bWxQSwUGAAAAAAYABgBZAQAA2AUAAAAA&#10;">
              <v:fill on="f" focussize="0,0"/>
              <v:stroke on="f"/>
              <v:imagedata o:title=""/>
              <o:lock v:ext="edit" aspectratio="f"/>
              <v:textbox inset="20pt,0mm,0mm,15pt" style="mso-fit-shape-to-text:t;">
                <w:txbxContent>
                  <w:p w14:paraId="07BDAD30">
                    <w:pPr>
                      <w:rPr>
                        <w:rFonts w:ascii="Rockwell" w:hAnsi="Rockwell" w:eastAsia="Rockwell" w:cs="Rockwell"/>
                        <w:color w:val="0078D7"/>
                        <w:sz w:val="18"/>
                        <w:szCs w:val="18"/>
                      </w:rPr>
                    </w:pPr>
                    <w:r>
                      <w:rPr>
                        <w:rFonts w:ascii="Rockwell" w:hAnsi="Rockwell" w:eastAsia="Rockwell" w:cs="Rockwell"/>
                        <w:color w:val="0078D7"/>
                        <w:sz w:val="18"/>
                        <w:szCs w:val="18"/>
                      </w:rPr>
                      <w:t>Information Classification: General</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DD823">
    <w:pPr>
      <w:pStyle w:val="3"/>
    </w:pPr>
    <w:r>
      <mc:AlternateContent>
        <mc:Choice Requires="wps">
          <w:drawing>
            <wp:anchor distT="0" distB="0" distL="0" distR="0" simplePos="0" relativeHeight="251659264" behindDoc="0" locked="0" layoutInCell="1" allowOverlap="1">
              <wp:simplePos x="0" y="0"/>
              <wp:positionH relativeFrom="page">
                <wp:align>left</wp:align>
              </wp:positionH>
              <wp:positionV relativeFrom="page">
                <wp:align>bottom</wp:align>
              </wp:positionV>
              <wp:extent cx="2077085" cy="324485"/>
              <wp:effectExtent l="0" t="0" r="18415" b="0"/>
              <wp:wrapNone/>
              <wp:docPr id="1543323104" name="Text Box 1" descr="Information Classification: General"/>
              <wp:cNvGraphicFramePr/>
              <a:graphic xmlns:a="http://schemas.openxmlformats.org/drawingml/2006/main">
                <a:graphicData uri="http://schemas.microsoft.com/office/word/2010/wordprocessingShape">
                  <wps:wsp>
                    <wps:cNvSpPr txBox="1"/>
                    <wps:spPr>
                      <a:xfrm>
                        <a:off x="0" y="0"/>
                        <a:ext cx="2077085" cy="324485"/>
                      </a:xfrm>
                      <a:prstGeom prst="rect">
                        <a:avLst/>
                      </a:prstGeom>
                      <a:noFill/>
                      <a:ln>
                        <a:noFill/>
                      </a:ln>
                    </wps:spPr>
                    <wps:txbx>
                      <w:txbxContent>
                        <w:p w14:paraId="727BF867">
                          <w:pPr>
                            <w:rPr>
                              <w:rFonts w:ascii="Rockwell" w:hAnsi="Rockwell" w:eastAsia="Rockwell" w:cs="Rockwell"/>
                              <w:color w:val="0078D7"/>
                              <w:sz w:val="18"/>
                              <w:szCs w:val="18"/>
                            </w:rPr>
                          </w:pPr>
                          <w:r>
                            <w:rPr>
                              <w:rFonts w:ascii="Rockwell" w:hAnsi="Rockwell" w:eastAsia="Rockwell" w:cs="Rockwell"/>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 id="Text Box 1" o:spid="_x0000_s1026" o:spt="202" alt="Information Classification: General" type="#_x0000_t202" style="position:absolute;left:0pt;height:25.55pt;width:163.55pt;mso-position-horizontal:left;mso-position-horizontal-relative:page;mso-position-vertical:bottom;mso-position-vertical-relative:page;mso-wrap-style:none;z-index:251659264;v-text-anchor:bottom;mso-width-relative:page;mso-height-relative:page;" filled="f" stroked="f" coordsize="21600,21600" o:gfxdata="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&#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N1jinTAAAABAEAAA8AAAAAAAAAAQAgAAAAIgAAAGRy&#10;cy9kb3ducmV2LnhtbFBLAQIUABQAAAAIAIdO4kAr9FyMQwIAAIkEAAAOAAAAAAAAAAEAIAAAACIB&#10;AABkcnMvZTJvRG9jLnhtbFBLBQYAAAAABgAGAFkBAADXBQAAAAA=&#10;">
              <v:fill on="f" focussize="0,0"/>
              <v:stroke on="f"/>
              <v:imagedata o:title=""/>
              <o:lock v:ext="edit" aspectratio="f"/>
              <v:textbox inset="20pt,0mm,0mm,15pt" style="mso-fit-shape-to-text:t;">
                <w:txbxContent>
                  <w:p w14:paraId="727BF867">
                    <w:pPr>
                      <w:rPr>
                        <w:rFonts w:ascii="Rockwell" w:hAnsi="Rockwell" w:eastAsia="Rockwell" w:cs="Rockwell"/>
                        <w:color w:val="0078D7"/>
                        <w:sz w:val="18"/>
                        <w:szCs w:val="18"/>
                      </w:rPr>
                    </w:pPr>
                    <w:r>
                      <w:rPr>
                        <w:rFonts w:ascii="Rockwell" w:hAnsi="Rockwell" w:eastAsia="Rockwell" w:cs="Rockwell"/>
                        <w:color w:val="0078D7"/>
                        <w:sz w:val="18"/>
                        <w:szCs w:val="18"/>
                      </w:rPr>
                      <w:t>Information Classification: General</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D76152C"/>
    <w:multiLevelType w:val="singleLevel"/>
    <w:tmpl w:val="5D76152C"/>
    <w:lvl w:ilvl="0" w:tentative="0">
      <w:start w:val="1"/>
      <w:numFmt w:val="upperLetter"/>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dlNGMyZTIzOTc1ZjZlYmFiNmY0ZTMwMmZhMmJlNDgifQ=="/>
  </w:docVars>
  <w:rsids>
    <w:rsidRoot w:val="1A8D1FEB"/>
    <w:rsid w:val="000D0897"/>
    <w:rsid w:val="00475DA6"/>
    <w:rsid w:val="00677D41"/>
    <w:rsid w:val="006B6706"/>
    <w:rsid w:val="006C37FC"/>
    <w:rsid w:val="00A4595B"/>
    <w:rsid w:val="00B76819"/>
    <w:rsid w:val="00BA4432"/>
    <w:rsid w:val="00E70D8B"/>
    <w:rsid w:val="094D16B8"/>
    <w:rsid w:val="0A681E50"/>
    <w:rsid w:val="145E61EA"/>
    <w:rsid w:val="1A8D1FEB"/>
    <w:rsid w:val="21147266"/>
    <w:rsid w:val="30A20307"/>
    <w:rsid w:val="322070BA"/>
    <w:rsid w:val="53844D7D"/>
    <w:rsid w:val="6858593D"/>
    <w:rsid w:val="68C161FA"/>
    <w:rsid w:val="7EEB07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9"/>
    <w:qFormat/>
    <w:uiPriority w:val="0"/>
    <w:rPr>
      <w:sz w:val="20"/>
      <w:szCs w:val="20"/>
    </w:rPr>
  </w:style>
  <w:style w:type="paragraph" w:styleId="3">
    <w:name w:val="footer"/>
    <w:basedOn w:val="1"/>
    <w:link w:val="8"/>
    <w:qFormat/>
    <w:uiPriority w:val="0"/>
    <w:pPr>
      <w:tabs>
        <w:tab w:val="center" w:pos="4513"/>
        <w:tab w:val="right" w:pos="9026"/>
      </w:tabs>
    </w:pPr>
  </w:style>
  <w:style w:type="paragraph" w:styleId="4">
    <w:name w:val="annotation subject"/>
    <w:basedOn w:val="2"/>
    <w:next w:val="2"/>
    <w:link w:val="10"/>
    <w:qFormat/>
    <w:uiPriority w:val="0"/>
    <w:rPr>
      <w:b/>
      <w:bCs/>
    </w:rPr>
  </w:style>
  <w:style w:type="character" w:styleId="7">
    <w:name w:val="annotation reference"/>
    <w:basedOn w:val="6"/>
    <w:qFormat/>
    <w:uiPriority w:val="0"/>
    <w:rPr>
      <w:sz w:val="16"/>
      <w:szCs w:val="16"/>
    </w:rPr>
  </w:style>
  <w:style w:type="character" w:customStyle="1" w:styleId="8">
    <w:name w:val="Footer Char"/>
    <w:basedOn w:val="6"/>
    <w:link w:val="3"/>
    <w:qFormat/>
    <w:uiPriority w:val="0"/>
    <w:rPr>
      <w:kern w:val="2"/>
      <w:sz w:val="21"/>
      <w:szCs w:val="24"/>
      <w:lang w:val="en-US" w:eastAsia="zh-CN"/>
    </w:rPr>
  </w:style>
  <w:style w:type="character" w:customStyle="1" w:styleId="9">
    <w:name w:val="Comment Text Char"/>
    <w:basedOn w:val="6"/>
    <w:link w:val="2"/>
    <w:qFormat/>
    <w:uiPriority w:val="0"/>
    <w:rPr>
      <w:kern w:val="2"/>
      <w:lang w:val="en-US" w:eastAsia="zh-CN"/>
    </w:rPr>
  </w:style>
  <w:style w:type="character" w:customStyle="1" w:styleId="10">
    <w:name w:val="Comment Subject Char"/>
    <w:basedOn w:val="9"/>
    <w:link w:val="4"/>
    <w:qFormat/>
    <w:uiPriority w:val="0"/>
    <w:rPr>
      <w:b/>
      <w:bCs/>
      <w:kern w:val="2"/>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tiff"/><Relationship Id="rId8" Type="http://schemas.openxmlformats.org/officeDocument/2006/relationships/image" Target="media/image2.tiff"/><Relationship Id="rId7" Type="http://schemas.openxmlformats.org/officeDocument/2006/relationships/image" Target="media/image1.tiff"/><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5.tiff"/><Relationship Id="rId10" Type="http://schemas.openxmlformats.org/officeDocument/2006/relationships/image" Target="media/image4.tiff"/><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553</Words>
  <Characters>3186</Characters>
  <Lines>25</Lines>
  <Paragraphs>7</Paragraphs>
  <TotalTime>6</TotalTime>
  <ScaleCrop>false</ScaleCrop>
  <LinksUpToDate>false</LinksUpToDate>
  <CharactersWithSpaces>3730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2024-11-03T21:19:00Z</dcterms:created>
  <dc:creator>T</dc:creator>
  <cp:lastModifiedBy>丁刚</cp:lastModifiedBy>
  <dcterms:modified xsi:type="dcterms:W3CDTF">2024-11-05T12:53:35Z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565A6C90083F4E3DA6F818B675700F94_13</vt:lpwstr>
  </property>
  <property fmtid="{D5CDD505-2E9C-101B-9397-08002B2CF9AE}" pid="4" name="ClassificationContentMarkingFooterShapeIds">
    <vt:lpwstr>5bfd3de0,39287bae,71d2a517</vt:lpwstr>
  </property>
  <property fmtid="{D5CDD505-2E9C-101B-9397-08002B2CF9AE}" pid="5" name="ClassificationContentMarkingFooterFontProps">
    <vt:lpwstr>#0078d7,9,Rockwell</vt:lpwstr>
  </property>
  <property fmtid="{D5CDD505-2E9C-101B-9397-08002B2CF9AE}" pid="6" name="ClassificationContentMarkingFooterText">
    <vt:lpwstr>Information Classification: General</vt:lpwstr>
  </property>
  <property fmtid="{D5CDD505-2E9C-101B-9397-08002B2CF9AE}" pid="7" name="MSIP_Label_2bbab825-a111-45e4-86a1-18cee0005896_Enabled">
    <vt:lpwstr>true</vt:lpwstr>
  </property>
  <property fmtid="{D5CDD505-2E9C-101B-9397-08002B2CF9AE}" pid="8" name="MSIP_Label_2bbab825-a111-45e4-86a1-18cee0005896_SetDate">
    <vt:lpwstr>2024-11-03T21:19:16Z</vt:lpwstr>
  </property>
  <property fmtid="{D5CDD505-2E9C-101B-9397-08002B2CF9AE}" pid="9" name="MSIP_Label_2bbab825-a111-45e4-86a1-18cee0005896_Method">
    <vt:lpwstr>Standard</vt:lpwstr>
  </property>
  <property fmtid="{D5CDD505-2E9C-101B-9397-08002B2CF9AE}" pid="10" name="MSIP_Label_2bbab825-a111-45e4-86a1-18cee0005896_Name">
    <vt:lpwstr>2bbab825-a111-45e4-86a1-18cee0005896</vt:lpwstr>
  </property>
  <property fmtid="{D5CDD505-2E9C-101B-9397-08002B2CF9AE}" pid="11" name="MSIP_Label_2bbab825-a111-45e4-86a1-18cee0005896_SiteId">
    <vt:lpwstr>2567d566-604c-408a-8a60-55d0dc9d9d6b</vt:lpwstr>
  </property>
  <property fmtid="{D5CDD505-2E9C-101B-9397-08002B2CF9AE}" pid="12" name="MSIP_Label_2bbab825-a111-45e4-86a1-18cee0005896_ActionId">
    <vt:lpwstr>8bed91c1-4a82-444f-801b-5e96959a4ac9</vt:lpwstr>
  </property>
  <property fmtid="{D5CDD505-2E9C-101B-9397-08002B2CF9AE}" pid="13" name="MSIP_Label_2bbab825-a111-45e4-86a1-18cee0005896_ContentBits">
    <vt:lpwstr>2</vt:lpwstr>
  </property>
</Properties>
</file>