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7630C7">
      <w:pPr>
        <w:spacing w:line="480" w:lineRule="auto"/>
        <w:rPr>
          <w:rFonts w:hint="eastAsia" w:ascii="Times New Roman" w:hAnsi="Times New Roman" w:eastAsia="宋体" w:cs="Times New Roman"/>
          <w:kern w:val="0"/>
          <w:sz w:val="24"/>
          <w:szCs w:val="24"/>
        </w:rPr>
      </w:pPr>
      <w:bookmarkStart w:id="0" w:name="OLE_LINK4"/>
      <w:r>
        <w:rPr>
          <w:rFonts w:hint="eastAsia" w:ascii="Times New Roman" w:hAnsi="Times New Roman" w:eastAsia="等线" w:cs="Times New Roman"/>
          <w:b/>
          <w:bCs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154940</wp:posOffset>
            </wp:positionV>
            <wp:extent cx="5262245" cy="2167255"/>
            <wp:effectExtent l="0" t="0" r="10795" b="12065"/>
            <wp:wrapSquare wrapText="bothSides"/>
            <wp:docPr id="1" name="图片 1" descr="Supplementary fig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.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等线" w:cs="Times New Roman"/>
          <w:b/>
          <w:bCs/>
          <w:sz w:val="24"/>
          <w:szCs w:val="24"/>
        </w:rPr>
        <w:t xml:space="preserve">Supplementary Figure 1. </w:t>
      </w:r>
      <w:r>
        <w:rPr>
          <w:rFonts w:ascii="Times New Roman" w:hAnsi="Times New Roman" w:eastAsia="宋体" w:cs="Times New Roman"/>
          <w:b/>
          <w:bCs/>
          <w:kern w:val="0"/>
          <w:sz w:val="24"/>
          <w:szCs w:val="24"/>
        </w:rPr>
        <w:t>Serum HDL of patients with different gout flares during the whole follow-up.</w:t>
      </w:r>
      <w:bookmarkEnd w:id="0"/>
      <w:r>
        <w:rPr>
          <w:rFonts w:ascii="Times New Roman" w:hAnsi="Times New Roman" w:eastAsia="宋体" w:cs="Times New Roman"/>
          <w:b/>
          <w:bCs/>
          <w:kern w:val="0"/>
          <w:sz w:val="24"/>
          <w:szCs w:val="24"/>
        </w:rPr>
        <w:t xml:space="preserve"> A. </w:t>
      </w:r>
      <w:r>
        <w:rPr>
          <w:rFonts w:ascii="Times New Roman" w:hAnsi="Times New Roman" w:cs="Times New Roman"/>
          <w:sz w:val="24"/>
          <w:szCs w:val="24"/>
        </w:rPr>
        <w:t xml:space="preserve">Serum HDL-C of patients with 0, 1, ≥2 gout flares during 12 weeks follow-up in all participants.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 and C. </w:t>
      </w:r>
      <w:r>
        <w:rPr>
          <w:rFonts w:ascii="Times New Roman" w:hAnsi="Times New Roman" w:cs="Times New Roman"/>
          <w:sz w:val="24"/>
          <w:szCs w:val="24"/>
        </w:rPr>
        <w:t xml:space="preserve">Serum HDL-C of patients with 0, 1, ≥2 gout flares during 12 weeks follow-up in low (B) and high (C) HDL-C group. 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HDL-C, high-density lipoprotein cholesterol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.</w:t>
      </w:r>
    </w:p>
    <w:p w14:paraId="2B98BD19">
      <w:pPr>
        <w:spacing w:line="480" w:lineRule="auto"/>
        <w:rPr>
          <w:rFonts w:hint="eastAsia" w:ascii="Times New Roman" w:hAnsi="Times New Roman" w:eastAsia="宋体" w:cs="Times New Roman"/>
          <w:kern w:val="0"/>
          <w:sz w:val="24"/>
          <w:szCs w:val="24"/>
        </w:rPr>
      </w:pPr>
    </w:p>
    <w:p w14:paraId="1139269D">
      <w:pPr>
        <w:spacing w:line="480" w:lineRule="auto"/>
        <w:rPr>
          <w:rFonts w:hint="eastAsia"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201295</wp:posOffset>
            </wp:positionV>
            <wp:extent cx="3934460" cy="2589530"/>
            <wp:effectExtent l="0" t="0" r="12700" b="1270"/>
            <wp:wrapSquare wrapText="bothSides"/>
            <wp:docPr id="2" name="图片 2" descr="Supplementary fig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.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53FFDA">
      <w:pPr>
        <w:rPr>
          <w:rFonts w:hint="eastAsia" w:eastAsiaTheme="minorEastAsia"/>
          <w:lang w:eastAsia="zh-CN"/>
        </w:rPr>
      </w:pPr>
    </w:p>
    <w:p w14:paraId="5E524EA6">
      <w:pPr>
        <w:rPr>
          <w:rFonts w:hint="eastAsia" w:eastAsiaTheme="minorEastAsia"/>
          <w:lang w:eastAsia="zh-CN"/>
        </w:rPr>
      </w:pPr>
    </w:p>
    <w:p w14:paraId="1BB97D9C">
      <w:pPr>
        <w:rPr>
          <w:rFonts w:hint="eastAsia" w:eastAsiaTheme="minorEastAsia"/>
          <w:lang w:eastAsia="zh-CN"/>
        </w:rPr>
      </w:pPr>
    </w:p>
    <w:p w14:paraId="01846C14">
      <w:pPr>
        <w:rPr>
          <w:rFonts w:hint="eastAsia" w:eastAsiaTheme="minorEastAsia"/>
          <w:lang w:eastAsia="zh-CN"/>
        </w:rPr>
      </w:pPr>
    </w:p>
    <w:p w14:paraId="36B06E56">
      <w:pPr>
        <w:rPr>
          <w:rFonts w:hint="eastAsia" w:eastAsiaTheme="minorEastAsia"/>
          <w:lang w:eastAsia="zh-CN"/>
        </w:rPr>
      </w:pPr>
    </w:p>
    <w:p w14:paraId="45D31F9A">
      <w:pPr>
        <w:rPr>
          <w:rFonts w:hint="eastAsia" w:eastAsiaTheme="minorEastAsia"/>
          <w:lang w:eastAsia="zh-CN"/>
        </w:rPr>
      </w:pPr>
    </w:p>
    <w:p w14:paraId="3187A8D5">
      <w:pPr>
        <w:rPr>
          <w:rFonts w:hint="eastAsia" w:eastAsiaTheme="minorEastAsia"/>
          <w:lang w:eastAsia="zh-CN"/>
        </w:rPr>
      </w:pPr>
    </w:p>
    <w:p w14:paraId="7C86C837">
      <w:pPr>
        <w:rPr>
          <w:rFonts w:hint="eastAsia" w:eastAsiaTheme="minorEastAsia"/>
          <w:lang w:eastAsia="zh-CN"/>
        </w:rPr>
      </w:pPr>
    </w:p>
    <w:p w14:paraId="45D34904">
      <w:pPr>
        <w:rPr>
          <w:rFonts w:hint="eastAsia" w:eastAsiaTheme="minorEastAsia"/>
          <w:lang w:eastAsia="zh-CN"/>
        </w:rPr>
      </w:pPr>
    </w:p>
    <w:p w14:paraId="19091D9D">
      <w:pPr>
        <w:rPr>
          <w:rFonts w:hint="eastAsia" w:eastAsiaTheme="minorEastAsia"/>
          <w:lang w:eastAsia="zh-CN"/>
        </w:rPr>
      </w:pPr>
    </w:p>
    <w:p w14:paraId="1EDE2016">
      <w:pPr>
        <w:rPr>
          <w:rFonts w:hint="eastAsia" w:eastAsiaTheme="minorEastAsia"/>
          <w:lang w:eastAsia="zh-CN"/>
        </w:rPr>
      </w:pPr>
    </w:p>
    <w:p w14:paraId="71BD50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  <w:r>
        <w:rPr>
          <w:rFonts w:ascii="Times New Roman" w:hAnsi="Times New Roman" w:eastAsia="等线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eastAsia="等线" w:cs="Times New Roman"/>
          <w:b/>
          <w:bCs/>
          <w:sz w:val="24"/>
          <w:szCs w:val="24"/>
        </w:rPr>
        <w:t>2.</w:t>
      </w:r>
      <w:r>
        <w:rPr>
          <w:rFonts w:ascii="Times New Roman" w:hAnsi="Times New Roman" w:eastAsia="等线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eastAsia="等线" w:cs="Times New Roman"/>
          <w:b/>
          <w:bCs/>
          <w:sz w:val="24"/>
          <w:szCs w:val="24"/>
        </w:rPr>
        <w:t xml:space="preserve">Serum urate mediation model of the relationship between serum HDL-C and gout flares. </w:t>
      </w:r>
      <w:r>
        <w:rPr>
          <w:rFonts w:ascii="Times New Roman" w:hAnsi="Times New Roman" w:cs="Times New Roman"/>
          <w:sz w:val="24"/>
          <w:szCs w:val="24"/>
        </w:rPr>
        <w:t>ME: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Mediation effect; DE: Direct effect; 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HDL-C, high-density lipoprotein cholesterol.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 xml:space="preserve">*** means </w:t>
      </w:r>
      <w:r>
        <w:rPr>
          <w:rFonts w:ascii="Times New Roman" w:hAnsi="Times New Roman" w:eastAsia="宋体" w:cs="Times New Roman"/>
          <w:i/>
          <w:iCs/>
          <w:kern w:val="0"/>
          <w:sz w:val="24"/>
          <w:szCs w:val="24"/>
        </w:rPr>
        <w:t>P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 xml:space="preserve"> &lt; 0</w:t>
      </w:r>
      <w:r>
        <w:rPr>
          <w:rFonts w:ascii="Times New Roman" w:hAnsi="Times New Roman" w:eastAsia="等线" w:cs="Times New Roman"/>
          <w:color w:val="000000"/>
          <w:kern w:val="0"/>
          <w:sz w:val="24"/>
          <w:szCs w:val="24"/>
        </w:rPr>
        <w:t>.0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01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  <w:t>.</w:t>
      </w:r>
    </w:p>
    <w:p w14:paraId="21998A43">
      <w:pPr>
        <w:rPr>
          <w:rFonts w:ascii="Times New Roman" w:hAnsi="Times New Roman" w:eastAsia="等线" w:cs="Times New Roman"/>
          <w:b/>
          <w:bCs/>
          <w:sz w:val="24"/>
          <w:szCs w:val="24"/>
        </w:rPr>
      </w:pPr>
      <w:r>
        <w:rPr>
          <w:rFonts w:ascii="Times New Roman" w:hAnsi="Times New Roman" w:eastAsia="等线" w:cs="Times New Roman"/>
          <w:b/>
          <w:bCs/>
          <w:sz w:val="24"/>
          <w:szCs w:val="24"/>
        </w:rPr>
        <w:t xml:space="preserve">Supplementary Table 1. Sensitivity analysis in the risk of gout flares. </w:t>
      </w:r>
    </w:p>
    <w:tbl>
      <w:tblPr>
        <w:tblStyle w:val="5"/>
        <w:tblW w:w="906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5"/>
        <w:gridCol w:w="1747"/>
        <w:gridCol w:w="1130"/>
        <w:gridCol w:w="1747"/>
        <w:gridCol w:w="1065"/>
      </w:tblGrid>
      <w:tr w14:paraId="15B4B9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3375" w:type="dxa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</w:tcPr>
          <w:p w14:paraId="696B830E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  <w:tc>
          <w:tcPr>
            <w:tcW w:w="2877" w:type="dxa"/>
            <w:gridSpan w:val="2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</w:tcPr>
          <w:p w14:paraId="665D30D1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Risk of gout flares</w:t>
            </w:r>
          </w:p>
          <w:p w14:paraId="5CBFF920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(Model 1)</w:t>
            </w:r>
          </w:p>
        </w:tc>
        <w:tc>
          <w:tcPr>
            <w:tcW w:w="2812" w:type="dxa"/>
            <w:gridSpan w:val="2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</w:tcPr>
          <w:p w14:paraId="22B7D950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Risk of gout flares</w:t>
            </w:r>
          </w:p>
          <w:p w14:paraId="4D7633E9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(Model 2)</w:t>
            </w:r>
          </w:p>
        </w:tc>
      </w:tr>
      <w:tr w14:paraId="0325CE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3375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</w:tcPr>
          <w:p w14:paraId="65C2DD79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  <w:tc>
          <w:tcPr>
            <w:tcW w:w="1747" w:type="dxa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</w:tcPr>
          <w:p w14:paraId="1B87D5A6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HR (95% CI)</w:t>
            </w:r>
          </w:p>
        </w:tc>
        <w:tc>
          <w:tcPr>
            <w:tcW w:w="1130" w:type="dxa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</w:tcPr>
          <w:p w14:paraId="6538C5D2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i/>
                <w:iCs/>
                <w:kern w:val="0"/>
                <w:szCs w:val="21"/>
                <w:lang w:bidi="ar"/>
              </w:rPr>
              <w:t>P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 xml:space="preserve"> value</w:t>
            </w:r>
          </w:p>
        </w:tc>
        <w:tc>
          <w:tcPr>
            <w:tcW w:w="1747" w:type="dxa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</w:tcPr>
          <w:p w14:paraId="7DD041DF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HR (95% CI)</w:t>
            </w:r>
          </w:p>
        </w:tc>
        <w:tc>
          <w:tcPr>
            <w:tcW w:w="1065" w:type="dxa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</w:tcPr>
          <w:p w14:paraId="11813F63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i/>
                <w:iCs/>
                <w:kern w:val="0"/>
                <w:szCs w:val="21"/>
                <w:lang w:bidi="ar"/>
              </w:rPr>
              <w:t>P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 xml:space="preserve"> value</w:t>
            </w:r>
          </w:p>
        </w:tc>
      </w:tr>
      <w:tr w14:paraId="6D4E17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3375" w:type="dxa"/>
            <w:tcBorders>
              <w:tl2br w:val="nil"/>
              <w:tr2bl w:val="nil"/>
            </w:tcBorders>
            <w:shd w:val="clear" w:color="auto" w:fill="auto"/>
          </w:tcPr>
          <w:p w14:paraId="63024D24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Extreme 5% of HDL-C excluded</w:t>
            </w:r>
          </w:p>
        </w:tc>
        <w:tc>
          <w:tcPr>
            <w:tcW w:w="1747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</w:tcPr>
          <w:p w14:paraId="1E3EF225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  <w:tc>
          <w:tcPr>
            <w:tcW w:w="1130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</w:tcPr>
          <w:p w14:paraId="183EEDC6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  <w:tc>
          <w:tcPr>
            <w:tcW w:w="1747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</w:tcPr>
          <w:p w14:paraId="18877C0F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  <w:tc>
          <w:tcPr>
            <w:tcW w:w="1065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</w:tcPr>
          <w:p w14:paraId="7E56A170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</w:tr>
      <w:tr w14:paraId="508F18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3375" w:type="dxa"/>
            <w:tcBorders>
              <w:tl2br w:val="nil"/>
              <w:tr2bl w:val="nil"/>
            </w:tcBorders>
            <w:shd w:val="clear" w:color="auto" w:fill="auto"/>
          </w:tcPr>
          <w:p w14:paraId="647024C0">
            <w:pPr>
              <w:spacing w:line="360" w:lineRule="auto"/>
              <w:ind w:left="420" w:leftChars="20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HDL-C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</w:tcPr>
          <w:p w14:paraId="4CBF7439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0.30 (0.15, 0.61)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shd w:val="clear" w:color="auto" w:fill="auto"/>
          </w:tcPr>
          <w:p w14:paraId="2B05E804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0.001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</w:tcPr>
          <w:p w14:paraId="418F7A8A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0.44 (0.21, 0.90)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</w:tcPr>
          <w:p w14:paraId="35D48D16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0.025</w:t>
            </w:r>
          </w:p>
        </w:tc>
      </w:tr>
      <w:tr w14:paraId="6FFABD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3375" w:type="dxa"/>
            <w:tcBorders>
              <w:tl2br w:val="nil"/>
              <w:tr2bl w:val="nil"/>
            </w:tcBorders>
            <w:shd w:val="clear" w:color="auto" w:fill="auto"/>
          </w:tcPr>
          <w:p w14:paraId="7B951CD2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Serum urate &gt; 10 mg/dL excluded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</w:tcPr>
          <w:p w14:paraId="37D6F417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  <w:tc>
          <w:tcPr>
            <w:tcW w:w="1130" w:type="dxa"/>
            <w:tcBorders>
              <w:tl2br w:val="nil"/>
              <w:tr2bl w:val="nil"/>
            </w:tcBorders>
            <w:shd w:val="clear" w:color="auto" w:fill="auto"/>
          </w:tcPr>
          <w:p w14:paraId="197EFE91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</w:tcPr>
          <w:p w14:paraId="06A6FCF9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</w:tcPr>
          <w:p w14:paraId="408CD040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 w14:paraId="5E52D0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3375" w:type="dxa"/>
            <w:tcBorders>
              <w:tl2br w:val="nil"/>
              <w:tr2bl w:val="nil"/>
            </w:tcBorders>
            <w:shd w:val="clear" w:color="auto" w:fill="auto"/>
          </w:tcPr>
          <w:p w14:paraId="0621B314">
            <w:pPr>
              <w:spacing w:line="360" w:lineRule="auto"/>
              <w:ind w:left="420" w:leftChars="20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HDL-C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</w:tcPr>
          <w:p w14:paraId="74368CCD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0.34 (0.17, 0.68)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shd w:val="clear" w:color="auto" w:fill="auto"/>
          </w:tcPr>
          <w:p w14:paraId="7A838DBF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0.002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</w:tcPr>
          <w:p w14:paraId="7822637B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Microsoft Sans Serif" w:cs="Times New Roman"/>
                <w:kern w:val="0"/>
                <w:szCs w:val="21"/>
                <w:lang w:bidi="ar"/>
              </w:rPr>
              <w:t>0.43 (0.20, 0.89)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</w:tcPr>
          <w:p w14:paraId="045A6EC7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Microsoft Sans Serif" w:cs="Times New Roman"/>
                <w:kern w:val="0"/>
                <w:szCs w:val="21"/>
                <w:lang w:bidi="ar"/>
              </w:rPr>
              <w:t>0.024</w:t>
            </w:r>
          </w:p>
        </w:tc>
      </w:tr>
      <w:tr w14:paraId="133FA9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3375" w:type="dxa"/>
            <w:tcBorders>
              <w:tl2br w:val="nil"/>
              <w:tr2bl w:val="nil"/>
            </w:tcBorders>
            <w:shd w:val="clear" w:color="auto" w:fill="auto"/>
          </w:tcPr>
          <w:p w14:paraId="05016CC9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Age &gt; 60 years excluded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</w:tcPr>
          <w:p w14:paraId="2E9FBA15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  <w:tc>
          <w:tcPr>
            <w:tcW w:w="1130" w:type="dxa"/>
            <w:tcBorders>
              <w:tl2br w:val="nil"/>
              <w:tr2bl w:val="nil"/>
            </w:tcBorders>
            <w:shd w:val="clear" w:color="auto" w:fill="auto"/>
          </w:tcPr>
          <w:p w14:paraId="5BA99335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</w:tcPr>
          <w:p w14:paraId="474CECCC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</w:tcPr>
          <w:p w14:paraId="73B2DDBB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 w14:paraId="329DE1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3375" w:type="dxa"/>
            <w:tcBorders>
              <w:bottom w:val="single" w:color="auto" w:sz="4" w:space="0"/>
            </w:tcBorders>
            <w:shd w:val="clear" w:color="auto" w:fill="auto"/>
          </w:tcPr>
          <w:p w14:paraId="73535751">
            <w:pPr>
              <w:spacing w:line="360" w:lineRule="auto"/>
              <w:ind w:left="420" w:leftChars="20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HDL-C</w:t>
            </w:r>
          </w:p>
        </w:tc>
        <w:tc>
          <w:tcPr>
            <w:tcW w:w="1747" w:type="dxa"/>
            <w:tcBorders>
              <w:bottom w:val="single" w:color="auto" w:sz="4" w:space="0"/>
            </w:tcBorders>
            <w:shd w:val="clear" w:color="auto" w:fill="auto"/>
          </w:tcPr>
          <w:p w14:paraId="5383DC8F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Microsoft Sans Serif" w:cs="Times New Roman"/>
                <w:kern w:val="0"/>
                <w:szCs w:val="21"/>
                <w:lang w:bidi="ar"/>
              </w:rPr>
              <w:t>0.34 (0.18, 0.64)</w:t>
            </w:r>
          </w:p>
        </w:tc>
        <w:tc>
          <w:tcPr>
            <w:tcW w:w="1130" w:type="dxa"/>
            <w:tcBorders>
              <w:bottom w:val="single" w:color="auto" w:sz="4" w:space="0"/>
            </w:tcBorders>
            <w:shd w:val="clear" w:color="auto" w:fill="auto"/>
          </w:tcPr>
          <w:p w14:paraId="2BABA07E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0.001</w:t>
            </w:r>
          </w:p>
        </w:tc>
        <w:tc>
          <w:tcPr>
            <w:tcW w:w="1747" w:type="dxa"/>
            <w:tcBorders>
              <w:bottom w:val="single" w:color="auto" w:sz="4" w:space="0"/>
            </w:tcBorders>
            <w:shd w:val="clear" w:color="auto" w:fill="auto"/>
          </w:tcPr>
          <w:p w14:paraId="285CA158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Microsoft Sans Serif" w:cs="Times New Roman"/>
                <w:kern w:val="0"/>
                <w:szCs w:val="21"/>
                <w:lang w:bidi="ar"/>
              </w:rPr>
              <w:t>0.45 (0.23, 0.87)</w:t>
            </w:r>
          </w:p>
        </w:tc>
        <w:tc>
          <w:tcPr>
            <w:tcW w:w="1065" w:type="dxa"/>
            <w:tcBorders>
              <w:bottom w:val="single" w:color="auto" w:sz="4" w:space="0"/>
            </w:tcBorders>
            <w:shd w:val="clear" w:color="auto" w:fill="auto"/>
          </w:tcPr>
          <w:p w14:paraId="72732928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0.018</w:t>
            </w:r>
          </w:p>
        </w:tc>
      </w:tr>
    </w:tbl>
    <w:p w14:paraId="29F06E0A">
      <w:pPr>
        <w:spacing w:line="480" w:lineRule="auto"/>
        <w:rPr>
          <w:rStyle w:val="6"/>
          <w:rFonts w:ascii="Times New Roman" w:hAnsi="Times New Roman" w:eastAsia="等线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rtl w:val="0"/>
          <w:cs w:val="0"/>
          <w:lang w:val="en-US" w:eastAsia="zh-CN"/>
        </w:rPr>
      </w:pPr>
      <w:r>
        <w:rPr>
          <w:rFonts w:ascii="Times New Roman" w:hAnsi="Times New Roman" w:eastAsia="等线" w:cs="Times New Roman"/>
          <w:sz w:val="24"/>
          <w:szCs w:val="24"/>
        </w:rPr>
        <w:t>Sensitivity analysis was conducted using cox regression analys</w:t>
      </w:r>
      <w:r>
        <w:rPr>
          <w:rFonts w:hint="eastAsia" w:ascii="Times New Roman" w:hAnsi="Times New Roman" w:eastAsia="等线" w:cs="Times New Roman"/>
          <w:sz w:val="24"/>
          <w:szCs w:val="24"/>
          <w:lang w:val="en-US" w:eastAsia="zh-CN"/>
        </w:rPr>
        <w:t>i</w:t>
      </w:r>
      <w:r>
        <w:rPr>
          <w:rFonts w:ascii="Times New Roman" w:hAnsi="Times New Roman" w:eastAsia="等线" w:cs="Times New Roman"/>
          <w:sz w:val="24"/>
          <w:szCs w:val="24"/>
        </w:rPr>
        <w:t xml:space="preserve">s. Model 1 was </w:t>
      </w:r>
      <w:r>
        <w:rPr>
          <w:rFonts w:hint="eastAsia" w:ascii="Times New Roman" w:hAnsi="Times New Roman" w:eastAsia="等线" w:cs="Times New Roman"/>
          <w:sz w:val="24"/>
          <w:szCs w:val="24"/>
          <w:lang w:val="en-US" w:eastAsia="zh-CN"/>
        </w:rPr>
        <w:t xml:space="preserve">a </w:t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  <w:t>univariate analysis of HDL-C</w:t>
      </w:r>
      <w:r>
        <w:rPr>
          <w:rStyle w:val="6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rtl w:val="0"/>
          <w:cs w:val="0"/>
          <w:lang w:val="en-US" w:eastAsia="zh-CN"/>
        </w:rPr>
        <w:t>levels</w:t>
      </w:r>
      <w:r>
        <w:rPr>
          <w:rStyle w:val="6"/>
          <w:rFonts w:ascii="Times New Roman" w:hAnsi="Times New Roman" w:eastAsia="宋体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rtl w:val="0"/>
          <w:cs w:val="0"/>
          <w:lang w:val="en-US" w:eastAsia="zh-CN"/>
        </w:rPr>
        <w:t>.</w:t>
      </w:r>
      <w:r>
        <w:rPr>
          <w:rFonts w:ascii="Times New Roman" w:hAnsi="Times New Roman" w:eastAsia="等线" w:cs="Times New Roman"/>
          <w:sz w:val="24"/>
          <w:szCs w:val="24"/>
        </w:rPr>
        <w:t xml:space="preserve"> Model 2 was a</w:t>
      </w:r>
      <w:r>
        <w:rPr>
          <w:rFonts w:ascii="Times New Roman" w:hAnsi="Times New Roman" w:cs="Times New Roman"/>
          <w:sz w:val="24"/>
          <w:szCs w:val="24"/>
        </w:rPr>
        <w:t xml:space="preserve"> backward stepwise regression</w:t>
      </w:r>
      <w:r>
        <w:rPr>
          <w:rFonts w:ascii="Times New Roman" w:hAnsi="Times New Roman" w:eastAsia="等线" w:cs="Times New Roman"/>
          <w:sz w:val="24"/>
          <w:szCs w:val="24"/>
        </w:rPr>
        <w:t xml:space="preserve"> adjust</w:t>
      </w:r>
      <w:r>
        <w:rPr>
          <w:rFonts w:hint="eastAsia" w:ascii="Times New Roman" w:hAnsi="Times New Roman" w:eastAsia="等线" w:cs="Times New Roman"/>
          <w:sz w:val="24"/>
          <w:szCs w:val="24"/>
          <w:lang w:val="en-US" w:eastAsia="zh-CN"/>
        </w:rPr>
        <w:t>ed</w:t>
      </w:r>
      <w:r>
        <w:rPr>
          <w:rFonts w:ascii="Times New Roman" w:hAnsi="Times New Roman" w:eastAsia="等线" w:cs="Times New Roman"/>
          <w:sz w:val="24"/>
          <w:szCs w:val="24"/>
        </w:rPr>
        <w:t xml:space="preserve"> for age, BMI, onset age</w:t>
      </w:r>
      <w:r>
        <w:rPr>
          <w:rStyle w:val="6"/>
          <w:rFonts w:ascii="Times New Roman" w:hAnsi="Times New Roman" w:eastAsia="等线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rtl w:val="0"/>
          <w:cs w:val="0"/>
          <w:lang w:val="en-US" w:eastAsia="zh-CN"/>
        </w:rPr>
        <w:t>, disease duration, positive family history, flare</w:t>
      </w:r>
      <w:r>
        <w:rPr>
          <w:rFonts w:ascii="Times New Roman" w:hAnsi="Times New Roman" w:eastAsia="等线" w:cs="Times New Roman"/>
          <w:sz w:val="24"/>
          <w:szCs w:val="24"/>
        </w:rPr>
        <w:t>d in the last year, recurrent flared in the last year, palpable tophus, ≥ 1 comorbidities, ULT drug, serum urate, blood glucose, triglyceride, total cholesterol, LDL-C, ALT, AST, eGFR</w:t>
      </w:r>
      <w:r>
        <w:rPr>
          <w:rStyle w:val="6"/>
          <w:rFonts w:ascii="Times New Roman" w:hAnsi="Times New Roman" w:eastAsia="等线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rtl w:val="0"/>
          <w:cs w:val="0"/>
          <w:lang w:val="en-US" w:eastAsia="zh-CN"/>
        </w:rPr>
        <w:t xml:space="preserve"> and HDL-C.</w:t>
      </w:r>
    </w:p>
    <w:p w14:paraId="7EB45788">
      <w:pPr>
        <w:spacing w:line="480" w:lineRule="auto"/>
        <w:rPr>
          <w:rStyle w:val="6"/>
          <w:rFonts w:ascii="Times New Roman" w:hAnsi="Times New Roman" w:eastAsia="等线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rtl w:val="0"/>
          <w:cs w:val="0"/>
          <w:lang w:val="en-US" w:eastAsia="zh-CN"/>
        </w:rPr>
      </w:pPr>
    </w:p>
    <w:p w14:paraId="09431372">
      <w:pPr>
        <w:spacing w:line="480" w:lineRule="auto"/>
        <w:rPr>
          <w:rFonts w:ascii="Times New Roman" w:hAnsi="Times New Roman" w:eastAsia="等线" w:cs="Times New Roman"/>
          <w:b/>
          <w:bCs/>
          <w:sz w:val="24"/>
          <w:szCs w:val="24"/>
        </w:rPr>
      </w:pPr>
    </w:p>
    <w:p w14:paraId="222CDA30">
      <w:pPr>
        <w:spacing w:line="480" w:lineRule="auto"/>
        <w:rPr>
          <w:rFonts w:ascii="Times New Roman" w:hAnsi="Times New Roman" w:eastAsia="等线" w:cs="Times New Roman"/>
          <w:b/>
          <w:bCs/>
          <w:sz w:val="24"/>
          <w:szCs w:val="24"/>
        </w:rPr>
      </w:pPr>
    </w:p>
    <w:p w14:paraId="65684CBC">
      <w:pPr>
        <w:spacing w:line="480" w:lineRule="auto"/>
        <w:rPr>
          <w:rFonts w:ascii="Times New Roman" w:hAnsi="Times New Roman" w:eastAsia="等线" w:cs="Times New Roman"/>
          <w:b/>
          <w:bCs/>
          <w:sz w:val="24"/>
          <w:szCs w:val="24"/>
        </w:rPr>
      </w:pPr>
    </w:p>
    <w:p w14:paraId="18315BBB">
      <w:pPr>
        <w:spacing w:line="480" w:lineRule="auto"/>
        <w:rPr>
          <w:rFonts w:ascii="Times New Roman" w:hAnsi="Times New Roman" w:eastAsia="等线" w:cs="Times New Roman"/>
          <w:b/>
          <w:bCs/>
          <w:sz w:val="24"/>
          <w:szCs w:val="24"/>
        </w:rPr>
      </w:pPr>
    </w:p>
    <w:p w14:paraId="5A206F9B">
      <w:pPr>
        <w:spacing w:line="480" w:lineRule="auto"/>
        <w:rPr>
          <w:rFonts w:ascii="Times New Roman" w:hAnsi="Times New Roman" w:eastAsia="等线" w:cs="Times New Roman"/>
          <w:b/>
          <w:bCs/>
          <w:sz w:val="24"/>
          <w:szCs w:val="24"/>
        </w:rPr>
      </w:pPr>
    </w:p>
    <w:p w14:paraId="23B1B455">
      <w:pPr>
        <w:spacing w:line="480" w:lineRule="auto"/>
        <w:rPr>
          <w:rFonts w:ascii="Times New Roman" w:hAnsi="Times New Roman" w:eastAsia="等线" w:cs="Times New Roman"/>
          <w:b/>
          <w:bCs/>
          <w:sz w:val="24"/>
          <w:szCs w:val="24"/>
        </w:rPr>
      </w:pPr>
    </w:p>
    <w:p w14:paraId="0A9300A8">
      <w:pPr>
        <w:spacing w:line="480" w:lineRule="auto"/>
        <w:rPr>
          <w:rFonts w:ascii="Times New Roman" w:hAnsi="Times New Roman" w:eastAsia="等线" w:cs="Times New Roman"/>
          <w:b/>
          <w:bCs/>
          <w:sz w:val="24"/>
          <w:szCs w:val="24"/>
        </w:rPr>
      </w:pPr>
    </w:p>
    <w:p w14:paraId="39A4A768">
      <w:pPr>
        <w:spacing w:line="480" w:lineRule="auto"/>
        <w:rPr>
          <w:rFonts w:ascii="Times New Roman" w:hAnsi="Times New Roman" w:eastAsia="等线" w:cs="Times New Roman"/>
          <w:b/>
          <w:bCs/>
          <w:sz w:val="24"/>
          <w:szCs w:val="24"/>
        </w:rPr>
      </w:pPr>
    </w:p>
    <w:p w14:paraId="2C14954E">
      <w:pPr>
        <w:spacing w:line="480" w:lineRule="auto"/>
        <w:rPr>
          <w:rFonts w:ascii="Times New Roman" w:hAnsi="Times New Roman" w:eastAsia="等线" w:cs="Times New Roman"/>
          <w:b/>
          <w:bCs/>
          <w:sz w:val="24"/>
          <w:szCs w:val="24"/>
        </w:rPr>
      </w:pPr>
    </w:p>
    <w:p w14:paraId="1DEC1BB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等线" w:cs="Times New Roman"/>
          <w:b/>
          <w:bCs/>
          <w:sz w:val="24"/>
          <w:szCs w:val="24"/>
        </w:rPr>
        <w:t>Supplementary Table 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Frequency of adverse events during the follow-up. </w:t>
      </w:r>
    </w:p>
    <w:tbl>
      <w:tblPr>
        <w:tblStyle w:val="4"/>
        <w:tblW w:w="8880" w:type="dxa"/>
        <w:tblCellSpacing w:w="0" w:type="dxa"/>
        <w:tblInd w:w="-435" w:type="dxa"/>
        <w:shd w:val="clear" w:color="auto" w:fill="FFFFFF" w:themeFill="background1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731"/>
        <w:gridCol w:w="1802"/>
        <w:gridCol w:w="1907"/>
        <w:gridCol w:w="1440"/>
      </w:tblGrid>
      <w:tr w14:paraId="18860AC2"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tblCellSpacing w:w="0" w:type="dxa"/>
        </w:trPr>
        <w:tc>
          <w:tcPr>
            <w:tcW w:w="3731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  <w:vAlign w:val="center"/>
          </w:tcPr>
          <w:p w14:paraId="3B58063A">
            <w:pPr>
              <w:pStyle w:val="3"/>
              <w:widowControl/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2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  <w:vAlign w:val="center"/>
          </w:tcPr>
          <w:p w14:paraId="0CE761DC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Low HDL-C</w:t>
            </w:r>
          </w:p>
          <w:p w14:paraId="2D1138BF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(n=203)</w:t>
            </w:r>
          </w:p>
        </w:tc>
        <w:tc>
          <w:tcPr>
            <w:tcW w:w="190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  <w:vAlign w:val="center"/>
          </w:tcPr>
          <w:p w14:paraId="47A14E27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High HDL-C</w:t>
            </w:r>
          </w:p>
          <w:p w14:paraId="5FD6113E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(n=191)</w:t>
            </w:r>
          </w:p>
        </w:tc>
        <w:tc>
          <w:tcPr>
            <w:tcW w:w="1440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  <w:vAlign w:val="center"/>
          </w:tcPr>
          <w:p w14:paraId="0E407C76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i/>
                <w:iCs/>
                <w:kern w:val="0"/>
                <w:sz w:val="21"/>
                <w:szCs w:val="21"/>
                <w:lang w:bidi="ar"/>
              </w:rPr>
              <w:t>P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1"/>
                <w:szCs w:val="21"/>
                <w:lang w:bidi="ar"/>
              </w:rPr>
              <w:t xml:space="preserve"> value</w:t>
            </w:r>
          </w:p>
        </w:tc>
      </w:tr>
      <w:tr w14:paraId="7F56FD02"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tblCellSpacing w:w="0" w:type="dxa"/>
        </w:trPr>
        <w:tc>
          <w:tcPr>
            <w:tcW w:w="3731" w:type="dxa"/>
            <w:shd w:val="clear" w:color="auto" w:fill="FFFFFF" w:themeFill="background1"/>
            <w:vAlign w:val="center"/>
          </w:tcPr>
          <w:p w14:paraId="4844AB45">
            <w:pPr>
              <w:pStyle w:val="3"/>
              <w:widowControl/>
              <w:spacing w:line="360" w:lineRule="auto"/>
              <w:ind w:left="210" w:leftChars="10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New</w:t>
            </w: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onset AST level elevation</w:t>
            </w:r>
          </w:p>
        </w:tc>
        <w:tc>
          <w:tcPr>
            <w:tcW w:w="1802" w:type="dxa"/>
            <w:shd w:val="clear" w:color="auto" w:fill="FFFFFF" w:themeFill="background1"/>
            <w:vAlign w:val="center"/>
          </w:tcPr>
          <w:p w14:paraId="3249EB78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25 (12.3)</w:t>
            </w:r>
          </w:p>
        </w:tc>
        <w:tc>
          <w:tcPr>
            <w:tcW w:w="1907" w:type="dxa"/>
            <w:shd w:val="clear" w:color="auto" w:fill="FFFFFF" w:themeFill="background1"/>
            <w:vAlign w:val="center"/>
          </w:tcPr>
          <w:p w14:paraId="03DB2B45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12 (6.3)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09D73117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0.056</w:t>
            </w:r>
          </w:p>
        </w:tc>
      </w:tr>
      <w:tr w14:paraId="0712F177"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tblCellSpacing w:w="0" w:type="dxa"/>
        </w:trPr>
        <w:tc>
          <w:tcPr>
            <w:tcW w:w="3731" w:type="dxa"/>
            <w:shd w:val="clear" w:color="auto" w:fill="FFFFFF" w:themeFill="background1"/>
            <w:vAlign w:val="center"/>
          </w:tcPr>
          <w:p w14:paraId="24CBD556">
            <w:pPr>
              <w:pStyle w:val="3"/>
              <w:widowControl/>
              <w:spacing w:line="360" w:lineRule="auto"/>
              <w:ind w:left="420" w:leftChars="20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1–2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times elevation</w:t>
            </w:r>
          </w:p>
        </w:tc>
        <w:tc>
          <w:tcPr>
            <w:tcW w:w="1802" w:type="dxa"/>
            <w:shd w:val="clear" w:color="auto" w:fill="FFFFFF" w:themeFill="background1"/>
            <w:vAlign w:val="center"/>
          </w:tcPr>
          <w:p w14:paraId="1378F71B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23 (11.3)</w:t>
            </w:r>
          </w:p>
        </w:tc>
        <w:tc>
          <w:tcPr>
            <w:tcW w:w="1907" w:type="dxa"/>
            <w:shd w:val="clear" w:color="auto" w:fill="FFFFFF" w:themeFill="background1"/>
            <w:vAlign w:val="center"/>
          </w:tcPr>
          <w:p w14:paraId="5AE2473C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12 (6.3)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5319B780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0.110</w:t>
            </w:r>
          </w:p>
        </w:tc>
      </w:tr>
      <w:tr w14:paraId="49A62436"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tblCellSpacing w:w="0" w:type="dxa"/>
        </w:trPr>
        <w:tc>
          <w:tcPr>
            <w:tcW w:w="3731" w:type="dxa"/>
            <w:shd w:val="clear" w:color="auto" w:fill="FFFFFF" w:themeFill="background1"/>
            <w:vAlign w:val="center"/>
          </w:tcPr>
          <w:p w14:paraId="17A0857F">
            <w:pPr>
              <w:pStyle w:val="3"/>
              <w:widowControl/>
              <w:spacing w:line="360" w:lineRule="auto"/>
              <w:ind w:left="420" w:leftChars="20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2–3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times elevation</w:t>
            </w:r>
          </w:p>
        </w:tc>
        <w:tc>
          <w:tcPr>
            <w:tcW w:w="1802" w:type="dxa"/>
            <w:shd w:val="clear" w:color="auto" w:fill="FFFFFF" w:themeFill="background1"/>
            <w:vAlign w:val="center"/>
          </w:tcPr>
          <w:p w14:paraId="268F4C15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 (0.5)</w:t>
            </w:r>
          </w:p>
        </w:tc>
        <w:tc>
          <w:tcPr>
            <w:tcW w:w="1907" w:type="dxa"/>
            <w:shd w:val="clear" w:color="auto" w:fill="FFFFFF" w:themeFill="background1"/>
            <w:vAlign w:val="center"/>
          </w:tcPr>
          <w:p w14:paraId="6F344CCE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 (0)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09F51881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1.000</w:t>
            </w:r>
          </w:p>
        </w:tc>
      </w:tr>
      <w:tr w14:paraId="369D4765"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tblCellSpacing w:w="0" w:type="dxa"/>
        </w:trPr>
        <w:tc>
          <w:tcPr>
            <w:tcW w:w="3731" w:type="dxa"/>
            <w:shd w:val="clear" w:color="auto" w:fill="FFFFFF" w:themeFill="background1"/>
            <w:vAlign w:val="center"/>
          </w:tcPr>
          <w:p w14:paraId="50706981">
            <w:pPr>
              <w:pStyle w:val="3"/>
              <w:widowControl/>
              <w:spacing w:line="360" w:lineRule="auto"/>
              <w:ind w:left="420" w:leftChars="20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&gt;3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times elevation</w:t>
            </w:r>
          </w:p>
        </w:tc>
        <w:tc>
          <w:tcPr>
            <w:tcW w:w="1802" w:type="dxa"/>
            <w:shd w:val="clear" w:color="auto" w:fill="FFFFFF" w:themeFill="background1"/>
            <w:vAlign w:val="center"/>
          </w:tcPr>
          <w:p w14:paraId="20C9221B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 (0.5)</w:t>
            </w:r>
          </w:p>
        </w:tc>
        <w:tc>
          <w:tcPr>
            <w:tcW w:w="1907" w:type="dxa"/>
            <w:shd w:val="clear" w:color="auto" w:fill="FFFFFF" w:themeFill="background1"/>
            <w:vAlign w:val="center"/>
          </w:tcPr>
          <w:p w14:paraId="716BC49F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 (0)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78B82EAD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1.000</w:t>
            </w:r>
          </w:p>
        </w:tc>
      </w:tr>
      <w:tr w14:paraId="61FC1C2C"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tblCellSpacing w:w="0" w:type="dxa"/>
        </w:trPr>
        <w:tc>
          <w:tcPr>
            <w:tcW w:w="3731" w:type="dxa"/>
            <w:shd w:val="clear" w:color="auto" w:fill="FFFFFF" w:themeFill="background1"/>
            <w:vAlign w:val="center"/>
          </w:tcPr>
          <w:p w14:paraId="53945D81">
            <w:pPr>
              <w:pStyle w:val="3"/>
              <w:widowControl/>
              <w:spacing w:line="360" w:lineRule="auto"/>
              <w:ind w:left="210" w:leftChars="10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New</w:t>
            </w: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onset ALT level elevation</w:t>
            </w:r>
          </w:p>
        </w:tc>
        <w:tc>
          <w:tcPr>
            <w:tcW w:w="1802" w:type="dxa"/>
            <w:shd w:val="clear" w:color="auto" w:fill="FFFFFF" w:themeFill="background1"/>
            <w:vAlign w:val="center"/>
          </w:tcPr>
          <w:p w14:paraId="2A62FD29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85 (41.9)</w:t>
            </w:r>
          </w:p>
        </w:tc>
        <w:tc>
          <w:tcPr>
            <w:tcW w:w="1907" w:type="dxa"/>
            <w:shd w:val="clear" w:color="auto" w:fill="FFFFFF" w:themeFill="background1"/>
            <w:vAlign w:val="center"/>
          </w:tcPr>
          <w:p w14:paraId="1E245267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49 (25.7)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1E0EC79E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0.001</w:t>
            </w:r>
          </w:p>
        </w:tc>
      </w:tr>
      <w:tr w14:paraId="390EFEE0"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tblCellSpacing w:w="0" w:type="dxa"/>
        </w:trPr>
        <w:tc>
          <w:tcPr>
            <w:tcW w:w="3731" w:type="dxa"/>
            <w:shd w:val="clear" w:color="auto" w:fill="FFFFFF" w:themeFill="background1"/>
            <w:vAlign w:val="center"/>
          </w:tcPr>
          <w:p w14:paraId="2D5B586B">
            <w:pPr>
              <w:pStyle w:val="3"/>
              <w:widowControl/>
              <w:spacing w:line="360" w:lineRule="auto"/>
              <w:ind w:left="420" w:leftChars="20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1–2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times elevation</w:t>
            </w:r>
          </w:p>
        </w:tc>
        <w:tc>
          <w:tcPr>
            <w:tcW w:w="1802" w:type="dxa"/>
            <w:shd w:val="clear" w:color="auto" w:fill="FFFFFF" w:themeFill="background1"/>
            <w:vAlign w:val="center"/>
          </w:tcPr>
          <w:p w14:paraId="439F5921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69 (34.0)</w:t>
            </w:r>
          </w:p>
        </w:tc>
        <w:tc>
          <w:tcPr>
            <w:tcW w:w="1907" w:type="dxa"/>
            <w:shd w:val="clear" w:color="auto" w:fill="FFFFFF" w:themeFill="background1"/>
            <w:vAlign w:val="center"/>
          </w:tcPr>
          <w:p w14:paraId="38809A5B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44 (23.0)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6401DDEB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0.019</w:t>
            </w:r>
          </w:p>
        </w:tc>
      </w:tr>
      <w:tr w14:paraId="225CC557"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tblCellSpacing w:w="0" w:type="dxa"/>
        </w:trPr>
        <w:tc>
          <w:tcPr>
            <w:tcW w:w="3731" w:type="dxa"/>
            <w:shd w:val="clear" w:color="auto" w:fill="FFFFFF" w:themeFill="background1"/>
            <w:vAlign w:val="center"/>
          </w:tcPr>
          <w:p w14:paraId="7DDEC3B0">
            <w:pPr>
              <w:pStyle w:val="3"/>
              <w:widowControl/>
              <w:spacing w:line="360" w:lineRule="auto"/>
              <w:ind w:left="420" w:leftChars="20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2–3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times elevation</w:t>
            </w:r>
          </w:p>
        </w:tc>
        <w:tc>
          <w:tcPr>
            <w:tcW w:w="1802" w:type="dxa"/>
            <w:shd w:val="clear" w:color="auto" w:fill="FFFFFF" w:themeFill="background1"/>
            <w:vAlign w:val="center"/>
          </w:tcPr>
          <w:p w14:paraId="3888E4AC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12 (5.9)</w:t>
            </w:r>
          </w:p>
        </w:tc>
        <w:tc>
          <w:tcPr>
            <w:tcW w:w="1907" w:type="dxa"/>
            <w:shd w:val="clear" w:color="auto" w:fill="FFFFFF" w:themeFill="background1"/>
            <w:vAlign w:val="center"/>
          </w:tcPr>
          <w:p w14:paraId="3EFB0487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 (2.6)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21857013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0.138</w:t>
            </w:r>
          </w:p>
        </w:tc>
      </w:tr>
      <w:tr w14:paraId="3B159C68"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tblCellSpacing w:w="0" w:type="dxa"/>
        </w:trPr>
        <w:tc>
          <w:tcPr>
            <w:tcW w:w="3731" w:type="dxa"/>
            <w:shd w:val="clear" w:color="auto" w:fill="FFFFFF" w:themeFill="background1"/>
            <w:vAlign w:val="center"/>
          </w:tcPr>
          <w:p w14:paraId="7DD65B87">
            <w:pPr>
              <w:pStyle w:val="3"/>
              <w:widowControl/>
              <w:spacing w:line="360" w:lineRule="auto"/>
              <w:ind w:left="420" w:leftChars="20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&gt;3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times elevation</w:t>
            </w:r>
          </w:p>
        </w:tc>
        <w:tc>
          <w:tcPr>
            <w:tcW w:w="1802" w:type="dxa"/>
            <w:shd w:val="clear" w:color="auto" w:fill="FFFFFF" w:themeFill="background1"/>
            <w:vAlign w:val="center"/>
          </w:tcPr>
          <w:p w14:paraId="76B8F4DE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 (2.0)</w:t>
            </w:r>
          </w:p>
        </w:tc>
        <w:tc>
          <w:tcPr>
            <w:tcW w:w="1907" w:type="dxa"/>
            <w:shd w:val="clear" w:color="auto" w:fill="FFFFFF" w:themeFill="background1"/>
            <w:vAlign w:val="center"/>
          </w:tcPr>
          <w:p w14:paraId="6FB0FF7A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 (0)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31681295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0.124</w:t>
            </w:r>
          </w:p>
        </w:tc>
      </w:tr>
      <w:tr w14:paraId="7221122F"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tblCellSpacing w:w="0" w:type="dxa"/>
        </w:trPr>
        <w:tc>
          <w:tcPr>
            <w:tcW w:w="3731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 w14:paraId="293A2131">
            <w:pPr>
              <w:pStyle w:val="3"/>
              <w:widowControl/>
              <w:spacing w:line="360" w:lineRule="auto"/>
              <w:ind w:left="210" w:leftChars="10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eGFR &lt;45 ml/minute/1.73 m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802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 w14:paraId="7219BC3C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 (0)</w:t>
            </w:r>
          </w:p>
        </w:tc>
        <w:tc>
          <w:tcPr>
            <w:tcW w:w="1907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 w14:paraId="4BD770EB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 (0)</w:t>
            </w:r>
          </w:p>
        </w:tc>
        <w:tc>
          <w:tcPr>
            <w:tcW w:w="1440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 w14:paraId="6E63C8E5">
            <w:pPr>
              <w:pStyle w:val="3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1.000</w:t>
            </w:r>
          </w:p>
        </w:tc>
      </w:tr>
    </w:tbl>
    <w:p w14:paraId="0AD6BED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rtl w:val="0"/>
          <w:cs w:val="0"/>
          <w:lang w:val="en-US"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New-onset elevation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was defined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elevation above the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normal </w:t>
      </w:r>
      <w:r>
        <w:rPr>
          <w:rStyle w:val="6"/>
          <w:rFonts w:ascii="Times New Roman" w:hAnsi="Times New Roman" w:eastAsia="等线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w w:val="100"/>
          <w:kern w:val="2"/>
          <w:position w:val="0"/>
          <w:sz w:val="24"/>
          <w:szCs w:val="24"/>
          <w:highlight w:val="none"/>
          <w:u w:val="none" w:color="auto"/>
          <w:rtl w:val="0"/>
          <w:cs w:val="0"/>
          <w:lang w:val="en-US" w:eastAsia="zh-CN"/>
        </w:rPr>
        <w:t xml:space="preserve">upper limit </w:t>
      </w:r>
      <w:r>
        <w:rPr>
          <w:rFonts w:ascii="Times New Roman" w:hAnsi="Times New Roman" w:cs="Times New Roman"/>
          <w:sz w:val="24"/>
          <w:szCs w:val="24"/>
        </w:rPr>
        <w:t>during follow-up.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HDL-C, high-density lipoprotein cholesterol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. 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 xml:space="preserve">ALT, alanine aminotransferase; AST, aspartate aminotransferase; </w:t>
      </w:r>
      <w:r>
        <w:rPr>
          <w:rFonts w:ascii="Times New Roman" w:hAnsi="Times New Roman" w:cs="Times New Roman"/>
          <w:sz w:val="24"/>
          <w:szCs w:val="24"/>
        </w:rPr>
        <w:t>eGFR, estimated glomerular filtration rate.</w:t>
      </w:r>
    </w:p>
    <w:p w14:paraId="4C7C58EA">
      <w:pPr>
        <w:rPr>
          <w:rFonts w:hint="eastAsia" w:ascii="Times New Roman" w:hAnsi="Times New Roman" w:eastAsia="等线" w:cs="Times New Roman"/>
          <w:b/>
          <w:bCs/>
          <w:sz w:val="24"/>
          <w:szCs w:val="24"/>
          <w:lang w:eastAsia="zh-CN"/>
        </w:rPr>
      </w:pP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983E05"/>
    <w:rsid w:val="6098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unhideWhenUsed/>
    <w:qFormat/>
    <w:uiPriority w:val="99"/>
    <w:rPr>
      <w:sz w:val="24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2024-11-19T08:14:00Z</dcterms:created>
  <dc:creator>JC</dc:creator>
  <cp:lastModifiedBy>JC</cp:lastModifiedBy>
  <dcterms:modified xsi:type="dcterms:W3CDTF">2024-11-19T08:32:40Z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7B0F864A169B42169FC6A63464273F32_11</vt:lpwstr>
  </property>
</Properties>
</file>