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B72B" w14:textId="67E74373" w:rsidR="001E20B8" w:rsidRDefault="00DB2214" w:rsidP="00F45CB5">
      <w:pPr>
        <w:spacing w:line="480" w:lineRule="auto"/>
      </w:pPr>
      <w:r>
        <w:rPr>
          <w:noProof/>
        </w:rPr>
        <w:drawing>
          <wp:inline distT="0" distB="0" distL="0" distR="0" wp14:anchorId="512B562D" wp14:editId="0A65F393">
            <wp:extent cx="5400040" cy="4050030"/>
            <wp:effectExtent l="0" t="0" r="0" b="7620"/>
            <wp:docPr id="5439511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839B" w14:textId="4D680131" w:rsidR="00F45CB5" w:rsidRDefault="00F45CB5" w:rsidP="00F45CB5">
      <w:pPr>
        <w:spacing w:line="480" w:lineRule="auto"/>
      </w:pPr>
      <w:r>
        <w:rPr>
          <w:rFonts w:hint="eastAsia"/>
        </w:rPr>
        <w:t>S</w:t>
      </w:r>
      <w:r>
        <w:t>uppl</w:t>
      </w:r>
      <w:r w:rsidR="00E05353">
        <w:rPr>
          <w:rFonts w:hint="eastAsia"/>
        </w:rPr>
        <w:t>e</w:t>
      </w:r>
      <w:r>
        <w:t>mentary</w:t>
      </w:r>
      <w:r w:rsidR="00E05353">
        <w:rPr>
          <w:rFonts w:hint="eastAsia"/>
        </w:rPr>
        <w:t xml:space="preserve"> Fig. S</w:t>
      </w:r>
      <w:r>
        <w:t>1</w:t>
      </w:r>
    </w:p>
    <w:p w14:paraId="1FB8C6A6" w14:textId="5371EC02" w:rsidR="00F45CB5" w:rsidRDefault="00E05353" w:rsidP="00F45CB5">
      <w:pPr>
        <w:spacing w:line="480" w:lineRule="auto"/>
      </w:pPr>
      <w:r>
        <w:rPr>
          <w:rFonts w:hint="eastAsia"/>
        </w:rPr>
        <w:t>R</w:t>
      </w:r>
      <w:r w:rsidR="00F45CB5" w:rsidRPr="00F26C70">
        <w:t>esults of AMAP1 knockdown:</w:t>
      </w:r>
      <w:r w:rsidR="00F45CB5">
        <w:t xml:space="preserve"> </w:t>
      </w:r>
      <w:r w:rsidR="00F45CB5" w:rsidRPr="00F26C70">
        <w:t xml:space="preserve">Western blot analysis showing the impact of AMAP1 knockdown on PD-L1 expression in non-small cell lung cancer cell lines: H460 (A), H1650 (B), H1792 (C), and H1975 (D), as well as in the pancreatic cancer cell line Panc-1 (E). In Panc-1, </w:t>
      </w:r>
      <w:r>
        <w:rPr>
          <w:rFonts w:hint="eastAsia"/>
        </w:rPr>
        <w:t>owing</w:t>
      </w:r>
      <w:r w:rsidR="00F45CB5" w:rsidRPr="00F26C70">
        <w:t xml:space="preserve"> to the low expression of PD-L1, IFN-γ was used at a concentration of 50 ng/ml in some experiments. NC, negative control.</w:t>
      </w:r>
    </w:p>
    <w:p w14:paraId="0EA99E7B" w14:textId="77777777" w:rsidR="00F45CB5" w:rsidRDefault="00F45CB5" w:rsidP="00F45CB5">
      <w:pPr>
        <w:spacing w:line="480" w:lineRule="auto"/>
      </w:pPr>
    </w:p>
    <w:p w14:paraId="62516D20" w14:textId="0E16BCA7" w:rsidR="001E20B8" w:rsidRDefault="00DB2214" w:rsidP="00F45CB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65ABED90" wp14:editId="00424BE3">
            <wp:extent cx="5400040" cy="4050030"/>
            <wp:effectExtent l="0" t="0" r="0" b="7620"/>
            <wp:docPr id="14058368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95CC" w14:textId="6F704B83" w:rsidR="00F45CB5" w:rsidRDefault="00F45CB5" w:rsidP="00F45CB5">
      <w:pPr>
        <w:spacing w:line="480" w:lineRule="auto"/>
      </w:pPr>
      <w:r>
        <w:rPr>
          <w:rFonts w:hint="eastAsia"/>
        </w:rPr>
        <w:t>S</w:t>
      </w:r>
      <w:r>
        <w:t>uppl</w:t>
      </w:r>
      <w:r w:rsidR="00E05353">
        <w:rPr>
          <w:rFonts w:hint="eastAsia"/>
        </w:rPr>
        <w:t>e</w:t>
      </w:r>
      <w:r>
        <w:t>mentary</w:t>
      </w:r>
      <w:r w:rsidR="00E05353">
        <w:rPr>
          <w:rFonts w:hint="eastAsia"/>
        </w:rPr>
        <w:t xml:space="preserve"> Fig. S</w:t>
      </w:r>
      <w:r>
        <w:t>2</w:t>
      </w:r>
    </w:p>
    <w:p w14:paraId="354C8708" w14:textId="0C9B58AC" w:rsidR="00F45CB5" w:rsidRDefault="00F45CB5" w:rsidP="00F45CB5">
      <w:pPr>
        <w:spacing w:line="480" w:lineRule="auto"/>
      </w:pPr>
      <w:r w:rsidRPr="00F26C70">
        <w:t>Changes in the expression of activated RTKs when AMAP1 was knocked down</w:t>
      </w:r>
      <w:r>
        <w:t xml:space="preserve">: </w:t>
      </w:r>
      <w:r w:rsidR="00E05353">
        <w:rPr>
          <w:rFonts w:hint="eastAsia"/>
        </w:rPr>
        <w:t>I</w:t>
      </w:r>
      <w:r w:rsidRPr="00F26C70">
        <w:t>nvestigation of changes in activated RTK expression when AMAP1 was knocked down, u</w:t>
      </w:r>
      <w:r w:rsidR="00E05353">
        <w:rPr>
          <w:rFonts w:hint="eastAsia"/>
        </w:rPr>
        <w:t>s</w:t>
      </w:r>
      <w:r w:rsidRPr="00F26C70">
        <w:t>ing the activated RTKs assay. The graph represents the semi-quantification of 71 types of antibodies targeting activated receptor tyrosine kinases in (A) HCC4006 and (B) A549</w:t>
      </w:r>
      <w:r w:rsidR="00E05353">
        <w:rPr>
          <w:rFonts w:hint="eastAsia"/>
        </w:rPr>
        <w:t xml:space="preserve"> cells using </w:t>
      </w:r>
      <w:r w:rsidR="00177131">
        <w:rPr>
          <w:rFonts w:hint="eastAsia"/>
        </w:rPr>
        <w:t xml:space="preserve">the </w:t>
      </w:r>
      <w:r w:rsidR="00177131" w:rsidRPr="00F26C70">
        <w:t xml:space="preserve">ImageJ </w:t>
      </w:r>
      <w:r w:rsidR="00177131">
        <w:rPr>
          <w:rFonts w:hint="eastAsia"/>
        </w:rPr>
        <w:t>software</w:t>
      </w:r>
      <w:r w:rsidRPr="00F26C70">
        <w:t>. The vertical axis of the graph represents the brightness measured when the positive controls of each array were combined and standardized.</w:t>
      </w:r>
    </w:p>
    <w:p w14:paraId="53E5022A" w14:textId="77777777" w:rsidR="00F45CB5" w:rsidRDefault="00F45CB5" w:rsidP="00F45CB5">
      <w:pPr>
        <w:spacing w:line="480" w:lineRule="auto"/>
      </w:pPr>
    </w:p>
    <w:p w14:paraId="14C42234" w14:textId="2DBAF0A2" w:rsidR="001E20B8" w:rsidRDefault="00DB2214" w:rsidP="00F45CB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2D8F477C" wp14:editId="16C0DF46">
            <wp:extent cx="5400040" cy="4050030"/>
            <wp:effectExtent l="0" t="0" r="0" b="7620"/>
            <wp:docPr id="176408240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F14F" w14:textId="215B33F4" w:rsidR="00F45CB5" w:rsidRDefault="00F45CB5" w:rsidP="00F45CB5">
      <w:pPr>
        <w:spacing w:line="480" w:lineRule="auto"/>
      </w:pPr>
      <w:r>
        <w:rPr>
          <w:rFonts w:hint="eastAsia"/>
        </w:rPr>
        <w:t>S</w:t>
      </w:r>
      <w:r>
        <w:t>uppl</w:t>
      </w:r>
      <w:r w:rsidR="00E05353">
        <w:rPr>
          <w:rFonts w:hint="eastAsia"/>
        </w:rPr>
        <w:t>e</w:t>
      </w:r>
      <w:r>
        <w:t>mentary</w:t>
      </w:r>
      <w:r w:rsidR="00E05353">
        <w:rPr>
          <w:rFonts w:hint="eastAsia"/>
        </w:rPr>
        <w:t xml:space="preserve"> Fig. S</w:t>
      </w:r>
      <w:r>
        <w:t>3</w:t>
      </w:r>
    </w:p>
    <w:p w14:paraId="3A861454" w14:textId="7D1D2147" w:rsidR="00F45CB5" w:rsidRDefault="00E05353" w:rsidP="00F45CB5">
      <w:pPr>
        <w:spacing w:line="480" w:lineRule="auto"/>
      </w:pPr>
      <w:r>
        <w:rPr>
          <w:rFonts w:hint="eastAsia"/>
        </w:rPr>
        <w:t>R</w:t>
      </w:r>
      <w:r w:rsidR="00F45CB5" w:rsidRPr="007750BD">
        <w:t xml:space="preserve">esults of the IC50 when using </w:t>
      </w:r>
      <w:r>
        <w:rPr>
          <w:rFonts w:hint="eastAsia"/>
        </w:rPr>
        <w:t>o</w:t>
      </w:r>
      <w:r w:rsidR="00F45CB5" w:rsidRPr="007750BD">
        <w:t>simertinib</w:t>
      </w:r>
      <w:r w:rsidR="00F45CB5">
        <w:t xml:space="preserve">: </w:t>
      </w:r>
      <w:r w:rsidR="00F45CB5" w:rsidRPr="007750BD">
        <w:t xml:space="preserve">Viability of HCC4006 (A) and A549 (B) </w:t>
      </w:r>
      <w:r>
        <w:rPr>
          <w:rFonts w:hint="eastAsia"/>
        </w:rPr>
        <w:t xml:space="preserve">cells </w:t>
      </w:r>
      <w:r w:rsidR="00F45CB5" w:rsidRPr="007750BD">
        <w:t>incubated with increasing concentrations of osimertinib for 72 h. IC50 values were calculated using Prism 7 (GraphPad).</w:t>
      </w:r>
    </w:p>
    <w:p w14:paraId="44C6AFEF" w14:textId="77777777" w:rsidR="00F45CB5" w:rsidRDefault="00F45CB5" w:rsidP="00F45CB5">
      <w:pPr>
        <w:spacing w:line="480" w:lineRule="auto"/>
      </w:pPr>
    </w:p>
    <w:p w14:paraId="19E15743" w14:textId="77777777" w:rsidR="001E20B8" w:rsidRDefault="001E20B8" w:rsidP="00F45CB5">
      <w:pPr>
        <w:spacing w:line="480" w:lineRule="auto"/>
      </w:pPr>
    </w:p>
    <w:p w14:paraId="6A79FD89" w14:textId="7EB21239" w:rsidR="001E20B8" w:rsidRDefault="00DB2214" w:rsidP="00F45CB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1086A87C" wp14:editId="28EFE8C0">
            <wp:extent cx="5400040" cy="4050030"/>
            <wp:effectExtent l="0" t="0" r="0" b="7620"/>
            <wp:docPr id="1733715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405D" w14:textId="518A5FCF" w:rsidR="00F45CB5" w:rsidRDefault="00F45CB5" w:rsidP="00F45CB5">
      <w:pPr>
        <w:spacing w:line="480" w:lineRule="auto"/>
      </w:pPr>
      <w:r>
        <w:rPr>
          <w:rFonts w:hint="eastAsia"/>
        </w:rPr>
        <w:t>S</w:t>
      </w:r>
      <w:r>
        <w:t>uppl</w:t>
      </w:r>
      <w:r w:rsidR="00B71BAE">
        <w:rPr>
          <w:rFonts w:hint="eastAsia"/>
        </w:rPr>
        <w:t>e</w:t>
      </w:r>
      <w:r>
        <w:t>mentary</w:t>
      </w:r>
      <w:r w:rsidR="00B71BAE">
        <w:rPr>
          <w:rFonts w:hint="eastAsia"/>
        </w:rPr>
        <w:t xml:space="preserve"> Fig</w:t>
      </w:r>
      <w:r>
        <w:t>.</w:t>
      </w:r>
      <w:r w:rsidR="00B71BAE">
        <w:rPr>
          <w:rFonts w:hint="eastAsia"/>
        </w:rPr>
        <w:t xml:space="preserve"> S</w:t>
      </w:r>
      <w:r>
        <w:t>4</w:t>
      </w:r>
    </w:p>
    <w:p w14:paraId="75A9EFC5" w14:textId="3ACF0224" w:rsidR="00F45CB5" w:rsidRDefault="00B71BAE" w:rsidP="00F45CB5">
      <w:pPr>
        <w:spacing w:line="480" w:lineRule="auto"/>
      </w:pPr>
      <w:r>
        <w:rPr>
          <w:rFonts w:hint="eastAsia"/>
        </w:rPr>
        <w:t>R</w:t>
      </w:r>
      <w:r w:rsidR="00F45CB5" w:rsidRPr="00F26C70">
        <w:t>esults of inhibiting pEGFR using the EGFR inhibitor gefitinib:</w:t>
      </w:r>
      <w:r w:rsidR="00F45CB5">
        <w:t xml:space="preserve"> </w:t>
      </w:r>
      <w:r w:rsidR="00F45CB5" w:rsidRPr="00F26C70">
        <w:t xml:space="preserve">Western blot analysis showing the inhibition of pEGFR in HCC4006 (A) using gefitinib. The gefitinib was set </w:t>
      </w:r>
      <w:r>
        <w:rPr>
          <w:rFonts w:hint="eastAsia"/>
        </w:rPr>
        <w:t>to</w:t>
      </w:r>
      <w:r w:rsidR="00F45CB5" w:rsidRPr="00F26C70">
        <w:t xml:space="preserve"> 100</w:t>
      </w:r>
      <w:r w:rsidR="00F45CB5">
        <w:t xml:space="preserve"> </w:t>
      </w:r>
      <w:r w:rsidR="00F45CB5" w:rsidRPr="00F26C70">
        <w:t>nM.</w:t>
      </w:r>
      <w:r>
        <w:rPr>
          <w:rFonts w:hint="eastAsia"/>
        </w:rPr>
        <w:t xml:space="preserve"> </w:t>
      </w:r>
      <w:r w:rsidR="00F45CB5" w:rsidRPr="00F26C70">
        <w:t>Western blot analysis demonstrat</w:t>
      </w:r>
      <w:r>
        <w:rPr>
          <w:rFonts w:hint="eastAsia"/>
        </w:rPr>
        <w:t>es</w:t>
      </w:r>
      <w:r w:rsidR="00F45CB5" w:rsidRPr="00F26C70">
        <w:t xml:space="preserve"> the inhibition of pEGFR in A549 (C) </w:t>
      </w:r>
      <w:r>
        <w:rPr>
          <w:rFonts w:hint="eastAsia"/>
        </w:rPr>
        <w:t>cells treated with</w:t>
      </w:r>
      <w:r w:rsidR="00F45CB5" w:rsidRPr="00F26C70">
        <w:t xml:space="preserve"> gefitinib. The concentration of gefitinib was set at 10</w:t>
      </w:r>
      <w:r w:rsidR="00F45CB5">
        <w:t xml:space="preserve"> </w:t>
      </w:r>
      <w:r w:rsidR="00F45CB5" w:rsidRPr="007750BD">
        <w:rPr>
          <w:rFonts w:cs="Arial"/>
        </w:rPr>
        <w:t>μ</w:t>
      </w:r>
      <w:r w:rsidR="00F45CB5" w:rsidRPr="00F26C70">
        <w:t>M. For A549</w:t>
      </w:r>
      <w:r>
        <w:rPr>
          <w:rFonts w:hint="eastAsia"/>
        </w:rPr>
        <w:t xml:space="preserve"> cells</w:t>
      </w:r>
      <w:r w:rsidR="00F45CB5" w:rsidRPr="00F26C70">
        <w:t xml:space="preserve">, </w:t>
      </w:r>
      <w:r>
        <w:rPr>
          <w:rFonts w:hint="eastAsia"/>
        </w:rPr>
        <w:t>owing</w:t>
      </w:r>
      <w:r w:rsidR="00F45CB5" w:rsidRPr="00F26C70">
        <w:t xml:space="preserve"> to the low PD-L1 expression, stimulation was performed with TGF-β</w:t>
      </w:r>
      <w:r w:rsidR="00F45CB5">
        <w:t xml:space="preserve"> </w:t>
      </w:r>
      <w:r w:rsidR="00F45CB5" w:rsidRPr="00F26C70">
        <w:t>1</w:t>
      </w:r>
      <w:r w:rsidR="00F45CB5">
        <w:t xml:space="preserve"> </w:t>
      </w:r>
      <w:r w:rsidR="00F45CB5" w:rsidRPr="00F26C70">
        <w:t xml:space="preserve">ng/ml. Each result was semi-quantified using </w:t>
      </w:r>
      <w:r w:rsidR="00177131">
        <w:rPr>
          <w:rFonts w:hint="eastAsia"/>
        </w:rPr>
        <w:t xml:space="preserve">the </w:t>
      </w:r>
      <w:r w:rsidR="00F45CB5" w:rsidRPr="00F26C70">
        <w:t xml:space="preserve">ImageJ </w:t>
      </w:r>
      <w:r w:rsidR="00177131">
        <w:rPr>
          <w:rFonts w:hint="eastAsia"/>
        </w:rPr>
        <w:t xml:space="preserve">software </w:t>
      </w:r>
      <w:r w:rsidR="00F45CB5" w:rsidRPr="00F26C70">
        <w:t xml:space="preserve">(B and D). The vertical axis represents the band ratio normalized to the brightness of the negative control (set </w:t>
      </w:r>
      <w:r>
        <w:rPr>
          <w:rFonts w:hint="eastAsia"/>
        </w:rPr>
        <w:t>to</w:t>
      </w:r>
      <w:r w:rsidR="00F45CB5" w:rsidRPr="00F26C70">
        <w:t xml:space="preserve"> 1)</w:t>
      </w:r>
      <w:r w:rsidR="00F45CB5">
        <w:t>.</w:t>
      </w:r>
      <w:r w:rsidR="00F45CB5" w:rsidRPr="00F26C70">
        <w:t xml:space="preserve"> NC, negative control.</w:t>
      </w:r>
    </w:p>
    <w:p w14:paraId="13605D6B" w14:textId="77777777" w:rsidR="00F45CB5" w:rsidRDefault="00F45CB5" w:rsidP="00F45CB5">
      <w:pPr>
        <w:spacing w:line="480" w:lineRule="auto"/>
      </w:pPr>
    </w:p>
    <w:p w14:paraId="52BEE0A6" w14:textId="091F1239" w:rsidR="001E20B8" w:rsidRDefault="00DB2214" w:rsidP="00F45CB5">
      <w:pPr>
        <w:spacing w:line="480" w:lineRule="auto"/>
      </w:pPr>
      <w:r>
        <w:rPr>
          <w:noProof/>
        </w:rPr>
        <w:drawing>
          <wp:inline distT="0" distB="0" distL="0" distR="0" wp14:anchorId="5109CF98" wp14:editId="2DA1881F">
            <wp:extent cx="5400040" cy="4050030"/>
            <wp:effectExtent l="0" t="0" r="0" b="7620"/>
            <wp:docPr id="113237005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C874B" w14:textId="77777777" w:rsidR="00F45CB5" w:rsidRDefault="00F45CB5" w:rsidP="00F45CB5">
      <w:pPr>
        <w:spacing w:line="480" w:lineRule="auto"/>
      </w:pPr>
      <w:r>
        <w:rPr>
          <w:rFonts w:hint="eastAsia"/>
        </w:rPr>
        <w:t>T</w:t>
      </w:r>
      <w:r>
        <w:t>able S1.</w:t>
      </w:r>
      <w:r w:rsidRPr="00C63D49">
        <w:t xml:space="preserve"> </w:t>
      </w:r>
    </w:p>
    <w:p w14:paraId="770F35A3" w14:textId="77777777" w:rsidR="00F45CB5" w:rsidRPr="00C63D49" w:rsidRDefault="00F45CB5" w:rsidP="00F45CB5">
      <w:pPr>
        <w:spacing w:line="480" w:lineRule="auto"/>
      </w:pPr>
      <w:r w:rsidRPr="00C63D49">
        <w:t>Sequences of siRNAs used in the present study</w:t>
      </w:r>
    </w:p>
    <w:p w14:paraId="00DAA8EF" w14:textId="77777777" w:rsidR="00F45CB5" w:rsidRPr="00F45CB5" w:rsidRDefault="00F45CB5" w:rsidP="00F45CB5">
      <w:pPr>
        <w:spacing w:line="480" w:lineRule="auto"/>
      </w:pPr>
    </w:p>
    <w:sectPr w:rsidR="00F45CB5" w:rsidRPr="00F45CB5" w:rsidSect="000F6A6C">
      <w:footerReference w:type="even" r:id="rId13"/>
      <w:footerReference w:type="default" r:id="rId14"/>
      <w:footerReference w:type="first" r:id="rId15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70A" w14:textId="77777777" w:rsidR="00942548" w:rsidRDefault="00942548" w:rsidP="00203B3C">
      <w:r>
        <w:separator/>
      </w:r>
    </w:p>
  </w:endnote>
  <w:endnote w:type="continuationSeparator" w:id="0">
    <w:p w14:paraId="4B0DE506" w14:textId="77777777" w:rsidR="00942548" w:rsidRDefault="00942548" w:rsidP="002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2071" w14:textId="6F883F74" w:rsidR="00480D2C" w:rsidRDefault="00480D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F73695" wp14:editId="42555E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7706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97227" w14:textId="42ED3841" w:rsidR="00480D2C" w:rsidRPr="00480D2C" w:rsidRDefault="00480D2C" w:rsidP="00480D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0D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736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897227" w14:textId="42ED3841" w:rsidR="00480D2C" w:rsidRPr="00480D2C" w:rsidRDefault="00480D2C" w:rsidP="00480D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0D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FF33" w14:textId="704B7B76" w:rsidR="0087177D" w:rsidRDefault="00480D2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C50E2" wp14:editId="3C1731A4">
              <wp:simplePos x="1077951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5459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E6829" w14:textId="2AFE98BB" w:rsidR="00480D2C" w:rsidRPr="00480D2C" w:rsidRDefault="00480D2C" w:rsidP="00480D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0D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50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4E6829" w14:textId="2AFE98BB" w:rsidR="00480D2C" w:rsidRPr="00480D2C" w:rsidRDefault="00480D2C" w:rsidP="00480D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0D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43737422"/>
        <w:docPartObj>
          <w:docPartGallery w:val="Page Numbers (Bottom of Page)"/>
          <w:docPartUnique/>
        </w:docPartObj>
      </w:sdtPr>
      <w:sdtEndPr/>
      <w:sdtContent>
        <w:r w:rsidR="0087177D">
          <w:fldChar w:fldCharType="begin"/>
        </w:r>
        <w:r w:rsidR="0087177D">
          <w:instrText>PAGE   \* MERGEFORMAT</w:instrText>
        </w:r>
        <w:r w:rsidR="0087177D">
          <w:fldChar w:fldCharType="separate"/>
        </w:r>
        <w:r w:rsidR="0087177D">
          <w:rPr>
            <w:lang w:val="ja-JP"/>
          </w:rPr>
          <w:t>2</w:t>
        </w:r>
        <w:r w:rsidR="0087177D">
          <w:fldChar w:fldCharType="end"/>
        </w:r>
      </w:sdtContent>
    </w:sdt>
  </w:p>
  <w:p w14:paraId="0E082360" w14:textId="77777777" w:rsidR="0087177D" w:rsidRDefault="0087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E0E0" w14:textId="11B6728A" w:rsidR="00480D2C" w:rsidRDefault="00480D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4DBF2" wp14:editId="7E09AD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567026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761DA" w14:textId="58F1B37F" w:rsidR="00480D2C" w:rsidRPr="00480D2C" w:rsidRDefault="00480D2C" w:rsidP="00480D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0D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D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7761DA" w14:textId="58F1B37F" w:rsidR="00480D2C" w:rsidRPr="00480D2C" w:rsidRDefault="00480D2C" w:rsidP="00480D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0D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6A75" w14:textId="77777777" w:rsidR="00942548" w:rsidRDefault="00942548" w:rsidP="00203B3C">
      <w:r>
        <w:separator/>
      </w:r>
    </w:p>
  </w:footnote>
  <w:footnote w:type="continuationSeparator" w:id="0">
    <w:p w14:paraId="5A1D3753" w14:textId="77777777" w:rsidR="00942548" w:rsidRDefault="00942548" w:rsidP="0020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5B3F"/>
    <w:multiLevelType w:val="hybridMultilevel"/>
    <w:tmpl w:val="BB68289C"/>
    <w:lvl w:ilvl="0" w:tplc="96FE1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933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5E"/>
    <w:rsid w:val="00022228"/>
    <w:rsid w:val="00036A2B"/>
    <w:rsid w:val="00037131"/>
    <w:rsid w:val="000373EB"/>
    <w:rsid w:val="00063E26"/>
    <w:rsid w:val="00064DA7"/>
    <w:rsid w:val="000932B2"/>
    <w:rsid w:val="000C6B0A"/>
    <w:rsid w:val="000D649A"/>
    <w:rsid w:val="000E1ACC"/>
    <w:rsid w:val="000F0F56"/>
    <w:rsid w:val="000F3761"/>
    <w:rsid w:val="000F39C5"/>
    <w:rsid w:val="000F6A6C"/>
    <w:rsid w:val="00101D46"/>
    <w:rsid w:val="00102C02"/>
    <w:rsid w:val="001267E1"/>
    <w:rsid w:val="00126E41"/>
    <w:rsid w:val="00177131"/>
    <w:rsid w:val="001801E2"/>
    <w:rsid w:val="001A1FFD"/>
    <w:rsid w:val="001A329F"/>
    <w:rsid w:val="001B5547"/>
    <w:rsid w:val="001B7A23"/>
    <w:rsid w:val="001D23E7"/>
    <w:rsid w:val="001E20B8"/>
    <w:rsid w:val="001E3EE8"/>
    <w:rsid w:val="001E4915"/>
    <w:rsid w:val="001F7E33"/>
    <w:rsid w:val="00202C48"/>
    <w:rsid w:val="00203B3C"/>
    <w:rsid w:val="00222839"/>
    <w:rsid w:val="00237673"/>
    <w:rsid w:val="002464E3"/>
    <w:rsid w:val="0025396E"/>
    <w:rsid w:val="00287238"/>
    <w:rsid w:val="002C7320"/>
    <w:rsid w:val="002D21DF"/>
    <w:rsid w:val="002E5333"/>
    <w:rsid w:val="0030332A"/>
    <w:rsid w:val="00311CA3"/>
    <w:rsid w:val="00313B14"/>
    <w:rsid w:val="003156F4"/>
    <w:rsid w:val="00325F9F"/>
    <w:rsid w:val="00344A65"/>
    <w:rsid w:val="003B6569"/>
    <w:rsid w:val="003D6AF6"/>
    <w:rsid w:val="003E2A3C"/>
    <w:rsid w:val="003E6051"/>
    <w:rsid w:val="003E675A"/>
    <w:rsid w:val="003E7418"/>
    <w:rsid w:val="00415C32"/>
    <w:rsid w:val="004179A6"/>
    <w:rsid w:val="0042277A"/>
    <w:rsid w:val="004308A2"/>
    <w:rsid w:val="00445A22"/>
    <w:rsid w:val="00450A8F"/>
    <w:rsid w:val="004543CD"/>
    <w:rsid w:val="00466214"/>
    <w:rsid w:val="004776EC"/>
    <w:rsid w:val="00480D2C"/>
    <w:rsid w:val="004969B2"/>
    <w:rsid w:val="004A3D93"/>
    <w:rsid w:val="004B71F6"/>
    <w:rsid w:val="004D1EE1"/>
    <w:rsid w:val="004D62C1"/>
    <w:rsid w:val="004E3363"/>
    <w:rsid w:val="004F1EA6"/>
    <w:rsid w:val="00500B55"/>
    <w:rsid w:val="00527590"/>
    <w:rsid w:val="005330B6"/>
    <w:rsid w:val="0054035E"/>
    <w:rsid w:val="005442B3"/>
    <w:rsid w:val="00545A04"/>
    <w:rsid w:val="0055308A"/>
    <w:rsid w:val="00560B2F"/>
    <w:rsid w:val="00567DDB"/>
    <w:rsid w:val="00594617"/>
    <w:rsid w:val="005962AA"/>
    <w:rsid w:val="005A25F0"/>
    <w:rsid w:val="005C730E"/>
    <w:rsid w:val="005F5453"/>
    <w:rsid w:val="00611708"/>
    <w:rsid w:val="00613C36"/>
    <w:rsid w:val="00636E92"/>
    <w:rsid w:val="00653C33"/>
    <w:rsid w:val="006602A4"/>
    <w:rsid w:val="00673886"/>
    <w:rsid w:val="006928D8"/>
    <w:rsid w:val="006A4FFE"/>
    <w:rsid w:val="006B1D2E"/>
    <w:rsid w:val="006C4305"/>
    <w:rsid w:val="006C7969"/>
    <w:rsid w:val="006D086A"/>
    <w:rsid w:val="006D2127"/>
    <w:rsid w:val="006F24D0"/>
    <w:rsid w:val="007134C6"/>
    <w:rsid w:val="0073393C"/>
    <w:rsid w:val="00740E0C"/>
    <w:rsid w:val="00741FD3"/>
    <w:rsid w:val="00755003"/>
    <w:rsid w:val="00756602"/>
    <w:rsid w:val="00770100"/>
    <w:rsid w:val="0078300A"/>
    <w:rsid w:val="00790DE1"/>
    <w:rsid w:val="007A04BE"/>
    <w:rsid w:val="007A6A79"/>
    <w:rsid w:val="007B61C7"/>
    <w:rsid w:val="007B7295"/>
    <w:rsid w:val="007C3821"/>
    <w:rsid w:val="007C5348"/>
    <w:rsid w:val="007E741A"/>
    <w:rsid w:val="008377C5"/>
    <w:rsid w:val="00850015"/>
    <w:rsid w:val="00863361"/>
    <w:rsid w:val="0087177D"/>
    <w:rsid w:val="0087413B"/>
    <w:rsid w:val="00876429"/>
    <w:rsid w:val="0088441A"/>
    <w:rsid w:val="008E2EB6"/>
    <w:rsid w:val="008E7415"/>
    <w:rsid w:val="008F6064"/>
    <w:rsid w:val="00907E9F"/>
    <w:rsid w:val="00925315"/>
    <w:rsid w:val="00931B8F"/>
    <w:rsid w:val="00933003"/>
    <w:rsid w:val="009333E0"/>
    <w:rsid w:val="00942548"/>
    <w:rsid w:val="00953117"/>
    <w:rsid w:val="00955F8D"/>
    <w:rsid w:val="00971DD2"/>
    <w:rsid w:val="00973529"/>
    <w:rsid w:val="00982054"/>
    <w:rsid w:val="009F6817"/>
    <w:rsid w:val="00A20879"/>
    <w:rsid w:val="00A43645"/>
    <w:rsid w:val="00A43E78"/>
    <w:rsid w:val="00A5195D"/>
    <w:rsid w:val="00A55199"/>
    <w:rsid w:val="00A65D1E"/>
    <w:rsid w:val="00AB0DCE"/>
    <w:rsid w:val="00AC1CA3"/>
    <w:rsid w:val="00AC1D8B"/>
    <w:rsid w:val="00AC360B"/>
    <w:rsid w:val="00AD6315"/>
    <w:rsid w:val="00AF076D"/>
    <w:rsid w:val="00AF37E7"/>
    <w:rsid w:val="00B04779"/>
    <w:rsid w:val="00B12C76"/>
    <w:rsid w:val="00B21379"/>
    <w:rsid w:val="00B347D6"/>
    <w:rsid w:val="00B47E68"/>
    <w:rsid w:val="00B65696"/>
    <w:rsid w:val="00B67E8E"/>
    <w:rsid w:val="00B71859"/>
    <w:rsid w:val="00B71BAE"/>
    <w:rsid w:val="00B7692D"/>
    <w:rsid w:val="00BC6A9D"/>
    <w:rsid w:val="00BD4857"/>
    <w:rsid w:val="00BD5E30"/>
    <w:rsid w:val="00BE4C1A"/>
    <w:rsid w:val="00C319E8"/>
    <w:rsid w:val="00C40810"/>
    <w:rsid w:val="00C52644"/>
    <w:rsid w:val="00C9123E"/>
    <w:rsid w:val="00C97B70"/>
    <w:rsid w:val="00CA5E70"/>
    <w:rsid w:val="00CC14B7"/>
    <w:rsid w:val="00CF0A54"/>
    <w:rsid w:val="00CF5D45"/>
    <w:rsid w:val="00CF5E4B"/>
    <w:rsid w:val="00CF7298"/>
    <w:rsid w:val="00D01944"/>
    <w:rsid w:val="00D15567"/>
    <w:rsid w:val="00D17296"/>
    <w:rsid w:val="00D20039"/>
    <w:rsid w:val="00D35D21"/>
    <w:rsid w:val="00D4500B"/>
    <w:rsid w:val="00D6149D"/>
    <w:rsid w:val="00D62FBA"/>
    <w:rsid w:val="00D63C4F"/>
    <w:rsid w:val="00D84117"/>
    <w:rsid w:val="00D84236"/>
    <w:rsid w:val="00D94F38"/>
    <w:rsid w:val="00DB0E74"/>
    <w:rsid w:val="00DB2214"/>
    <w:rsid w:val="00DB72B4"/>
    <w:rsid w:val="00DC6152"/>
    <w:rsid w:val="00DE4707"/>
    <w:rsid w:val="00DF14BA"/>
    <w:rsid w:val="00DF7095"/>
    <w:rsid w:val="00E00352"/>
    <w:rsid w:val="00E0406E"/>
    <w:rsid w:val="00E04CD5"/>
    <w:rsid w:val="00E05353"/>
    <w:rsid w:val="00E202B3"/>
    <w:rsid w:val="00E37F5F"/>
    <w:rsid w:val="00E61732"/>
    <w:rsid w:val="00E708D0"/>
    <w:rsid w:val="00E72BE4"/>
    <w:rsid w:val="00E810F7"/>
    <w:rsid w:val="00EB084C"/>
    <w:rsid w:val="00EC5037"/>
    <w:rsid w:val="00EF6CF8"/>
    <w:rsid w:val="00F13E18"/>
    <w:rsid w:val="00F3279D"/>
    <w:rsid w:val="00F45CB5"/>
    <w:rsid w:val="00F52652"/>
    <w:rsid w:val="00F53110"/>
    <w:rsid w:val="00F62797"/>
    <w:rsid w:val="00F87A08"/>
    <w:rsid w:val="00F925B4"/>
    <w:rsid w:val="00FA2502"/>
    <w:rsid w:val="00F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94FE"/>
  <w15:chartTrackingRefBased/>
  <w15:docId w15:val="{C4B6A828-A216-49AD-B8C7-9AC68FAD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B3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03B3C"/>
  </w:style>
  <w:style w:type="paragraph" w:styleId="Footer">
    <w:name w:val="footer"/>
    <w:basedOn w:val="Normal"/>
    <w:link w:val="FooterChar"/>
    <w:uiPriority w:val="99"/>
    <w:unhideWhenUsed/>
    <w:rsid w:val="00203B3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03B3C"/>
  </w:style>
  <w:style w:type="paragraph" w:styleId="ListParagraph">
    <w:name w:val="List Paragraph"/>
    <w:basedOn w:val="Normal"/>
    <w:uiPriority w:val="34"/>
    <w:qFormat/>
    <w:rsid w:val="00A43E78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1B5547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E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4CDD-B85F-4585-B8B7-20FDE488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skhjy615@gmail.com</dc:creator>
  <cp:keywords/>
  <dc:description/>
  <cp:lastModifiedBy>Bartle, Claudia</cp:lastModifiedBy>
  <cp:revision>2</cp:revision>
  <dcterms:created xsi:type="dcterms:W3CDTF">2025-01-05T18:10:00Z</dcterms:created>
  <dcterms:modified xsi:type="dcterms:W3CDTF">2025-01-05T18:10:00Z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27247ca0,85d42e,9fc8c61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2025-01-05T18:10:28Z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45135fb6-2676-446f-87cb-6b8ca3dc512c</vt:lpwstr>
  </property>
  <property fmtid="{D5CDD505-2E9C-101B-9397-08002B2CF9AE}" pid="11" name="MSIP_Label_2bbab825-a111-45e4-86a1-18cee0005896_ContentBits">
    <vt:lpwstr>2</vt:lpwstr>
  </property>
</Properties>
</file>