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87" w:rsidRDefault="00F15748" w:rsidP="00051B87">
      <w:pPr>
        <w:spacing w:after="0" w:line="240" w:lineRule="auto"/>
        <w:jc w:val="both"/>
        <w:rPr>
          <w:b/>
        </w:rPr>
      </w:pPr>
      <w:r w:rsidRPr="00F15748">
        <w:rPr>
          <w:b/>
        </w:rPr>
        <w:t>Supplementary data</w:t>
      </w:r>
      <w:r w:rsidR="00051B87" w:rsidRPr="00051B87">
        <w:rPr>
          <w:b/>
        </w:rPr>
        <w:t xml:space="preserve"> </w:t>
      </w:r>
    </w:p>
    <w:p w:rsidR="00051B87" w:rsidRDefault="00051B87" w:rsidP="00051B87">
      <w:pPr>
        <w:spacing w:after="0" w:line="240" w:lineRule="auto"/>
        <w:jc w:val="both"/>
        <w:rPr>
          <w:b/>
        </w:rPr>
      </w:pPr>
    </w:p>
    <w:p w:rsidR="00051B87" w:rsidRDefault="00051B87" w:rsidP="00051B87">
      <w:pPr>
        <w:spacing w:after="0" w:line="240" w:lineRule="auto"/>
        <w:jc w:val="both"/>
        <w:rPr>
          <w:b/>
        </w:rPr>
      </w:pPr>
    </w:p>
    <w:p w:rsidR="00051B87" w:rsidRDefault="00051B87" w:rsidP="00051B87">
      <w:pPr>
        <w:spacing w:after="0" w:line="240" w:lineRule="auto"/>
        <w:jc w:val="both"/>
      </w:pPr>
      <w:bookmarkStart w:id="0" w:name="_GoBack"/>
      <w:bookmarkEnd w:id="0"/>
      <w:r>
        <w:rPr>
          <w:b/>
        </w:rPr>
        <w:t xml:space="preserve">Supplementary Figure 1. </w:t>
      </w:r>
      <w:r>
        <w:t xml:space="preserve">Kaplan-Meier curves for progression-free survival by TMB status using </w:t>
      </w:r>
      <w:proofErr w:type="gramStart"/>
      <w:r>
        <w:t>the  10</w:t>
      </w:r>
      <w:proofErr w:type="gramEnd"/>
      <w:r>
        <w:t xml:space="preserve"> </w:t>
      </w:r>
      <w:proofErr w:type="spellStart"/>
      <w:r>
        <w:t>mut</w:t>
      </w:r>
      <w:proofErr w:type="spellEnd"/>
      <w:r>
        <w:t xml:space="preserve">/Mb cut-off (A) and the 16 </w:t>
      </w:r>
      <w:proofErr w:type="spellStart"/>
      <w:r>
        <w:t>mut</w:t>
      </w:r>
      <w:proofErr w:type="spellEnd"/>
      <w:r>
        <w:t xml:space="preserve">/Mb cut-off (B) within strata defined by first-line treatment. Kaplan-Meier curves for overall survival by TMB status using the 10 </w:t>
      </w:r>
      <w:proofErr w:type="spellStart"/>
      <w:r>
        <w:t>mut</w:t>
      </w:r>
      <w:proofErr w:type="spellEnd"/>
      <w:r>
        <w:t>/</w:t>
      </w:r>
      <w:proofErr w:type="gramStart"/>
      <w:r>
        <w:t>Mb  cut</w:t>
      </w:r>
      <w:proofErr w:type="gramEnd"/>
      <w:r>
        <w:t xml:space="preserve">-off (C), and the 16 </w:t>
      </w:r>
      <w:proofErr w:type="spellStart"/>
      <w:r>
        <w:t>mut</w:t>
      </w:r>
      <w:proofErr w:type="spellEnd"/>
      <w:r>
        <w:t>/Mb cut-off (D) within strata defined by first-line treatment.</w:t>
      </w:r>
    </w:p>
    <w:p w:rsidR="00F15748" w:rsidRPr="00F15748" w:rsidRDefault="00F15748" w:rsidP="00F15748">
      <w:pPr>
        <w:pStyle w:val="NormaleWeb"/>
        <w:rPr>
          <w:rFonts w:ascii="Calibri" w:eastAsia="Calibri" w:hAnsi="Calibri" w:cs="Calibri"/>
          <w:b/>
          <w:sz w:val="22"/>
          <w:szCs w:val="22"/>
          <w:lang w:val="en-GB"/>
        </w:rPr>
      </w:pPr>
    </w:p>
    <w:p w:rsidR="00F15748" w:rsidRDefault="00F15748" w:rsidP="00F15748">
      <w:pPr>
        <w:pStyle w:val="NormaleWeb"/>
      </w:pPr>
      <w:r>
        <w:rPr>
          <w:noProof/>
        </w:rPr>
        <w:drawing>
          <wp:inline distT="0" distB="0" distL="0" distR="0">
            <wp:extent cx="6208663" cy="4510525"/>
            <wp:effectExtent l="0" t="0" r="1905" b="4445"/>
            <wp:docPr id="1" name="Immagine 1" descr="G:\PC\NSCLC\IRST B128 - MICRO1\Paper\Lung cancer - targets and therapy\First round review\Figures\Figurre S1_Canale et 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C\NSCLC\IRST B128 - MICRO1\Paper\Lung cancer - targets and therapy\First round review\Figures\Figurre S1_Canale et 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356" cy="453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748" w:rsidRDefault="00F15748" w:rsidP="00F15748">
      <w:pPr>
        <w:spacing w:after="0" w:line="240" w:lineRule="auto"/>
        <w:jc w:val="both"/>
        <w:rPr>
          <w:b/>
        </w:rPr>
      </w:pPr>
    </w:p>
    <w:p w:rsidR="002A16A6" w:rsidRDefault="002A16A6">
      <w:pPr>
        <w:sectPr w:rsidR="002A16A6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602BF4" w:rsidRDefault="00602BF4"/>
    <w:p w:rsidR="00496B53" w:rsidRDefault="00496B53">
      <w:r>
        <w:rPr>
          <w:b/>
        </w:rPr>
        <w:t xml:space="preserve">Supplementary Table </w:t>
      </w:r>
      <w:r w:rsidR="002A16A6" w:rsidRPr="002A16A6">
        <w:rPr>
          <w:b/>
        </w:rPr>
        <w:t>1.</w:t>
      </w:r>
      <w:r w:rsidR="002A16A6">
        <w:t xml:space="preserve"> </w:t>
      </w:r>
      <w:r w:rsidR="002A16A6" w:rsidRPr="002A16A6">
        <w:t xml:space="preserve">Results from </w:t>
      </w:r>
      <w:proofErr w:type="spellStart"/>
      <w:r w:rsidR="002A16A6" w:rsidRPr="002A16A6">
        <w:t>univariable</w:t>
      </w:r>
      <w:proofErr w:type="spellEnd"/>
      <w:r w:rsidR="002A16A6" w:rsidRPr="002A16A6">
        <w:t xml:space="preserve"> and multivariable Cox regression models for PFS and OS based on demographic and clinical factors</w:t>
      </w:r>
      <w:r>
        <w:t>.</w:t>
      </w:r>
    </w:p>
    <w:tbl>
      <w:tblPr>
        <w:tblStyle w:val="Grigliatabella"/>
        <w:tblpPr w:leftFromText="141" w:rightFromText="141" w:vertAnchor="text" w:tblpX="-147" w:tblpY="1"/>
        <w:tblOverlap w:val="never"/>
        <w:tblW w:w="15163" w:type="dxa"/>
        <w:tblInd w:w="0" w:type="dxa"/>
        <w:tblLook w:val="04A0" w:firstRow="1" w:lastRow="0" w:firstColumn="1" w:lastColumn="0" w:noHBand="0" w:noVBand="1"/>
      </w:tblPr>
      <w:tblGrid>
        <w:gridCol w:w="3256"/>
        <w:gridCol w:w="1842"/>
        <w:gridCol w:w="1135"/>
        <w:gridCol w:w="1888"/>
        <w:gridCol w:w="1368"/>
        <w:gridCol w:w="1816"/>
        <w:gridCol w:w="1000"/>
        <w:gridCol w:w="10"/>
        <w:gridCol w:w="1830"/>
        <w:gridCol w:w="1000"/>
        <w:gridCol w:w="18"/>
      </w:tblGrid>
      <w:tr w:rsidR="00496B53" w:rsidTr="0043341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  <w:lang w:val="it-IT"/>
              </w:rPr>
            </w:pPr>
            <w:r>
              <w:rPr>
                <w:b/>
              </w:rPr>
              <w:t>PFS</w:t>
            </w: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</w:rPr>
            </w:pPr>
            <w:r>
              <w:rPr>
                <w:b/>
              </w:rPr>
              <w:t>OS</w:t>
            </w:r>
          </w:p>
        </w:tc>
      </w:tr>
      <w:tr w:rsidR="00496B53" w:rsidTr="0043341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</w:rPr>
            </w:pPr>
            <w:r>
              <w:rPr>
                <w:b/>
              </w:rPr>
              <w:t>Univariate analyses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</w:rPr>
            </w:pPr>
            <w:r>
              <w:rPr>
                <w:b/>
              </w:rPr>
              <w:t>Multivariate analyses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  <w:i/>
              </w:rPr>
            </w:pPr>
            <w:r>
              <w:rPr>
                <w:b/>
              </w:rPr>
              <w:t>Univariate analyses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  <w:i/>
              </w:rPr>
            </w:pPr>
            <w:r>
              <w:rPr>
                <w:b/>
              </w:rPr>
              <w:t>Multivariate analyses</w:t>
            </w: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</w:rPr>
            </w:pPr>
            <w:r>
              <w:rPr>
                <w:b/>
              </w:rPr>
              <w:t>HR (95% CI)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</w:rPr>
            </w:pPr>
            <w:r>
              <w:rPr>
                <w:b/>
                <w:i/>
              </w:rPr>
              <w:t>p</w:t>
            </w:r>
            <w:r>
              <w:rPr>
                <w:b/>
              </w:rPr>
              <w:t>-value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</w:rPr>
            </w:pPr>
            <w:r>
              <w:rPr>
                <w:b/>
              </w:rPr>
              <w:t>HR (95% CI)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</w:rPr>
            </w:pPr>
            <w:r>
              <w:rPr>
                <w:b/>
                <w:i/>
              </w:rPr>
              <w:t>p</w:t>
            </w:r>
            <w:r>
              <w:rPr>
                <w:b/>
              </w:rPr>
              <w:t>-value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  <w:i/>
              </w:rPr>
            </w:pPr>
            <w:r>
              <w:rPr>
                <w:b/>
              </w:rPr>
              <w:t>HR (95% CI)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</w:t>
            </w:r>
            <w:r>
              <w:rPr>
                <w:b/>
              </w:rPr>
              <w:t>-value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  <w:i/>
              </w:rPr>
            </w:pPr>
            <w:r>
              <w:rPr>
                <w:b/>
              </w:rPr>
              <w:t>HR (95% CI)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</w:t>
            </w:r>
            <w:r>
              <w:rPr>
                <w:b/>
              </w:rPr>
              <w:t>-value</w:t>
            </w: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0.97 (0.59 – 1.60)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1.26 (0.72 – 2.20)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0.421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0.99 (0.60 – 1.63)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0.966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1.00 (0.56 – 1.81)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0.992</w:t>
            </w: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rPr>
                <w:b/>
              </w:rPr>
            </w:pPr>
            <w:r>
              <w:rPr>
                <w:b/>
              </w:rPr>
              <w:t>Age at diagnosis (1-yr increment)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  <w:rPr>
                <w:lang w:val="it-IT"/>
              </w:rPr>
            </w:pPr>
            <w:r>
              <w:t>1.00 (0.97 – 1.03)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0.944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0.99 (0.96 – 1.03)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0.686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1.01 (0.98 – 1.04)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0.601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1.00 (0.97 – 1.03)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0.985</w:t>
            </w: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both"/>
              <w:rPr>
                <w:b/>
              </w:rPr>
            </w:pPr>
            <w:r>
              <w:rPr>
                <w:b/>
              </w:rPr>
              <w:t>Smoking habits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96B53">
            <w:r>
              <w:t>Former smoker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Current Smoker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0.87 (0.52 – 1.45)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0.592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0.94 (0.56 – 1.58)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0.816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rPr>
                <w:b/>
              </w:rPr>
            </w:pPr>
            <w:r>
              <w:rPr>
                <w:b/>
              </w:rPr>
              <w:t>ECOG PS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rPr>
                <w:rFonts w:cstheme="minorHAnsi"/>
              </w:rPr>
              <w:t>≤</w:t>
            </w: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&gt;1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2.98 (1.58 – 5.65)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2.26 (1.08 – 4.70)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0.030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3.20 (1.68 – 6.10)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&lt;0.001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2.34 (1.06 – 5.14)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0.034</w:t>
            </w: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rPr>
                <w:b/>
              </w:rPr>
            </w:pPr>
            <w:r>
              <w:rPr>
                <w:b/>
              </w:rPr>
              <w:t>Treatment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CT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 xml:space="preserve">1 (ref)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CT+ATEZO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0.52 (0.33 – 0.83)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0.007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0.58 (0.33 – 1.01)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0.054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0.50 (0.31 – 0.80)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0.67 (0.37 – 1.22)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0.192</w:t>
            </w: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rPr>
                <w:b/>
              </w:rPr>
            </w:pPr>
            <w:r>
              <w:rPr>
                <w:b/>
              </w:rPr>
              <w:t>Radiotherapy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Yes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0.72 (0.44 – 1.17)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0.185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0.57 (0.65 – 0.95)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0.029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0.61 (0.34 – 1.09)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0.092</w:t>
            </w: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rPr>
                <w:b/>
              </w:rPr>
            </w:pPr>
            <w:r>
              <w:rPr>
                <w:b/>
              </w:rPr>
              <w:t>Brain metastases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Yes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1.57 (0.88 – 2.81)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0.128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1.40 (0.79 – 2.51)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0.250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rPr>
                <w:b/>
              </w:rPr>
            </w:pPr>
            <w:r>
              <w:rPr>
                <w:b/>
              </w:rPr>
              <w:t>Bone metastases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 (ref)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Default="00496B53" w:rsidP="0043341E">
            <w:pPr>
              <w:jc w:val="center"/>
            </w:pPr>
          </w:p>
        </w:tc>
      </w:tr>
      <w:tr w:rsidR="00496B53" w:rsidTr="0043341E">
        <w:trPr>
          <w:gridAfter w:val="1"/>
          <w:wAfter w:w="18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r>
              <w:t>Yes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1.77 (1.06 – 2.97)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0.029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2.00 (1.15 – 3.47)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0.014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1.75 (1.05 – 2.93)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0.032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1.65 (0.95 – 2.85)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53" w:rsidRDefault="00496B53" w:rsidP="0043341E">
            <w:pPr>
              <w:jc w:val="center"/>
            </w:pPr>
            <w:r>
              <w:t>0.073</w:t>
            </w:r>
          </w:p>
        </w:tc>
      </w:tr>
    </w:tbl>
    <w:p w:rsidR="00496B53" w:rsidRPr="00103693" w:rsidRDefault="00496B53" w:rsidP="00496B53">
      <w:pPr>
        <w:spacing w:after="0" w:line="240" w:lineRule="auto"/>
        <w:jc w:val="both"/>
      </w:pPr>
      <w:r>
        <w:t>P</w:t>
      </w:r>
      <w:r w:rsidRPr="00103693">
        <w:t>FS: Progression-Free</w:t>
      </w:r>
      <w:r>
        <w:t xml:space="preserve"> Survival; OS: Overall Survival</w:t>
      </w:r>
      <w:r w:rsidRPr="00103693">
        <w:t>; HR: hazard ratio; CI: confidence interval</w:t>
      </w:r>
      <w:r>
        <w:t xml:space="preserve">; CT: chemotherapy; </w:t>
      </w:r>
      <w:r w:rsidRPr="00103693">
        <w:t>CT+ATEZO (</w:t>
      </w:r>
      <w:r>
        <w:t xml:space="preserve">CT plus </w:t>
      </w:r>
      <w:proofErr w:type="spellStart"/>
      <w:r>
        <w:t>atezolizumab</w:t>
      </w:r>
      <w:proofErr w:type="spellEnd"/>
      <w:r>
        <w:t>)</w:t>
      </w:r>
      <w:proofErr w:type="gramStart"/>
      <w:r>
        <w:t>;</w:t>
      </w:r>
      <w:proofErr w:type="gramEnd"/>
      <w:r>
        <w:t xml:space="preserve"> Age</w:t>
      </w:r>
      <w:r w:rsidRPr="00F55BCD">
        <w:t xml:space="preserve"> was included as a 1-ye</w:t>
      </w:r>
      <w:r>
        <w:t>a</w:t>
      </w:r>
      <w:r w:rsidRPr="00F55BCD">
        <w:t>r increment continuous variable</w:t>
      </w:r>
      <w:r>
        <w:t>.</w:t>
      </w:r>
    </w:p>
    <w:p w:rsidR="00496B53" w:rsidRDefault="00496B53"/>
    <w:p w:rsidR="00496B53" w:rsidRDefault="00496B53">
      <w:pPr>
        <w:sectPr w:rsidR="00496B53" w:rsidSect="002A16A6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496B53" w:rsidRDefault="00496B53"/>
    <w:p w:rsidR="00496B53" w:rsidRPr="00496B53" w:rsidRDefault="00496B53" w:rsidP="00496B53">
      <w:pPr>
        <w:spacing w:after="0" w:line="240" w:lineRule="auto"/>
      </w:pPr>
      <w:r>
        <w:rPr>
          <w:b/>
        </w:rPr>
        <w:t>Supplementary Table 2</w:t>
      </w:r>
      <w:r w:rsidRPr="00F55BCD">
        <w:rPr>
          <w:rFonts w:asciiTheme="majorHAnsi" w:hAnsiTheme="majorHAnsi" w:cstheme="majorHAnsi"/>
          <w:b/>
        </w:rPr>
        <w:t>.</w:t>
      </w:r>
      <w:r w:rsidRPr="00F55BCD">
        <w:rPr>
          <w:rFonts w:asciiTheme="majorHAnsi" w:hAnsiTheme="majorHAnsi" w:cstheme="majorHAnsi"/>
        </w:rPr>
        <w:t xml:space="preserve"> </w:t>
      </w:r>
      <w:r w:rsidRPr="00496B53">
        <w:t>Results from multivariable Cox regression models adjusting for gender, age, ECOG PS and presence of bone metastases</w:t>
      </w:r>
    </w:p>
    <w:tbl>
      <w:tblPr>
        <w:tblStyle w:val="Grigliatabella"/>
        <w:tblpPr w:leftFromText="141" w:rightFromText="141" w:vertAnchor="text" w:tblpX="-289" w:tblpY="1"/>
        <w:tblOverlap w:val="never"/>
        <w:tblW w:w="102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76"/>
        <w:gridCol w:w="1266"/>
        <w:gridCol w:w="819"/>
        <w:gridCol w:w="742"/>
        <w:gridCol w:w="1356"/>
        <w:gridCol w:w="711"/>
        <w:gridCol w:w="709"/>
        <w:gridCol w:w="1276"/>
        <w:gridCol w:w="775"/>
      </w:tblGrid>
      <w:tr w:rsidR="00496B53" w:rsidRPr="00557B47" w:rsidTr="00496B5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53" w:rsidRPr="00496B53" w:rsidRDefault="00496B53" w:rsidP="00496B53">
            <w:pPr>
              <w:tabs>
                <w:tab w:val="left" w:pos="510"/>
                <w:tab w:val="center" w:pos="683"/>
              </w:tabs>
              <w:jc w:val="center"/>
              <w:rPr>
                <w:b/>
                <w:sz w:val="20"/>
                <w:highlight w:val="yellow"/>
              </w:rPr>
            </w:pPr>
            <w:r w:rsidRPr="00496B53">
              <w:rPr>
                <w:b/>
                <w:sz w:val="20"/>
              </w:rPr>
              <w:t xml:space="preserve">Multivariate analyses 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ind w:left="-404"/>
              <w:rPr>
                <w:sz w:val="20"/>
              </w:rPr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tabs>
                <w:tab w:val="left" w:pos="510"/>
                <w:tab w:val="center" w:pos="683"/>
              </w:tabs>
              <w:jc w:val="center"/>
              <w:rPr>
                <w:b/>
                <w:sz w:val="20"/>
              </w:rPr>
            </w:pPr>
            <w:r w:rsidRPr="00496B53">
              <w:rPr>
                <w:b/>
                <w:sz w:val="20"/>
              </w:rPr>
              <w:t>Model 4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tabs>
                <w:tab w:val="left" w:pos="510"/>
                <w:tab w:val="center" w:pos="683"/>
              </w:tabs>
              <w:jc w:val="center"/>
              <w:rPr>
                <w:b/>
                <w:sz w:val="20"/>
              </w:rPr>
            </w:pPr>
            <w:r w:rsidRPr="00496B53">
              <w:rPr>
                <w:b/>
                <w:sz w:val="20"/>
              </w:rPr>
              <w:t>Model 5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tabs>
                <w:tab w:val="left" w:pos="510"/>
                <w:tab w:val="center" w:pos="683"/>
              </w:tabs>
              <w:jc w:val="center"/>
              <w:rPr>
                <w:b/>
                <w:sz w:val="20"/>
              </w:rPr>
            </w:pPr>
            <w:r w:rsidRPr="00496B53">
              <w:rPr>
                <w:b/>
                <w:sz w:val="20"/>
              </w:rPr>
              <w:t>Model 6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proofErr w:type="spellStart"/>
            <w:r w:rsidRPr="00496B53">
              <w:rPr>
                <w:sz w:val="20"/>
              </w:rPr>
              <w:t>Coef</w:t>
            </w:r>
            <w:proofErr w:type="spellEnd"/>
            <w:r w:rsidRPr="00496B53">
              <w:rPr>
                <w:sz w:val="20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95% CI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tabs>
                <w:tab w:val="left" w:pos="510"/>
                <w:tab w:val="center" w:pos="683"/>
              </w:tabs>
              <w:jc w:val="center"/>
              <w:rPr>
                <w:sz w:val="20"/>
              </w:rPr>
            </w:pPr>
            <w:r w:rsidRPr="00496B53">
              <w:rPr>
                <w:sz w:val="20"/>
              </w:rPr>
              <w:t>P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proofErr w:type="spellStart"/>
            <w:r w:rsidRPr="00496B53">
              <w:rPr>
                <w:sz w:val="20"/>
              </w:rPr>
              <w:t>Coef</w:t>
            </w:r>
            <w:proofErr w:type="spellEnd"/>
            <w:r w:rsidRPr="00496B53">
              <w:rPr>
                <w:sz w:val="20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95% CI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tabs>
                <w:tab w:val="left" w:pos="510"/>
                <w:tab w:val="center" w:pos="683"/>
              </w:tabs>
              <w:jc w:val="center"/>
              <w:rPr>
                <w:sz w:val="20"/>
              </w:rPr>
            </w:pPr>
            <w:r w:rsidRPr="00496B53">
              <w:rPr>
                <w:sz w:val="20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proofErr w:type="spellStart"/>
            <w:r w:rsidRPr="00496B53">
              <w:rPr>
                <w:sz w:val="20"/>
              </w:rPr>
              <w:t>Coef</w:t>
            </w:r>
            <w:proofErr w:type="spellEnd"/>
            <w:r w:rsidRPr="00496B53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95% CI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tabs>
                <w:tab w:val="left" w:pos="510"/>
                <w:tab w:val="center" w:pos="683"/>
              </w:tabs>
              <w:jc w:val="center"/>
              <w:rPr>
                <w:sz w:val="20"/>
              </w:rPr>
            </w:pPr>
            <w:r w:rsidRPr="00496B53">
              <w:rPr>
                <w:sz w:val="20"/>
              </w:rPr>
              <w:t>P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b/>
                <w:sz w:val="20"/>
              </w:rPr>
            </w:pPr>
            <w:r w:rsidRPr="00496B53">
              <w:rPr>
                <w:b/>
                <w:sz w:val="20"/>
              </w:rPr>
              <w:t>PFS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0.77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bottom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0.01 – 1.53</w:t>
            </w: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0.048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16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0.82</w:t>
            </w: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-0.13 – 1.78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0.090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tabs>
                <w:tab w:val="left" w:pos="1170"/>
              </w:tabs>
              <w:rPr>
                <w:sz w:val="20"/>
              </w:rPr>
            </w:pPr>
            <w:r w:rsidRPr="00496B53">
              <w:rPr>
                <w:sz w:val="20"/>
              </w:rPr>
              <w:tab/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  <w:highlight w:val="yellow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  <w:vertAlign w:val="subscript"/>
              </w:rPr>
            </w:pPr>
            <w:proofErr w:type="spellStart"/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cont</w:t>
            </w:r>
            <w:proofErr w:type="spellEnd"/>
          </w:p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-0.03 – 1.30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0.062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Treatment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-0.32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-1.00 – 0.37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0.361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-0.36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-0.94 – 0.21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0.218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-1.22 – -0.09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0.025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10</w:t>
            </w:r>
            <w:r w:rsidRPr="00496B53">
              <w:rPr>
                <w:sz w:val="20"/>
              </w:rPr>
              <w:t>*Treatment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-0.75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-1.85 – 0.35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0.181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16</w:t>
            </w:r>
            <w:r w:rsidRPr="00496B53">
              <w:rPr>
                <w:sz w:val="20"/>
              </w:rPr>
              <w:t>*Treatment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-2.03</w:t>
            </w: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-3.81 – -0.24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proofErr w:type="spellStart"/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cont</w:t>
            </w:r>
            <w:proofErr w:type="spellEnd"/>
            <w:r w:rsidRPr="00496B53">
              <w:rPr>
                <w:sz w:val="20"/>
              </w:rPr>
              <w:t>*Treatment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-0.83</w:t>
            </w: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-1.64 – -0.01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0.048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Gender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0.34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-0.26 – 0.94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0.272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0.40</w:t>
            </w: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-0.17 – 0.98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0.172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0.34</w:t>
            </w: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-0.23 – 0.91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0.251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proofErr w:type="spellStart"/>
            <w:r w:rsidRPr="00496B53">
              <w:rPr>
                <w:sz w:val="20"/>
              </w:rPr>
              <w:t>Age</w:t>
            </w:r>
            <w:r w:rsidRPr="00496B53">
              <w:rPr>
                <w:sz w:val="20"/>
                <w:vertAlign w:val="subscript"/>
              </w:rPr>
              <w:t>cont</w:t>
            </w:r>
            <w:proofErr w:type="spellEnd"/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-0.01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-0.05 – 0.02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0.410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-0.01</w:t>
            </w: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-0.04 – 0.02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0.558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-0.01</w:t>
            </w: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-0.05 – 0.02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0.427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ECOG PS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0.82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0.08 – 1.55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0.029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0.71</w:t>
            </w: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-0.02 – 1.45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0.76</w:t>
            </w: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0.02 – 1.50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0.045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Bone metastases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0.80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0.22 – 1.39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0.007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0.63</w:t>
            </w:r>
          </w:p>
        </w:tc>
        <w:tc>
          <w:tcPr>
            <w:tcW w:w="135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0.07 – 1.19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0.027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0.73</w:t>
            </w:r>
          </w:p>
        </w:tc>
        <w:tc>
          <w:tcPr>
            <w:tcW w:w="1276" w:type="dxa"/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0.17 – 1.29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0.011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b/>
                <w:sz w:val="20"/>
              </w:rPr>
            </w:pPr>
            <w:r w:rsidRPr="00496B53">
              <w:rPr>
                <w:b/>
                <w:sz w:val="20"/>
              </w:rPr>
              <w:t>OS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0.58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vAlign w:val="bottom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-0.20 – 1.35</w:t>
            </w: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0.148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16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0.60</w:t>
            </w:r>
          </w:p>
        </w:tc>
        <w:tc>
          <w:tcPr>
            <w:tcW w:w="1356" w:type="dxa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 xml:space="preserve">   -0.35 – 1.56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0.216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proofErr w:type="spellStart"/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cont</w:t>
            </w:r>
            <w:proofErr w:type="spellEnd"/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0.30</w:t>
            </w:r>
          </w:p>
        </w:tc>
        <w:tc>
          <w:tcPr>
            <w:tcW w:w="1276" w:type="dxa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-0.37 – 0.96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0.384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Treatment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-0.45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-1.15 – 0.25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0.208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-0.41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-1.00 – 0.18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0.174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-0.60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-1.17 – -0.03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0.041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10</w:t>
            </w:r>
            <w:r w:rsidRPr="00496B53">
              <w:rPr>
                <w:sz w:val="20"/>
              </w:rPr>
              <w:t>*Treatment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-0.31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-1.42 – 0.80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0.585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16</w:t>
            </w:r>
            <w:r w:rsidRPr="00496B53">
              <w:rPr>
                <w:sz w:val="20"/>
              </w:rPr>
              <w:t>*Treatment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-1.47</w:t>
            </w: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-3.25 – 0.31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0.105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proofErr w:type="spellStart"/>
            <w:r w:rsidRPr="00496B53">
              <w:rPr>
                <w:sz w:val="20"/>
              </w:rPr>
              <w:t>TMB</w:t>
            </w:r>
            <w:r w:rsidRPr="00496B53">
              <w:rPr>
                <w:sz w:val="20"/>
                <w:vertAlign w:val="subscript"/>
              </w:rPr>
              <w:t>cont</w:t>
            </w:r>
            <w:proofErr w:type="spellEnd"/>
            <w:r w:rsidRPr="00496B53">
              <w:rPr>
                <w:sz w:val="20"/>
              </w:rPr>
              <w:t>*Treatment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-0.37</w:t>
            </w: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-1.20 – 0.45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0.377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Gender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0.03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-0.62 – 0.68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0.934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0.14</w:t>
            </w: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-0.48 – 0.76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0.657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0.03</w:t>
            </w: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-0.58 – 0.64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0.924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proofErr w:type="spellStart"/>
            <w:r w:rsidRPr="00496B53">
              <w:rPr>
                <w:sz w:val="20"/>
              </w:rPr>
              <w:t>Age</w:t>
            </w:r>
            <w:r w:rsidRPr="00496B53">
              <w:rPr>
                <w:sz w:val="20"/>
                <w:vertAlign w:val="subscript"/>
              </w:rPr>
              <w:t>cont</w:t>
            </w:r>
            <w:proofErr w:type="spellEnd"/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-0.004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-0.04 – 0.03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0.819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0.0002</w:t>
            </w: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-0.03 – 0.03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0.992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0.001</w:t>
            </w: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-0.03 – 0.04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0.975</w:t>
            </w: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ECOG PS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0.75</w:t>
            </w: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-0.06 – 1.55</w:t>
            </w: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0.070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0.68</w:t>
            </w: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-0.12 – 1.48</w:t>
            </w: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0.68</w:t>
            </w: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-0.15 – 1.50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0.109</w:t>
            </w:r>
          </w:p>
        </w:tc>
      </w:tr>
      <w:tr w:rsidR="00496B53" w:rsidRPr="00557B47" w:rsidTr="00496B53">
        <w:trPr>
          <w:trHeight w:val="80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6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35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</w:p>
        </w:tc>
      </w:tr>
      <w:tr w:rsidR="00496B53" w:rsidRPr="00557B47" w:rsidTr="00496B53">
        <w:trPr>
          <w:trHeight w:val="20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rPr>
                <w:sz w:val="20"/>
              </w:rPr>
            </w:pPr>
            <w:r w:rsidRPr="00496B53">
              <w:rPr>
                <w:sz w:val="20"/>
              </w:rPr>
              <w:t>Bone metastases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0.61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0.01 – 1.21</w:t>
            </w:r>
          </w:p>
        </w:tc>
        <w:tc>
          <w:tcPr>
            <w:tcW w:w="819" w:type="dxa"/>
            <w:tcBorders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0.046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0.45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-0.12 – 1.02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0.122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-0.08 – 1.06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</w:tcPr>
          <w:p w:rsidR="00496B53" w:rsidRPr="00496B53" w:rsidRDefault="00496B53" w:rsidP="00496B53">
            <w:pPr>
              <w:jc w:val="center"/>
              <w:rPr>
                <w:sz w:val="20"/>
              </w:rPr>
            </w:pPr>
            <w:r w:rsidRPr="00496B53">
              <w:rPr>
                <w:sz w:val="20"/>
              </w:rPr>
              <w:t>0.090</w:t>
            </w:r>
          </w:p>
        </w:tc>
      </w:tr>
    </w:tbl>
    <w:p w:rsidR="00496B53" w:rsidRDefault="00496B53" w:rsidP="00496B53">
      <w:pPr>
        <w:spacing w:after="0" w:line="240" w:lineRule="auto"/>
        <w:jc w:val="both"/>
      </w:pPr>
    </w:p>
    <w:p w:rsidR="00496B53" w:rsidRPr="00103693" w:rsidRDefault="00496B53" w:rsidP="00496B53">
      <w:pPr>
        <w:spacing w:after="0" w:line="240" w:lineRule="auto"/>
        <w:ind w:left="-284" w:right="-285"/>
        <w:jc w:val="both"/>
      </w:pPr>
      <w:r>
        <w:t>P</w:t>
      </w:r>
      <w:r w:rsidRPr="00103693">
        <w:t xml:space="preserve">FS: Progression-Free Survival; OS: Overall Survival; </w:t>
      </w:r>
      <w:proofErr w:type="spellStart"/>
      <w:r w:rsidRPr="00103693">
        <w:t>Coef</w:t>
      </w:r>
      <w:proofErr w:type="spellEnd"/>
      <w:r w:rsidRPr="00103693">
        <w:t>: regression coefficient derived from the Cox model; HR: hazard ratio; CI: confidence interval; TMB: Tumor mutation burden; TMB</w:t>
      </w:r>
      <w:r w:rsidRPr="00103693">
        <w:rPr>
          <w:vertAlign w:val="subscript"/>
        </w:rPr>
        <w:t>10</w:t>
      </w:r>
      <w:r w:rsidRPr="00103693">
        <w:t>: TMB dichotomized using the cut-off</w:t>
      </w:r>
      <w:r w:rsidRPr="00103693">
        <w:rPr>
          <w:vertAlign w:val="subscript"/>
        </w:rPr>
        <w:t xml:space="preserve"> </w:t>
      </w:r>
      <w:r w:rsidRPr="00103693">
        <w:t xml:space="preserve">of 10 </w:t>
      </w:r>
      <w:proofErr w:type="spellStart"/>
      <w:r w:rsidRPr="00103693">
        <w:t>mut</w:t>
      </w:r>
      <w:proofErr w:type="spellEnd"/>
      <w:r w:rsidRPr="00103693">
        <w:t>/Mb; TMB</w:t>
      </w:r>
      <w:r w:rsidRPr="00103693">
        <w:rPr>
          <w:vertAlign w:val="subscript"/>
        </w:rPr>
        <w:t>16</w:t>
      </w:r>
      <w:r w:rsidRPr="00103693">
        <w:t>: TMB dichotomized using the cut-off</w:t>
      </w:r>
      <w:r w:rsidRPr="00103693">
        <w:rPr>
          <w:vertAlign w:val="subscript"/>
        </w:rPr>
        <w:t xml:space="preserve"> </w:t>
      </w:r>
      <w:r w:rsidRPr="00103693">
        <w:t xml:space="preserve">of 16 </w:t>
      </w:r>
      <w:proofErr w:type="spellStart"/>
      <w:r w:rsidRPr="00103693">
        <w:t>mut</w:t>
      </w:r>
      <w:proofErr w:type="spellEnd"/>
      <w:r w:rsidRPr="00103693">
        <w:t xml:space="preserve">/Mb; </w:t>
      </w:r>
      <w:proofErr w:type="spellStart"/>
      <w:r w:rsidRPr="00103693">
        <w:t>TMB</w:t>
      </w:r>
      <w:r w:rsidRPr="00103693">
        <w:rPr>
          <w:vertAlign w:val="subscript"/>
        </w:rPr>
        <w:t>cont</w:t>
      </w:r>
      <w:proofErr w:type="spellEnd"/>
      <w:r w:rsidRPr="00103693">
        <w:t xml:space="preserve">: TMB as a continuous variable, log-transformed and </w:t>
      </w:r>
      <w:proofErr w:type="spellStart"/>
      <w:r w:rsidRPr="00103693">
        <w:t>centered</w:t>
      </w:r>
      <w:proofErr w:type="spellEnd"/>
      <w:r w:rsidRPr="00103693">
        <w:t xml:space="preserve"> on</w:t>
      </w:r>
      <w:r>
        <w:t xml:space="preserve"> its mean. Treatment refers to </w:t>
      </w:r>
      <w:r w:rsidRPr="00103693">
        <w:t xml:space="preserve">CT+ATEZO (carboplatin and etoposide plus </w:t>
      </w:r>
      <w:proofErr w:type="spellStart"/>
      <w:r w:rsidRPr="00103693">
        <w:t>atezolizumab</w:t>
      </w:r>
      <w:proofErr w:type="spellEnd"/>
      <w:r w:rsidRPr="00103693">
        <w:t>) versus CT (cis- or carboplatin plus etoposide). TMB</w:t>
      </w:r>
      <w:r w:rsidRPr="00103693">
        <w:rPr>
          <w:vertAlign w:val="subscript"/>
        </w:rPr>
        <w:t>10</w:t>
      </w:r>
      <w:r w:rsidRPr="00103693">
        <w:t>*Treatment, TMB</w:t>
      </w:r>
      <w:r w:rsidRPr="00103693">
        <w:rPr>
          <w:vertAlign w:val="subscript"/>
        </w:rPr>
        <w:t>16</w:t>
      </w:r>
      <w:r w:rsidRPr="00103693">
        <w:t xml:space="preserve">*Treatment, and </w:t>
      </w:r>
      <w:proofErr w:type="spellStart"/>
      <w:r w:rsidRPr="00103693">
        <w:t>TMB</w:t>
      </w:r>
      <w:r w:rsidRPr="00103693">
        <w:rPr>
          <w:vertAlign w:val="subscript"/>
        </w:rPr>
        <w:t>cont</w:t>
      </w:r>
      <w:proofErr w:type="spellEnd"/>
      <w:r w:rsidRPr="00103693">
        <w:t xml:space="preserve">*Treatment refers to the interaction terms between </w:t>
      </w:r>
      <w:proofErr w:type="spellStart"/>
      <w:r w:rsidRPr="00103693">
        <w:t>TMb</w:t>
      </w:r>
      <w:proofErr w:type="spellEnd"/>
      <w:r w:rsidRPr="00103693">
        <w:t xml:space="preserve"> and type of treatment.</w:t>
      </w:r>
      <w:r>
        <w:t xml:space="preserve"> Gender refers to the comparison women versus men; ECOG PS to the comparison </w:t>
      </w:r>
      <w:r>
        <w:rPr>
          <w:rFonts w:cstheme="minorHAnsi"/>
        </w:rPr>
        <w:t>≥</w:t>
      </w:r>
      <w:r>
        <w:t>2 versus &lt;</w:t>
      </w:r>
      <w:proofErr w:type="gramStart"/>
      <w:r>
        <w:t>2</w:t>
      </w:r>
      <w:proofErr w:type="gramEnd"/>
      <w:r>
        <w:t xml:space="preserve">; bone metastases to the comparison Yes versus No; </w:t>
      </w:r>
      <w:proofErr w:type="spellStart"/>
      <w:r>
        <w:t>Age</w:t>
      </w:r>
      <w:r w:rsidRPr="00F55BCD">
        <w:rPr>
          <w:vertAlign w:val="subscript"/>
        </w:rPr>
        <w:t>cont</w:t>
      </w:r>
      <w:proofErr w:type="spellEnd"/>
      <w:r w:rsidRPr="00F55BCD">
        <w:t xml:space="preserve"> was included as a 1-ye</w:t>
      </w:r>
      <w:r>
        <w:t>a</w:t>
      </w:r>
      <w:r w:rsidRPr="00F55BCD">
        <w:t>r increment continuous variable</w:t>
      </w:r>
      <w:r>
        <w:t>.</w:t>
      </w:r>
    </w:p>
    <w:sectPr w:rsidR="00496B53" w:rsidRPr="00103693" w:rsidSect="00496B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E2"/>
    <w:rsid w:val="00051B87"/>
    <w:rsid w:val="001F0BE2"/>
    <w:rsid w:val="002A16A6"/>
    <w:rsid w:val="00496B53"/>
    <w:rsid w:val="00602BF4"/>
    <w:rsid w:val="00F1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E12D"/>
  <w15:chartTrackingRefBased/>
  <w15:docId w15:val="{A1E174A0-C36D-4192-8F74-89B693DC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5748"/>
    <w:rPr>
      <w:rFonts w:ascii="Calibri" w:eastAsia="Calibri" w:hAnsi="Calibri" w:cs="Calibri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1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2A16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96B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6B5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6B5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B53"/>
    <w:rPr>
      <w:rFonts w:ascii="Segoe UI" w:eastAsia="Calibri" w:hAnsi="Segoe UI" w:cs="Segoe UI"/>
      <w:sz w:val="18"/>
      <w:szCs w:val="18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6ED3-851B-4126-BCB0-7CBB1405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Canale</dc:creator>
  <cp:keywords/>
  <dc:description/>
  <cp:lastModifiedBy>Matteo Canale</cp:lastModifiedBy>
  <cp:revision>5</cp:revision>
  <dcterms:created xsi:type="dcterms:W3CDTF">2024-11-25T10:42:00Z</dcterms:created>
  <dcterms:modified xsi:type="dcterms:W3CDTF">2024-11-28T12:03:00Z</dcterms:modified>
</cp:coreProperties>
</file>