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4AC5" w14:textId="1A0E6A66" w:rsidR="004E2D84" w:rsidRDefault="00EE228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Supplemental </w:t>
      </w:r>
      <w:r w:rsidR="004E2D84" w:rsidRPr="004E2D84">
        <w:rPr>
          <w:b/>
          <w:bCs/>
          <w:color w:val="000000"/>
        </w:rPr>
        <w:t>Table 1</w:t>
      </w:r>
      <w:r w:rsidR="0016084E">
        <w:rPr>
          <w:b/>
          <w:bCs/>
          <w:color w:val="000000"/>
        </w:rPr>
        <w:t>A</w:t>
      </w:r>
      <w:r w:rsidR="004E2D84" w:rsidRPr="004E2D84">
        <w:rPr>
          <w:b/>
          <w:bCs/>
          <w:color w:val="000000"/>
        </w:rPr>
        <w:t>. Patient Demographics</w:t>
      </w:r>
      <w:r w:rsidR="00A27122">
        <w:rPr>
          <w:b/>
          <w:bCs/>
          <w:color w:val="000000"/>
        </w:rPr>
        <w:t xml:space="preserve"> </w:t>
      </w:r>
      <w:r w:rsidR="001D79C4">
        <w:rPr>
          <w:b/>
          <w:bCs/>
          <w:color w:val="000000"/>
        </w:rPr>
        <w:t>– Low Cylinder (</w:t>
      </w:r>
      <w:r w:rsidR="001D79C4">
        <w:rPr>
          <w:rFonts w:cstheme="minorHAnsi"/>
          <w:b/>
          <w:bCs/>
          <w:color w:val="000000"/>
        </w:rPr>
        <w:t>≤</w:t>
      </w:r>
      <w:r w:rsidR="001D79C4">
        <w:rPr>
          <w:b/>
          <w:bCs/>
          <w:color w:val="000000"/>
        </w:rPr>
        <w:t>2.00 D) Cohort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4945"/>
        <w:gridCol w:w="3240"/>
        <w:gridCol w:w="3240"/>
        <w:gridCol w:w="1525"/>
      </w:tblGrid>
      <w:tr w:rsidR="004E2D84" w14:paraId="0424DB0A" w14:textId="2E89CFEC" w:rsidTr="008C7633">
        <w:trPr>
          <w:trHeight w:val="492"/>
        </w:trPr>
        <w:tc>
          <w:tcPr>
            <w:tcW w:w="4945" w:type="dxa"/>
            <w:vAlign w:val="center"/>
          </w:tcPr>
          <w:p w14:paraId="3A57B7E2" w14:textId="77777777" w:rsidR="004E2D84" w:rsidRPr="006834C0" w:rsidRDefault="004E2D84" w:rsidP="00F61E11">
            <w:pPr>
              <w:rPr>
                <w:b/>
                <w:bCs/>
              </w:rPr>
            </w:pPr>
            <w:r w:rsidRPr="006834C0">
              <w:rPr>
                <w:b/>
                <w:bCs/>
              </w:rPr>
              <w:t>Category</w:t>
            </w:r>
          </w:p>
        </w:tc>
        <w:tc>
          <w:tcPr>
            <w:tcW w:w="3240" w:type="dxa"/>
            <w:vAlign w:val="center"/>
          </w:tcPr>
          <w:p w14:paraId="523631E4" w14:textId="0F678413" w:rsidR="004E2D84" w:rsidRPr="006834C0" w:rsidRDefault="004E2D84" w:rsidP="00F61E11">
            <w:pPr>
              <w:rPr>
                <w:b/>
                <w:bCs/>
              </w:rPr>
            </w:pPr>
            <w:r>
              <w:rPr>
                <w:b/>
                <w:bCs/>
              </w:rPr>
              <w:t>VM500 group</w:t>
            </w:r>
          </w:p>
        </w:tc>
        <w:tc>
          <w:tcPr>
            <w:tcW w:w="3240" w:type="dxa"/>
            <w:vAlign w:val="center"/>
          </w:tcPr>
          <w:p w14:paraId="4DB3FB3D" w14:textId="464F8C94" w:rsidR="004E2D84" w:rsidRDefault="004E2D84" w:rsidP="004E2D84">
            <w:pPr>
              <w:rPr>
                <w:b/>
                <w:bCs/>
              </w:rPr>
            </w:pPr>
            <w:r>
              <w:rPr>
                <w:b/>
                <w:bCs/>
              </w:rPr>
              <w:t>VM800 group</w:t>
            </w:r>
            <w:r w:rsidR="00A27122">
              <w:rPr>
                <w:b/>
                <w:bCs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14:paraId="77FA50A5" w14:textId="5E992FE1" w:rsidR="004E2D84" w:rsidRDefault="004E2D84" w:rsidP="004E2D84">
            <w:pPr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</w:tr>
      <w:tr w:rsidR="004E2D84" w14:paraId="1EE7154A" w14:textId="58F4C7D2" w:rsidTr="008C7633">
        <w:trPr>
          <w:trHeight w:val="492"/>
        </w:trPr>
        <w:tc>
          <w:tcPr>
            <w:tcW w:w="4945" w:type="dxa"/>
            <w:vAlign w:val="center"/>
          </w:tcPr>
          <w:p w14:paraId="14F3AEA1" w14:textId="41AF7E66" w:rsidR="004E2D84" w:rsidRDefault="004E2D84" w:rsidP="00F61E11">
            <w:r>
              <w:t>Eyes</w:t>
            </w:r>
          </w:p>
        </w:tc>
        <w:tc>
          <w:tcPr>
            <w:tcW w:w="3240" w:type="dxa"/>
            <w:vAlign w:val="center"/>
          </w:tcPr>
          <w:p w14:paraId="637F1F77" w14:textId="13D7DF98" w:rsidR="004E2D84" w:rsidRDefault="00AD4FC5" w:rsidP="00F61E11">
            <w:r>
              <w:t>55</w:t>
            </w:r>
          </w:p>
        </w:tc>
        <w:tc>
          <w:tcPr>
            <w:tcW w:w="3240" w:type="dxa"/>
            <w:vAlign w:val="center"/>
          </w:tcPr>
          <w:p w14:paraId="5D51AB30" w14:textId="1141FC16" w:rsidR="004E2D84" w:rsidRDefault="00AD4FC5" w:rsidP="004E2D84">
            <w:r>
              <w:t>49</w:t>
            </w:r>
          </w:p>
        </w:tc>
        <w:tc>
          <w:tcPr>
            <w:tcW w:w="1525" w:type="dxa"/>
            <w:vAlign w:val="center"/>
          </w:tcPr>
          <w:p w14:paraId="41A2A31F" w14:textId="0CA63D10" w:rsidR="004E2D84" w:rsidRDefault="008C7633" w:rsidP="004E2D84">
            <w:r>
              <w:t>-</w:t>
            </w:r>
          </w:p>
        </w:tc>
      </w:tr>
      <w:tr w:rsidR="004E2D84" w14:paraId="48BF4540" w14:textId="1758C251" w:rsidTr="008C7633">
        <w:trPr>
          <w:trHeight w:val="492"/>
        </w:trPr>
        <w:tc>
          <w:tcPr>
            <w:tcW w:w="4945" w:type="dxa"/>
            <w:vAlign w:val="center"/>
          </w:tcPr>
          <w:p w14:paraId="2228716E" w14:textId="77777777" w:rsidR="004E2D84" w:rsidRDefault="004E2D84" w:rsidP="00F61E11">
            <w:r>
              <w:t xml:space="preserve">Age (years) mean </w:t>
            </w:r>
            <w:r>
              <w:rPr>
                <w:rFonts w:cstheme="minorHAnsi"/>
              </w:rPr>
              <w:t>± SD</w:t>
            </w:r>
            <w:r>
              <w:t xml:space="preserve"> (range)</w:t>
            </w:r>
          </w:p>
        </w:tc>
        <w:tc>
          <w:tcPr>
            <w:tcW w:w="3240" w:type="dxa"/>
            <w:vAlign w:val="center"/>
          </w:tcPr>
          <w:p w14:paraId="04944F9F" w14:textId="4F792C1C" w:rsidR="004E2D84" w:rsidRDefault="000351A2" w:rsidP="00F61E11">
            <w:r>
              <w:t xml:space="preserve">28.82 </w:t>
            </w:r>
            <w:r>
              <w:rPr>
                <w:rFonts w:cstheme="minorHAnsi"/>
              </w:rPr>
              <w:t xml:space="preserve">± </w:t>
            </w:r>
            <w:r w:rsidR="007876D6">
              <w:rPr>
                <w:rFonts w:cstheme="minorHAnsi"/>
              </w:rPr>
              <w:t>5.35</w:t>
            </w:r>
          </w:p>
        </w:tc>
        <w:tc>
          <w:tcPr>
            <w:tcW w:w="3240" w:type="dxa"/>
            <w:vAlign w:val="center"/>
          </w:tcPr>
          <w:p w14:paraId="12C6DBCB" w14:textId="2D0C882B" w:rsidR="004E2D84" w:rsidRDefault="007876D6" w:rsidP="004E2D84">
            <w:r>
              <w:t xml:space="preserve">27.78 </w:t>
            </w:r>
            <w:r>
              <w:rPr>
                <w:rFonts w:cstheme="minorHAnsi"/>
              </w:rPr>
              <w:t>± 5.85</w:t>
            </w:r>
          </w:p>
        </w:tc>
        <w:tc>
          <w:tcPr>
            <w:tcW w:w="1525" w:type="dxa"/>
            <w:vAlign w:val="center"/>
          </w:tcPr>
          <w:p w14:paraId="4323600A" w14:textId="60813E3E" w:rsidR="004E2D84" w:rsidRDefault="008C7633" w:rsidP="004E2D84">
            <w:r>
              <w:t>-</w:t>
            </w:r>
          </w:p>
        </w:tc>
      </w:tr>
      <w:tr w:rsidR="004E2D84" w14:paraId="68821499" w14:textId="3F282577" w:rsidTr="008C7633">
        <w:trPr>
          <w:trHeight w:val="492"/>
        </w:trPr>
        <w:tc>
          <w:tcPr>
            <w:tcW w:w="4945" w:type="dxa"/>
            <w:vAlign w:val="center"/>
          </w:tcPr>
          <w:p w14:paraId="6CD094D2" w14:textId="77777777" w:rsidR="004E2D84" w:rsidRDefault="004E2D84" w:rsidP="00F61E11">
            <w:r>
              <w:t>Sex (M/F) %</w:t>
            </w:r>
          </w:p>
        </w:tc>
        <w:tc>
          <w:tcPr>
            <w:tcW w:w="3240" w:type="dxa"/>
            <w:vAlign w:val="center"/>
          </w:tcPr>
          <w:p w14:paraId="18EA1DB3" w14:textId="36375F79" w:rsidR="004E2D84" w:rsidRDefault="007876D6" w:rsidP="00F61E11">
            <w:r>
              <w:t>53 / 47</w:t>
            </w:r>
          </w:p>
        </w:tc>
        <w:tc>
          <w:tcPr>
            <w:tcW w:w="3240" w:type="dxa"/>
            <w:vAlign w:val="center"/>
          </w:tcPr>
          <w:p w14:paraId="532A9261" w14:textId="0C352FFD" w:rsidR="004E2D84" w:rsidRDefault="007876D6" w:rsidP="004E2D84">
            <w:r>
              <w:t>48 / 52</w:t>
            </w:r>
          </w:p>
        </w:tc>
        <w:tc>
          <w:tcPr>
            <w:tcW w:w="1525" w:type="dxa"/>
            <w:vAlign w:val="center"/>
          </w:tcPr>
          <w:p w14:paraId="02322B2A" w14:textId="593DA989" w:rsidR="004E2D84" w:rsidRDefault="008C7633" w:rsidP="004E2D84">
            <w:r>
              <w:t>-</w:t>
            </w:r>
          </w:p>
        </w:tc>
      </w:tr>
      <w:tr w:rsidR="004E2D84" w14:paraId="306C9EE9" w14:textId="59AE9112" w:rsidTr="008C7633">
        <w:trPr>
          <w:trHeight w:val="492"/>
        </w:trPr>
        <w:tc>
          <w:tcPr>
            <w:tcW w:w="4945" w:type="dxa"/>
            <w:vAlign w:val="center"/>
          </w:tcPr>
          <w:p w14:paraId="615D10BD" w14:textId="77777777" w:rsidR="004E2D84" w:rsidRDefault="004E2D84" w:rsidP="00F61E11">
            <w:r>
              <w:t xml:space="preserve">Sphere (D) mean </w:t>
            </w:r>
            <w:r>
              <w:rPr>
                <w:rFonts w:cstheme="minorHAnsi"/>
              </w:rPr>
              <w:t>± SD</w:t>
            </w:r>
            <w:r>
              <w:t xml:space="preserve"> (range) </w:t>
            </w:r>
          </w:p>
        </w:tc>
        <w:tc>
          <w:tcPr>
            <w:tcW w:w="3240" w:type="dxa"/>
            <w:vAlign w:val="center"/>
          </w:tcPr>
          <w:p w14:paraId="4A5816B9" w14:textId="3A1C1233" w:rsidR="004E2D84" w:rsidRDefault="00DC2D15" w:rsidP="00F61E11">
            <w:r>
              <w:t xml:space="preserve">-3.56 </w:t>
            </w:r>
            <w:r>
              <w:rPr>
                <w:rFonts w:cstheme="minorHAnsi"/>
              </w:rPr>
              <w:t xml:space="preserve">± 2.05 (-0.50 to </w:t>
            </w:r>
            <w:r w:rsidR="009B5EA1">
              <w:rPr>
                <w:rFonts w:cstheme="minorHAnsi"/>
              </w:rPr>
              <w:t>-9.25)</w:t>
            </w:r>
          </w:p>
        </w:tc>
        <w:tc>
          <w:tcPr>
            <w:tcW w:w="3240" w:type="dxa"/>
            <w:vAlign w:val="center"/>
          </w:tcPr>
          <w:p w14:paraId="2CDFEA75" w14:textId="0AF12901" w:rsidR="004E2D84" w:rsidRDefault="00AC42BA" w:rsidP="004E2D84">
            <w:r>
              <w:t xml:space="preserve">-3.45 </w:t>
            </w:r>
            <w:r>
              <w:rPr>
                <w:rFonts w:cstheme="minorHAnsi"/>
              </w:rPr>
              <w:t xml:space="preserve">± </w:t>
            </w:r>
            <w:r w:rsidR="005068DD">
              <w:rPr>
                <w:rFonts w:cstheme="minorHAnsi"/>
              </w:rPr>
              <w:t>1.90 (-0.50 to -10.50)</w:t>
            </w:r>
          </w:p>
        </w:tc>
        <w:tc>
          <w:tcPr>
            <w:tcW w:w="1525" w:type="dxa"/>
            <w:vAlign w:val="center"/>
          </w:tcPr>
          <w:p w14:paraId="19003CD4" w14:textId="21C729E2" w:rsidR="004E2D84" w:rsidRDefault="006C0242" w:rsidP="004E2D84">
            <w:r>
              <w:t>0.942</w:t>
            </w:r>
          </w:p>
        </w:tc>
      </w:tr>
      <w:tr w:rsidR="004E2D84" w14:paraId="18A76659" w14:textId="392A60F7" w:rsidTr="008C7633">
        <w:trPr>
          <w:trHeight w:val="492"/>
        </w:trPr>
        <w:tc>
          <w:tcPr>
            <w:tcW w:w="4945" w:type="dxa"/>
            <w:vAlign w:val="center"/>
          </w:tcPr>
          <w:p w14:paraId="5219131B" w14:textId="77777777" w:rsidR="004E2D84" w:rsidRDefault="004E2D84" w:rsidP="00F61E11">
            <w:r>
              <w:t xml:space="preserve">Cylinder (D) mean </w:t>
            </w:r>
            <w:r>
              <w:rPr>
                <w:rFonts w:cstheme="minorHAnsi"/>
              </w:rPr>
              <w:t>± SD</w:t>
            </w:r>
            <w:r>
              <w:t xml:space="preserve"> (range)</w:t>
            </w:r>
          </w:p>
        </w:tc>
        <w:tc>
          <w:tcPr>
            <w:tcW w:w="3240" w:type="dxa"/>
            <w:vAlign w:val="center"/>
          </w:tcPr>
          <w:p w14:paraId="26FED112" w14:textId="7B47E2C2" w:rsidR="004E2D84" w:rsidRDefault="009B5EA1" w:rsidP="00F61E11">
            <w:r>
              <w:t xml:space="preserve">-1.72 </w:t>
            </w:r>
            <w:r>
              <w:rPr>
                <w:rFonts w:cstheme="minorHAnsi"/>
              </w:rPr>
              <w:t>± 0.57 (</w:t>
            </w:r>
            <w:r w:rsidR="00F479DA">
              <w:rPr>
                <w:rFonts w:cstheme="minorHAnsi"/>
              </w:rPr>
              <w:t>-1.50 to -2.00)</w:t>
            </w:r>
          </w:p>
        </w:tc>
        <w:tc>
          <w:tcPr>
            <w:tcW w:w="3240" w:type="dxa"/>
            <w:vAlign w:val="center"/>
          </w:tcPr>
          <w:p w14:paraId="15E7BC2F" w14:textId="2435CE7B" w:rsidR="004E2D84" w:rsidRDefault="005068DD" w:rsidP="004E2D84">
            <w:r>
              <w:t xml:space="preserve">-1.84 </w:t>
            </w:r>
            <w:r>
              <w:rPr>
                <w:rFonts w:cstheme="minorHAnsi"/>
              </w:rPr>
              <w:t xml:space="preserve">± </w:t>
            </w:r>
            <w:r w:rsidR="00E93EAB">
              <w:rPr>
                <w:rFonts w:cstheme="minorHAnsi"/>
              </w:rPr>
              <w:t>0.22 (-1.50 to -2.00)</w:t>
            </w:r>
          </w:p>
        </w:tc>
        <w:tc>
          <w:tcPr>
            <w:tcW w:w="1525" w:type="dxa"/>
            <w:vAlign w:val="center"/>
          </w:tcPr>
          <w:p w14:paraId="29D6B64E" w14:textId="4792B531" w:rsidR="004E2D84" w:rsidRDefault="00186688" w:rsidP="004E2D84">
            <w:r>
              <w:t>0.168</w:t>
            </w:r>
          </w:p>
        </w:tc>
      </w:tr>
      <w:tr w:rsidR="004E2D84" w14:paraId="7981CEFD" w14:textId="2D1C8842" w:rsidTr="008C7633">
        <w:trPr>
          <w:trHeight w:val="492"/>
        </w:trPr>
        <w:tc>
          <w:tcPr>
            <w:tcW w:w="4945" w:type="dxa"/>
            <w:vAlign w:val="center"/>
          </w:tcPr>
          <w:p w14:paraId="690E30C2" w14:textId="746733A0" w:rsidR="004E2D84" w:rsidRDefault="004E2D84" w:rsidP="00F61E11">
            <w:r>
              <w:t xml:space="preserve">SEQ (D) mean </w:t>
            </w:r>
            <w:r>
              <w:rPr>
                <w:rFonts w:cstheme="minorHAnsi"/>
              </w:rPr>
              <w:t>± SD</w:t>
            </w:r>
            <w:r>
              <w:t xml:space="preserve"> (range)</w:t>
            </w:r>
          </w:p>
        </w:tc>
        <w:tc>
          <w:tcPr>
            <w:tcW w:w="3240" w:type="dxa"/>
            <w:vAlign w:val="center"/>
          </w:tcPr>
          <w:p w14:paraId="607166CE" w14:textId="63C521A9" w:rsidR="004E2D84" w:rsidRDefault="00F479DA" w:rsidP="00F61E11">
            <w:r>
              <w:t xml:space="preserve">-4.46 </w:t>
            </w:r>
            <w:r>
              <w:rPr>
                <w:rFonts w:cstheme="minorHAnsi"/>
              </w:rPr>
              <w:t>± 2.08 (-1.37 to -10.25)</w:t>
            </w:r>
          </w:p>
        </w:tc>
        <w:tc>
          <w:tcPr>
            <w:tcW w:w="3240" w:type="dxa"/>
            <w:vAlign w:val="center"/>
          </w:tcPr>
          <w:p w14:paraId="6C4094E4" w14:textId="355DCFC2" w:rsidR="004E2D84" w:rsidRDefault="00E93EAB" w:rsidP="004E2D84">
            <w:r>
              <w:t xml:space="preserve">-4.40 </w:t>
            </w:r>
            <w:r>
              <w:rPr>
                <w:rFonts w:cstheme="minorHAnsi"/>
              </w:rPr>
              <w:t>± 1.85 (-0.75 to -11.25)</w:t>
            </w:r>
          </w:p>
        </w:tc>
        <w:tc>
          <w:tcPr>
            <w:tcW w:w="1525" w:type="dxa"/>
            <w:vAlign w:val="center"/>
          </w:tcPr>
          <w:p w14:paraId="3AA40F1D" w14:textId="6C90DD7F" w:rsidR="004E2D84" w:rsidRDefault="00186688" w:rsidP="004E2D84">
            <w:r>
              <w:t>0.819</w:t>
            </w:r>
          </w:p>
        </w:tc>
      </w:tr>
      <w:tr w:rsidR="004E2D84" w14:paraId="471FF447" w14:textId="77777777" w:rsidTr="008C7633">
        <w:trPr>
          <w:trHeight w:val="492"/>
        </w:trPr>
        <w:tc>
          <w:tcPr>
            <w:tcW w:w="4945" w:type="dxa"/>
            <w:vAlign w:val="center"/>
          </w:tcPr>
          <w:p w14:paraId="53DF08DB" w14:textId="63E911D5" w:rsidR="004E2D84" w:rsidRDefault="004E2D84" w:rsidP="00F61E11">
            <w:r>
              <w:t xml:space="preserve">CDVA (logMAR) mean </w:t>
            </w:r>
            <w:r>
              <w:rPr>
                <w:rFonts w:cstheme="minorHAnsi"/>
              </w:rPr>
              <w:t>± SD</w:t>
            </w:r>
            <w:r>
              <w:t xml:space="preserve"> (range)</w:t>
            </w:r>
          </w:p>
        </w:tc>
        <w:tc>
          <w:tcPr>
            <w:tcW w:w="3240" w:type="dxa"/>
            <w:vAlign w:val="center"/>
          </w:tcPr>
          <w:p w14:paraId="2E639054" w14:textId="12B6FB2F" w:rsidR="004E2D84" w:rsidRDefault="00BB5DE8" w:rsidP="00F61E11">
            <w:r>
              <w:t xml:space="preserve">-0.04 </w:t>
            </w:r>
            <w:r>
              <w:rPr>
                <w:rFonts w:cstheme="minorHAnsi"/>
              </w:rPr>
              <w:t>± 0.05 (-0.20 to 0.0)</w:t>
            </w:r>
          </w:p>
        </w:tc>
        <w:tc>
          <w:tcPr>
            <w:tcW w:w="3240" w:type="dxa"/>
            <w:vAlign w:val="center"/>
          </w:tcPr>
          <w:p w14:paraId="3CA4A708" w14:textId="145A1CB5" w:rsidR="004E2D84" w:rsidRDefault="006C0242" w:rsidP="004E2D84">
            <w:r>
              <w:t xml:space="preserve">-0.04 </w:t>
            </w:r>
            <w:r>
              <w:rPr>
                <w:rFonts w:cstheme="minorHAnsi"/>
              </w:rPr>
              <w:t>± 0.06 (-0.20 to 0.10)</w:t>
            </w:r>
          </w:p>
        </w:tc>
        <w:tc>
          <w:tcPr>
            <w:tcW w:w="1525" w:type="dxa"/>
            <w:vAlign w:val="center"/>
          </w:tcPr>
          <w:p w14:paraId="13A8A072" w14:textId="423C0B2D" w:rsidR="004E2D84" w:rsidRDefault="00186688" w:rsidP="004E2D84">
            <w:r>
              <w:t>0.481</w:t>
            </w:r>
          </w:p>
        </w:tc>
      </w:tr>
    </w:tbl>
    <w:p w14:paraId="693EB750" w14:textId="7D9A8FA6" w:rsidR="004E2D84" w:rsidRDefault="008C7633">
      <w:pPr>
        <w:rPr>
          <w:color w:val="000000"/>
        </w:rPr>
      </w:pPr>
      <w:r w:rsidRPr="00A11558">
        <w:rPr>
          <w:color w:val="000000"/>
        </w:rPr>
        <w:t>SD=standard deviation, SEQ=spherical equivalent, CDVA=corrected distance visual acuity</w:t>
      </w:r>
    </w:p>
    <w:p w14:paraId="0E7971C6" w14:textId="77777777" w:rsidR="00B7271A" w:rsidRDefault="00B7271A">
      <w:pPr>
        <w:rPr>
          <w:color w:val="000000"/>
        </w:rPr>
      </w:pPr>
    </w:p>
    <w:p w14:paraId="174DAFDF" w14:textId="1A60BD07" w:rsidR="00B7271A" w:rsidRDefault="00B7271A">
      <w:pPr>
        <w:rPr>
          <w:color w:val="000000"/>
        </w:rPr>
      </w:pPr>
      <w:r>
        <w:rPr>
          <w:color w:val="000000"/>
        </w:rPr>
        <w:br w:type="page"/>
      </w:r>
    </w:p>
    <w:p w14:paraId="712D0848" w14:textId="4DCADC1C" w:rsidR="00BB6997" w:rsidRDefault="00BB6997" w:rsidP="00BB6997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Supplemental </w:t>
      </w:r>
      <w:r w:rsidRPr="004E2D84">
        <w:rPr>
          <w:b/>
          <w:bCs/>
          <w:color w:val="000000"/>
        </w:rPr>
        <w:t xml:space="preserve">Table </w:t>
      </w:r>
      <w:r>
        <w:rPr>
          <w:b/>
          <w:bCs/>
          <w:color w:val="000000"/>
        </w:rPr>
        <w:t>1</w:t>
      </w:r>
      <w:r w:rsidR="0016084E">
        <w:rPr>
          <w:b/>
          <w:bCs/>
          <w:color w:val="000000"/>
        </w:rPr>
        <w:t>B</w:t>
      </w:r>
      <w:r w:rsidRPr="004E2D84">
        <w:rPr>
          <w:b/>
          <w:bCs/>
          <w:color w:val="000000"/>
        </w:rPr>
        <w:t>. Patient Demographics</w:t>
      </w:r>
      <w:r>
        <w:rPr>
          <w:b/>
          <w:bCs/>
          <w:color w:val="000000"/>
        </w:rPr>
        <w:t xml:space="preserve"> – High Cylinder (</w:t>
      </w:r>
      <w:r>
        <w:rPr>
          <w:rFonts w:cstheme="minorHAnsi"/>
          <w:b/>
          <w:bCs/>
          <w:color w:val="000000"/>
        </w:rPr>
        <w:t>&gt;</w:t>
      </w:r>
      <w:r>
        <w:rPr>
          <w:b/>
          <w:bCs/>
          <w:color w:val="000000"/>
        </w:rPr>
        <w:t>2.00 D) Cohort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5035"/>
        <w:gridCol w:w="3195"/>
        <w:gridCol w:w="3195"/>
        <w:gridCol w:w="1525"/>
      </w:tblGrid>
      <w:tr w:rsidR="00BB6997" w14:paraId="516652E5" w14:textId="77777777" w:rsidTr="0065077D">
        <w:trPr>
          <w:trHeight w:val="492"/>
        </w:trPr>
        <w:tc>
          <w:tcPr>
            <w:tcW w:w="5035" w:type="dxa"/>
            <w:vAlign w:val="center"/>
          </w:tcPr>
          <w:p w14:paraId="67A3AB63" w14:textId="77777777" w:rsidR="00BB6997" w:rsidRPr="006834C0" w:rsidRDefault="00BB6997" w:rsidP="0065077D">
            <w:pPr>
              <w:rPr>
                <w:b/>
                <w:bCs/>
              </w:rPr>
            </w:pPr>
            <w:r w:rsidRPr="006834C0">
              <w:rPr>
                <w:b/>
                <w:bCs/>
              </w:rPr>
              <w:t>Category</w:t>
            </w:r>
          </w:p>
        </w:tc>
        <w:tc>
          <w:tcPr>
            <w:tcW w:w="3195" w:type="dxa"/>
            <w:vAlign w:val="center"/>
          </w:tcPr>
          <w:p w14:paraId="0CF2F146" w14:textId="77777777" w:rsidR="00BB6997" w:rsidRPr="006834C0" w:rsidRDefault="00BB6997" w:rsidP="0065077D">
            <w:pPr>
              <w:rPr>
                <w:b/>
                <w:bCs/>
              </w:rPr>
            </w:pPr>
            <w:r>
              <w:rPr>
                <w:b/>
                <w:bCs/>
              </w:rPr>
              <w:t>VM500 group</w:t>
            </w:r>
          </w:p>
        </w:tc>
        <w:tc>
          <w:tcPr>
            <w:tcW w:w="3195" w:type="dxa"/>
            <w:vAlign w:val="center"/>
          </w:tcPr>
          <w:p w14:paraId="5F1ECB04" w14:textId="77777777" w:rsidR="00BB6997" w:rsidRDefault="00BB6997" w:rsidP="006507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VM800 group </w:t>
            </w:r>
          </w:p>
        </w:tc>
        <w:tc>
          <w:tcPr>
            <w:tcW w:w="1525" w:type="dxa"/>
            <w:vAlign w:val="center"/>
          </w:tcPr>
          <w:p w14:paraId="3B5F4852" w14:textId="77777777" w:rsidR="00BB6997" w:rsidRDefault="00BB6997" w:rsidP="0065077D">
            <w:pPr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</w:tr>
      <w:tr w:rsidR="00BB6997" w14:paraId="0FC78EFC" w14:textId="77777777" w:rsidTr="0065077D">
        <w:trPr>
          <w:trHeight w:val="492"/>
        </w:trPr>
        <w:tc>
          <w:tcPr>
            <w:tcW w:w="5035" w:type="dxa"/>
            <w:vAlign w:val="center"/>
          </w:tcPr>
          <w:p w14:paraId="5D87049D" w14:textId="77777777" w:rsidR="00BB6997" w:rsidRDefault="00BB6997" w:rsidP="0065077D">
            <w:r>
              <w:t>Eyes</w:t>
            </w:r>
          </w:p>
        </w:tc>
        <w:tc>
          <w:tcPr>
            <w:tcW w:w="3195" w:type="dxa"/>
            <w:vAlign w:val="center"/>
          </w:tcPr>
          <w:p w14:paraId="1FC8EAAE" w14:textId="77777777" w:rsidR="00BB6997" w:rsidRDefault="00BB6997" w:rsidP="0065077D">
            <w:r>
              <w:t>60</w:t>
            </w:r>
          </w:p>
        </w:tc>
        <w:tc>
          <w:tcPr>
            <w:tcW w:w="3195" w:type="dxa"/>
            <w:vAlign w:val="center"/>
          </w:tcPr>
          <w:p w14:paraId="79DFE169" w14:textId="77777777" w:rsidR="00BB6997" w:rsidRDefault="00BB6997" w:rsidP="0065077D">
            <w:r>
              <w:t>56</w:t>
            </w:r>
          </w:p>
        </w:tc>
        <w:tc>
          <w:tcPr>
            <w:tcW w:w="1525" w:type="dxa"/>
            <w:vAlign w:val="center"/>
          </w:tcPr>
          <w:p w14:paraId="1CD76EEF" w14:textId="77777777" w:rsidR="00BB6997" w:rsidRDefault="00BB6997" w:rsidP="0065077D">
            <w:r>
              <w:t>-</w:t>
            </w:r>
          </w:p>
        </w:tc>
      </w:tr>
      <w:tr w:rsidR="00BB6997" w14:paraId="20B5465C" w14:textId="77777777" w:rsidTr="0065077D">
        <w:trPr>
          <w:trHeight w:val="492"/>
        </w:trPr>
        <w:tc>
          <w:tcPr>
            <w:tcW w:w="5035" w:type="dxa"/>
            <w:vAlign w:val="center"/>
          </w:tcPr>
          <w:p w14:paraId="75C509F3" w14:textId="77777777" w:rsidR="00BB6997" w:rsidRDefault="00BB6997" w:rsidP="0065077D">
            <w:r>
              <w:t xml:space="preserve">Age (years) mean </w:t>
            </w:r>
            <w:r>
              <w:rPr>
                <w:rFonts w:cstheme="minorHAnsi"/>
              </w:rPr>
              <w:t>± SD</w:t>
            </w:r>
            <w:r>
              <w:t xml:space="preserve"> (range)</w:t>
            </w:r>
          </w:p>
        </w:tc>
        <w:tc>
          <w:tcPr>
            <w:tcW w:w="3195" w:type="dxa"/>
            <w:vAlign w:val="center"/>
          </w:tcPr>
          <w:p w14:paraId="231B9628" w14:textId="77777777" w:rsidR="00BB6997" w:rsidRDefault="00BB6997" w:rsidP="0065077D">
            <w:r>
              <w:t xml:space="preserve">30.28 </w:t>
            </w:r>
            <w:r>
              <w:rPr>
                <w:rFonts w:cstheme="minorHAnsi"/>
              </w:rPr>
              <w:t>± 6.22</w:t>
            </w:r>
          </w:p>
        </w:tc>
        <w:tc>
          <w:tcPr>
            <w:tcW w:w="3195" w:type="dxa"/>
            <w:vAlign w:val="center"/>
          </w:tcPr>
          <w:p w14:paraId="745C3F24" w14:textId="77777777" w:rsidR="00BB6997" w:rsidRDefault="00BB6997" w:rsidP="0065077D">
            <w:r>
              <w:t xml:space="preserve">31.08 </w:t>
            </w:r>
            <w:r>
              <w:rPr>
                <w:rFonts w:cstheme="minorHAnsi"/>
              </w:rPr>
              <w:t>± 6.48</w:t>
            </w:r>
          </w:p>
        </w:tc>
        <w:tc>
          <w:tcPr>
            <w:tcW w:w="1525" w:type="dxa"/>
            <w:vAlign w:val="center"/>
          </w:tcPr>
          <w:p w14:paraId="11EF3447" w14:textId="77777777" w:rsidR="00BB6997" w:rsidRDefault="00BB6997" w:rsidP="0065077D">
            <w:r>
              <w:t>-</w:t>
            </w:r>
          </w:p>
        </w:tc>
      </w:tr>
      <w:tr w:rsidR="00BB6997" w14:paraId="65AF2E09" w14:textId="77777777" w:rsidTr="0065077D">
        <w:trPr>
          <w:trHeight w:val="492"/>
        </w:trPr>
        <w:tc>
          <w:tcPr>
            <w:tcW w:w="5035" w:type="dxa"/>
            <w:vAlign w:val="center"/>
          </w:tcPr>
          <w:p w14:paraId="65590499" w14:textId="77777777" w:rsidR="00BB6997" w:rsidRDefault="00BB6997" w:rsidP="0065077D">
            <w:r>
              <w:t>Sex (M/F) %</w:t>
            </w:r>
          </w:p>
        </w:tc>
        <w:tc>
          <w:tcPr>
            <w:tcW w:w="3195" w:type="dxa"/>
            <w:vAlign w:val="center"/>
          </w:tcPr>
          <w:p w14:paraId="23123EDF" w14:textId="77777777" w:rsidR="00BB6997" w:rsidRDefault="00BB6997" w:rsidP="0065077D">
            <w:r>
              <w:t>57 / 43</w:t>
            </w:r>
          </w:p>
        </w:tc>
        <w:tc>
          <w:tcPr>
            <w:tcW w:w="3195" w:type="dxa"/>
            <w:vAlign w:val="center"/>
          </w:tcPr>
          <w:p w14:paraId="0E02A9F6" w14:textId="77777777" w:rsidR="00BB6997" w:rsidRDefault="00BB6997" w:rsidP="0065077D">
            <w:r>
              <w:t>52 / 48</w:t>
            </w:r>
          </w:p>
        </w:tc>
        <w:tc>
          <w:tcPr>
            <w:tcW w:w="1525" w:type="dxa"/>
            <w:vAlign w:val="center"/>
          </w:tcPr>
          <w:p w14:paraId="173EF7A5" w14:textId="77777777" w:rsidR="00BB6997" w:rsidRDefault="00BB6997" w:rsidP="0065077D">
            <w:r>
              <w:t>-</w:t>
            </w:r>
          </w:p>
        </w:tc>
      </w:tr>
      <w:tr w:rsidR="00BB6997" w14:paraId="7BE28E31" w14:textId="77777777" w:rsidTr="0065077D">
        <w:trPr>
          <w:trHeight w:val="492"/>
        </w:trPr>
        <w:tc>
          <w:tcPr>
            <w:tcW w:w="5035" w:type="dxa"/>
            <w:vAlign w:val="center"/>
          </w:tcPr>
          <w:p w14:paraId="0C85F8D9" w14:textId="77777777" w:rsidR="00BB6997" w:rsidRDefault="00BB6997" w:rsidP="0065077D">
            <w:r>
              <w:t xml:space="preserve">Sphere (D) mean </w:t>
            </w:r>
            <w:r>
              <w:rPr>
                <w:rFonts w:cstheme="minorHAnsi"/>
              </w:rPr>
              <w:t>± SD</w:t>
            </w:r>
            <w:r>
              <w:t xml:space="preserve"> (range) </w:t>
            </w:r>
          </w:p>
        </w:tc>
        <w:tc>
          <w:tcPr>
            <w:tcW w:w="3195" w:type="dxa"/>
            <w:vAlign w:val="center"/>
          </w:tcPr>
          <w:p w14:paraId="0AA84DB0" w14:textId="77777777" w:rsidR="00BB6997" w:rsidRDefault="00BB6997" w:rsidP="0065077D">
            <w:r>
              <w:t xml:space="preserve">-3.57 </w:t>
            </w:r>
            <w:r>
              <w:rPr>
                <w:rFonts w:cstheme="minorHAnsi"/>
              </w:rPr>
              <w:t>± 2.19 (-0.50 to -8.00)</w:t>
            </w:r>
          </w:p>
        </w:tc>
        <w:tc>
          <w:tcPr>
            <w:tcW w:w="3195" w:type="dxa"/>
            <w:vAlign w:val="center"/>
          </w:tcPr>
          <w:p w14:paraId="75B91CE5" w14:textId="77777777" w:rsidR="00BB6997" w:rsidRDefault="00BB6997" w:rsidP="0065077D">
            <w:r>
              <w:t xml:space="preserve">-3.64 </w:t>
            </w:r>
            <w:r>
              <w:rPr>
                <w:rFonts w:cstheme="minorHAnsi"/>
              </w:rPr>
              <w:t>± 2.54 (-0.50 to -10.00)</w:t>
            </w:r>
          </w:p>
        </w:tc>
        <w:tc>
          <w:tcPr>
            <w:tcW w:w="1525" w:type="dxa"/>
            <w:vAlign w:val="center"/>
          </w:tcPr>
          <w:p w14:paraId="599673BA" w14:textId="77777777" w:rsidR="00BB6997" w:rsidRDefault="00BB6997" w:rsidP="0065077D">
            <w:r>
              <w:t>0.976</w:t>
            </w:r>
          </w:p>
        </w:tc>
      </w:tr>
      <w:tr w:rsidR="00BB6997" w14:paraId="64D66924" w14:textId="77777777" w:rsidTr="0065077D">
        <w:trPr>
          <w:trHeight w:val="492"/>
        </w:trPr>
        <w:tc>
          <w:tcPr>
            <w:tcW w:w="5035" w:type="dxa"/>
            <w:vAlign w:val="center"/>
          </w:tcPr>
          <w:p w14:paraId="3D75F605" w14:textId="77777777" w:rsidR="00BB6997" w:rsidRDefault="00BB6997" w:rsidP="0065077D">
            <w:r>
              <w:t xml:space="preserve">Cylinder (D) mean </w:t>
            </w:r>
            <w:r>
              <w:rPr>
                <w:rFonts w:cstheme="minorHAnsi"/>
              </w:rPr>
              <w:t>± SD</w:t>
            </w:r>
            <w:r>
              <w:t xml:space="preserve"> (range)</w:t>
            </w:r>
          </w:p>
        </w:tc>
        <w:tc>
          <w:tcPr>
            <w:tcW w:w="3195" w:type="dxa"/>
            <w:vAlign w:val="center"/>
          </w:tcPr>
          <w:p w14:paraId="716C0058" w14:textId="77777777" w:rsidR="00BB6997" w:rsidRDefault="00BB6997" w:rsidP="0065077D">
            <w:r>
              <w:t xml:space="preserve">-3.29 </w:t>
            </w:r>
            <w:r>
              <w:rPr>
                <w:rFonts w:cstheme="minorHAnsi"/>
              </w:rPr>
              <w:t>± 0.82 (-2.25 to -5.00)</w:t>
            </w:r>
          </w:p>
        </w:tc>
        <w:tc>
          <w:tcPr>
            <w:tcW w:w="3195" w:type="dxa"/>
            <w:vAlign w:val="center"/>
          </w:tcPr>
          <w:p w14:paraId="57562AB3" w14:textId="77777777" w:rsidR="00BB6997" w:rsidRDefault="00BB6997" w:rsidP="0065077D">
            <w:r>
              <w:t xml:space="preserve">-3.04 </w:t>
            </w:r>
            <w:r>
              <w:rPr>
                <w:rFonts w:cstheme="minorHAnsi"/>
              </w:rPr>
              <w:t>± 0.68 (-2.50 to -4.75)</w:t>
            </w:r>
          </w:p>
        </w:tc>
        <w:tc>
          <w:tcPr>
            <w:tcW w:w="1525" w:type="dxa"/>
            <w:vAlign w:val="center"/>
          </w:tcPr>
          <w:p w14:paraId="1FB10340" w14:textId="77777777" w:rsidR="00BB6997" w:rsidRDefault="00BB6997" w:rsidP="0065077D">
            <w:r>
              <w:t>0.13</w:t>
            </w:r>
          </w:p>
        </w:tc>
      </w:tr>
      <w:tr w:rsidR="00BB6997" w14:paraId="4D93C5CF" w14:textId="77777777" w:rsidTr="0065077D">
        <w:trPr>
          <w:trHeight w:val="492"/>
        </w:trPr>
        <w:tc>
          <w:tcPr>
            <w:tcW w:w="5035" w:type="dxa"/>
            <w:vAlign w:val="center"/>
          </w:tcPr>
          <w:p w14:paraId="108C8171" w14:textId="77777777" w:rsidR="00BB6997" w:rsidRDefault="00BB6997" w:rsidP="0065077D">
            <w:r>
              <w:t xml:space="preserve">SEQ (D) mean </w:t>
            </w:r>
            <w:r>
              <w:rPr>
                <w:rFonts w:cstheme="minorHAnsi"/>
              </w:rPr>
              <w:t>± SD</w:t>
            </w:r>
            <w:r>
              <w:t xml:space="preserve"> (range)</w:t>
            </w:r>
          </w:p>
        </w:tc>
        <w:tc>
          <w:tcPr>
            <w:tcW w:w="3195" w:type="dxa"/>
            <w:vAlign w:val="center"/>
          </w:tcPr>
          <w:p w14:paraId="794E8D16" w14:textId="77777777" w:rsidR="00BB6997" w:rsidRDefault="00BB6997" w:rsidP="0065077D">
            <w:r>
              <w:t xml:space="preserve">-5.16 </w:t>
            </w:r>
            <w:r>
              <w:rPr>
                <w:rFonts w:cstheme="minorHAnsi"/>
              </w:rPr>
              <w:t>± 2.18 (-1.25 to -9.37)</w:t>
            </w:r>
          </w:p>
        </w:tc>
        <w:tc>
          <w:tcPr>
            <w:tcW w:w="3195" w:type="dxa"/>
            <w:vAlign w:val="center"/>
          </w:tcPr>
          <w:p w14:paraId="5587784E" w14:textId="77777777" w:rsidR="00BB6997" w:rsidRDefault="00BB6997" w:rsidP="0065077D">
            <w:r>
              <w:t xml:space="preserve">-5.14 </w:t>
            </w:r>
            <w:r>
              <w:rPr>
                <w:rFonts w:cstheme="minorHAnsi"/>
              </w:rPr>
              <w:t>± 2.50 (-1.87 to -12.00)</w:t>
            </w:r>
          </w:p>
        </w:tc>
        <w:tc>
          <w:tcPr>
            <w:tcW w:w="1525" w:type="dxa"/>
            <w:vAlign w:val="center"/>
          </w:tcPr>
          <w:p w14:paraId="491F3728" w14:textId="77777777" w:rsidR="00BB6997" w:rsidRDefault="00BB6997" w:rsidP="0065077D">
            <w:r>
              <w:t>0.732</w:t>
            </w:r>
          </w:p>
        </w:tc>
      </w:tr>
      <w:tr w:rsidR="00BB6997" w14:paraId="57B7F9C2" w14:textId="77777777" w:rsidTr="0065077D">
        <w:trPr>
          <w:trHeight w:val="492"/>
        </w:trPr>
        <w:tc>
          <w:tcPr>
            <w:tcW w:w="5035" w:type="dxa"/>
            <w:vAlign w:val="center"/>
          </w:tcPr>
          <w:p w14:paraId="39186C98" w14:textId="77777777" w:rsidR="00BB6997" w:rsidRDefault="00BB6997" w:rsidP="0065077D">
            <w:r>
              <w:t xml:space="preserve">CDVA (logMAR) mean </w:t>
            </w:r>
            <w:r>
              <w:rPr>
                <w:rFonts w:cstheme="minorHAnsi"/>
              </w:rPr>
              <w:t>± SD</w:t>
            </w:r>
            <w:r>
              <w:t xml:space="preserve"> (range)</w:t>
            </w:r>
          </w:p>
        </w:tc>
        <w:tc>
          <w:tcPr>
            <w:tcW w:w="3195" w:type="dxa"/>
            <w:vAlign w:val="center"/>
          </w:tcPr>
          <w:p w14:paraId="790AC740" w14:textId="77777777" w:rsidR="00BB6997" w:rsidRDefault="00BB6997" w:rsidP="0065077D">
            <w:r>
              <w:t xml:space="preserve">-0.03 </w:t>
            </w:r>
            <w:r>
              <w:rPr>
                <w:rFonts w:cstheme="minorHAnsi"/>
              </w:rPr>
              <w:t>± 0.04 (-0.10 to 0.0)</w:t>
            </w:r>
          </w:p>
        </w:tc>
        <w:tc>
          <w:tcPr>
            <w:tcW w:w="3195" w:type="dxa"/>
            <w:vAlign w:val="center"/>
          </w:tcPr>
          <w:p w14:paraId="2D8ADFC2" w14:textId="77777777" w:rsidR="00BB6997" w:rsidRPr="00E368B4" w:rsidRDefault="00BB6997" w:rsidP="0065077D">
            <w:pPr>
              <w:rPr>
                <w:rFonts w:cstheme="minorHAnsi"/>
              </w:rPr>
            </w:pPr>
            <w:r>
              <w:t xml:space="preserve">-0.03 </w:t>
            </w:r>
            <w:r>
              <w:rPr>
                <w:rFonts w:cstheme="minorHAnsi"/>
              </w:rPr>
              <w:t>± 0.04 (-0.10 to 0.0)</w:t>
            </w:r>
          </w:p>
        </w:tc>
        <w:tc>
          <w:tcPr>
            <w:tcW w:w="1525" w:type="dxa"/>
            <w:vAlign w:val="center"/>
          </w:tcPr>
          <w:p w14:paraId="43B6D28B" w14:textId="77777777" w:rsidR="00BB6997" w:rsidRDefault="00BB6997" w:rsidP="0065077D">
            <w:r>
              <w:t>0.819</w:t>
            </w:r>
          </w:p>
        </w:tc>
      </w:tr>
    </w:tbl>
    <w:p w14:paraId="47F56A75" w14:textId="77777777" w:rsidR="00BB6997" w:rsidRPr="00B92E28" w:rsidRDefault="00BB6997" w:rsidP="00BB6997">
      <w:pPr>
        <w:rPr>
          <w:color w:val="000000"/>
        </w:rPr>
      </w:pPr>
      <w:r w:rsidRPr="00A11558">
        <w:rPr>
          <w:color w:val="000000"/>
        </w:rPr>
        <w:t>SD=standard deviation, SEQ=spherical equivalent, CDVA=corrected distance visual acuity</w:t>
      </w:r>
    </w:p>
    <w:p w14:paraId="0C40862B" w14:textId="77777777" w:rsidR="00B7271A" w:rsidRPr="00E149C6" w:rsidRDefault="00B7271A">
      <w:pPr>
        <w:rPr>
          <w:color w:val="000000"/>
        </w:rPr>
      </w:pPr>
    </w:p>
    <w:sectPr w:rsidR="00B7271A" w:rsidRPr="00E149C6" w:rsidSect="004E2D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84"/>
    <w:rsid w:val="000351A2"/>
    <w:rsid w:val="000C4B79"/>
    <w:rsid w:val="0016084E"/>
    <w:rsid w:val="001665C7"/>
    <w:rsid w:val="00186688"/>
    <w:rsid w:val="001D79C4"/>
    <w:rsid w:val="001E2E69"/>
    <w:rsid w:val="00201175"/>
    <w:rsid w:val="002776A5"/>
    <w:rsid w:val="004E2D84"/>
    <w:rsid w:val="0050586E"/>
    <w:rsid w:val="0050589F"/>
    <w:rsid w:val="00506628"/>
    <w:rsid w:val="005068DD"/>
    <w:rsid w:val="006506E8"/>
    <w:rsid w:val="006C0242"/>
    <w:rsid w:val="006D0D52"/>
    <w:rsid w:val="007876D6"/>
    <w:rsid w:val="007A2D52"/>
    <w:rsid w:val="008C7633"/>
    <w:rsid w:val="008E6A48"/>
    <w:rsid w:val="009B5EA1"/>
    <w:rsid w:val="00A27122"/>
    <w:rsid w:val="00AC42BA"/>
    <w:rsid w:val="00AD4FC5"/>
    <w:rsid w:val="00B7271A"/>
    <w:rsid w:val="00BB5DE8"/>
    <w:rsid w:val="00BB6997"/>
    <w:rsid w:val="00C84C66"/>
    <w:rsid w:val="00DC2D15"/>
    <w:rsid w:val="00E149C6"/>
    <w:rsid w:val="00E93EAB"/>
    <w:rsid w:val="00EE2288"/>
    <w:rsid w:val="00F11880"/>
    <w:rsid w:val="00F479DA"/>
    <w:rsid w:val="00FA522C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0C24"/>
  <w15:chartTrackingRefBased/>
  <w15:docId w15:val="{C4244D92-AD89-4F2B-A4D2-07D05B58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D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4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B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042244-bb51-4cd6-8034-7776fa3703e8}" enabled="0" method="" siteId="{28042244-bb51-4cd6-8034-7776fa3703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Vida, Ryan</dc:creator>
  <cp:keywords/>
  <dc:description/>
  <cp:lastModifiedBy>Vida, Ryan</cp:lastModifiedBy>
  <cp:revision>30</cp:revision>
  <dcterms:created xsi:type="dcterms:W3CDTF">2024-07-19T20:53:00Z</dcterms:created>
  <dcterms:modified xsi:type="dcterms:W3CDTF">2024-11-20T22:03:00Z</dcterms:modified>
</cp:coreProperties>
</file>