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97188" w14:textId="77777777" w:rsidR="00C56D60" w:rsidRPr="00C56D60" w:rsidRDefault="00C56D60" w:rsidP="00C56D60">
      <w:pPr>
        <w:keepNext/>
        <w:spacing w:before="240" w:after="60"/>
        <w:ind w:firstLine="0"/>
        <w:outlineLvl w:val="0"/>
        <w:rPr>
          <w:rFonts w:ascii="Times New Roman" w:hAnsi="Times New Roman"/>
          <w:b/>
          <w:bCs/>
          <w:kern w:val="32"/>
          <w:sz w:val="24"/>
          <w:szCs w:val="24"/>
          <w14:ligatures w14:val="none"/>
        </w:rPr>
      </w:pPr>
      <w:r w:rsidRPr="00C56D60">
        <w:rPr>
          <w:rFonts w:ascii="Times New Roman" w:hAnsi="Times New Roman"/>
          <w:b/>
          <w:bCs/>
          <w:kern w:val="32"/>
          <w:sz w:val="24"/>
          <w:szCs w:val="24"/>
          <w14:ligatures w14:val="none"/>
        </w:rPr>
        <w:t>Title Page</w:t>
      </w:r>
    </w:p>
    <w:p w14:paraId="3D6555BC" w14:textId="77777777" w:rsidR="00C56D60" w:rsidRPr="00C56D60" w:rsidRDefault="00C56D60" w:rsidP="00C56D60">
      <w:pPr>
        <w:ind w:firstLine="0"/>
        <w:rPr>
          <w:rFonts w:ascii="Times New Roman" w:hAnsi="Times New Roman"/>
          <w:b/>
          <w:bCs/>
          <w:sz w:val="24"/>
          <w:szCs w:val="24"/>
          <w14:ligatures w14:val="none"/>
        </w:rPr>
      </w:pPr>
      <w:r w:rsidRPr="00C56D60">
        <w:rPr>
          <w:rFonts w:ascii="Times New Roman" w:hAnsi="Times New Roman"/>
          <w:b/>
          <w:bCs/>
          <w:sz w:val="24"/>
          <w:szCs w:val="24"/>
          <w14:ligatures w14:val="none"/>
        </w:rPr>
        <w:t>Treatment patterns and healthcare resource utilization by gender and migraine frequency in adult patients receiving galcanezumab versus standard of care preventive medications over 24 months: A United States retrospective claims study</w:t>
      </w:r>
    </w:p>
    <w:p w14:paraId="7396D35A" w14:textId="77777777" w:rsidR="00C56D60" w:rsidRPr="00C56D60" w:rsidRDefault="00C56D60" w:rsidP="00C56D60">
      <w:pPr>
        <w:ind w:firstLine="0"/>
        <w:rPr>
          <w:rFonts w:ascii="Times New Roman" w:hAnsi="Times New Roman"/>
          <w:sz w:val="24"/>
          <w:szCs w:val="24"/>
          <w14:ligatures w14:val="none"/>
        </w:rPr>
      </w:pPr>
      <w:r w:rsidRPr="00C56D60">
        <w:rPr>
          <w:rFonts w:ascii="Times New Roman" w:hAnsi="Times New Roman"/>
          <w:sz w:val="24"/>
          <w:szCs w:val="24"/>
          <w14:ligatures w14:val="none"/>
        </w:rPr>
        <w:t xml:space="preserve">Oralee J. </w:t>
      </w:r>
      <w:proofErr w:type="spellStart"/>
      <w:r w:rsidRPr="00C56D60">
        <w:rPr>
          <w:rFonts w:ascii="Times New Roman" w:hAnsi="Times New Roman"/>
          <w:sz w:val="24"/>
          <w:szCs w:val="24"/>
          <w14:ligatures w14:val="none"/>
        </w:rPr>
        <w:t>Varnado</w:t>
      </w:r>
      <w:r w:rsidRPr="00C56D60">
        <w:rPr>
          <w:rFonts w:ascii="Times New Roman" w:hAnsi="Times New Roman"/>
          <w:sz w:val="24"/>
          <w:szCs w:val="24"/>
          <w:vertAlign w:val="superscript"/>
          <w14:ligatures w14:val="none"/>
        </w:rPr>
        <w:t>a</w:t>
      </w:r>
      <w:proofErr w:type="spellEnd"/>
      <w:r w:rsidRPr="00C56D60">
        <w:rPr>
          <w:rFonts w:ascii="Times New Roman" w:hAnsi="Times New Roman"/>
          <w:sz w:val="24"/>
          <w:szCs w:val="24"/>
          <w14:ligatures w14:val="none"/>
        </w:rPr>
        <w:t xml:space="preserve">, Michelle </w:t>
      </w:r>
      <w:proofErr w:type="spellStart"/>
      <w:r w:rsidRPr="00C56D60">
        <w:rPr>
          <w:rFonts w:ascii="Times New Roman" w:hAnsi="Times New Roman"/>
          <w:sz w:val="24"/>
          <w:szCs w:val="24"/>
          <w14:ligatures w14:val="none"/>
        </w:rPr>
        <w:t>Vu</w:t>
      </w:r>
      <w:r w:rsidRPr="00C56D60">
        <w:rPr>
          <w:rFonts w:ascii="Times New Roman" w:hAnsi="Times New Roman"/>
          <w:sz w:val="24"/>
          <w:szCs w:val="24"/>
          <w:vertAlign w:val="superscript"/>
          <w14:ligatures w14:val="none"/>
        </w:rPr>
        <w:t>b</w:t>
      </w:r>
      <w:proofErr w:type="spellEnd"/>
      <w:r w:rsidRPr="00C56D60">
        <w:rPr>
          <w:rFonts w:ascii="Times New Roman" w:hAnsi="Times New Roman"/>
          <w:sz w:val="24"/>
          <w:szCs w:val="24"/>
          <w14:ligatures w14:val="none"/>
        </w:rPr>
        <w:t xml:space="preserve">, Erin </w:t>
      </w:r>
      <w:proofErr w:type="spellStart"/>
      <w:r w:rsidRPr="00C56D60">
        <w:rPr>
          <w:rFonts w:ascii="Times New Roman" w:hAnsi="Times New Roman"/>
          <w:sz w:val="24"/>
          <w:szCs w:val="24"/>
          <w14:ligatures w14:val="none"/>
        </w:rPr>
        <w:t>Buysman</w:t>
      </w:r>
      <w:r w:rsidRPr="00C56D60">
        <w:rPr>
          <w:rFonts w:ascii="Times New Roman" w:hAnsi="Times New Roman"/>
          <w:sz w:val="24"/>
          <w:szCs w:val="24"/>
          <w:vertAlign w:val="superscript"/>
          <w14:ligatures w14:val="none"/>
        </w:rPr>
        <w:t>b</w:t>
      </w:r>
      <w:proofErr w:type="spellEnd"/>
      <w:r w:rsidRPr="00C56D60">
        <w:rPr>
          <w:rFonts w:ascii="Times New Roman" w:hAnsi="Times New Roman"/>
          <w:sz w:val="24"/>
          <w:szCs w:val="24"/>
          <w14:ligatures w14:val="none"/>
        </w:rPr>
        <w:t xml:space="preserve">, </w:t>
      </w:r>
      <w:proofErr w:type="spellStart"/>
      <w:r w:rsidRPr="00C56D60">
        <w:rPr>
          <w:rFonts w:ascii="Times New Roman" w:hAnsi="Times New Roman"/>
          <w:sz w:val="24"/>
          <w:szCs w:val="24"/>
          <w14:ligatures w14:val="none"/>
        </w:rPr>
        <w:t>Gilwan</w:t>
      </w:r>
      <w:proofErr w:type="spellEnd"/>
      <w:r w:rsidRPr="00C56D60">
        <w:rPr>
          <w:rFonts w:ascii="Times New Roman" w:hAnsi="Times New Roman"/>
          <w:sz w:val="24"/>
          <w:szCs w:val="24"/>
          <w14:ligatures w14:val="none"/>
        </w:rPr>
        <w:t xml:space="preserve"> Kim</w:t>
      </w:r>
      <w:r w:rsidRPr="00C56D60">
        <w:rPr>
          <w:rFonts w:ascii="Times New Roman" w:hAnsi="Times New Roman"/>
          <w:sz w:val="24"/>
          <w:szCs w:val="24"/>
          <w:vertAlign w:val="superscript"/>
          <w14:ligatures w14:val="none"/>
        </w:rPr>
        <w:t>a</w:t>
      </w:r>
      <w:r w:rsidRPr="00C56D60">
        <w:rPr>
          <w:rFonts w:ascii="Times New Roman" w:hAnsi="Times New Roman"/>
          <w:sz w:val="24"/>
          <w:szCs w:val="24"/>
          <w14:ligatures w14:val="none"/>
        </w:rPr>
        <w:t xml:space="preserve">, Gayle </w:t>
      </w:r>
      <w:proofErr w:type="spellStart"/>
      <w:r w:rsidRPr="00C56D60">
        <w:rPr>
          <w:rFonts w:ascii="Times New Roman" w:hAnsi="Times New Roman"/>
          <w:sz w:val="24"/>
          <w:szCs w:val="24"/>
          <w14:ligatures w14:val="none"/>
        </w:rPr>
        <w:t>Allenback</w:t>
      </w:r>
      <w:r w:rsidRPr="00C56D60">
        <w:rPr>
          <w:rFonts w:ascii="Times New Roman" w:hAnsi="Times New Roman"/>
          <w:sz w:val="24"/>
          <w:szCs w:val="24"/>
          <w:vertAlign w:val="superscript"/>
          <w14:ligatures w14:val="none"/>
        </w:rPr>
        <w:t>b</w:t>
      </w:r>
      <w:proofErr w:type="spellEnd"/>
      <w:r w:rsidRPr="00C56D60">
        <w:rPr>
          <w:rFonts w:ascii="Times New Roman" w:hAnsi="Times New Roman"/>
          <w:sz w:val="24"/>
          <w:szCs w:val="24"/>
          <w14:ligatures w14:val="none"/>
        </w:rPr>
        <w:t xml:space="preserve">, Margaret </w:t>
      </w:r>
      <w:proofErr w:type="spellStart"/>
      <w:r w:rsidRPr="00C56D60">
        <w:rPr>
          <w:rFonts w:ascii="Times New Roman" w:hAnsi="Times New Roman"/>
          <w:sz w:val="24"/>
          <w:szCs w:val="24"/>
          <w14:ligatures w14:val="none"/>
        </w:rPr>
        <w:t>Hoyt</w:t>
      </w:r>
      <w:r w:rsidRPr="00C56D60">
        <w:rPr>
          <w:rFonts w:ascii="Times New Roman" w:hAnsi="Times New Roman"/>
          <w:sz w:val="24"/>
          <w:szCs w:val="24"/>
          <w:vertAlign w:val="superscript"/>
          <w14:ligatures w14:val="none"/>
        </w:rPr>
        <w:t>a</w:t>
      </w:r>
      <w:proofErr w:type="spellEnd"/>
      <w:r w:rsidRPr="00C56D60">
        <w:rPr>
          <w:rFonts w:ascii="Times New Roman" w:hAnsi="Times New Roman"/>
          <w:sz w:val="24"/>
          <w:szCs w:val="24"/>
          <w14:ligatures w14:val="none"/>
        </w:rPr>
        <w:t xml:space="preserve">, Helen </w:t>
      </w:r>
      <w:proofErr w:type="spellStart"/>
      <w:r w:rsidRPr="00C56D60">
        <w:rPr>
          <w:rFonts w:ascii="Times New Roman" w:hAnsi="Times New Roman"/>
          <w:sz w:val="24"/>
          <w:szCs w:val="24"/>
          <w14:ligatures w14:val="none"/>
        </w:rPr>
        <w:t>Trenz</w:t>
      </w:r>
      <w:r w:rsidRPr="00C56D60">
        <w:rPr>
          <w:rFonts w:ascii="Times New Roman" w:hAnsi="Times New Roman"/>
          <w:sz w:val="24"/>
          <w:szCs w:val="24"/>
          <w:vertAlign w:val="superscript"/>
          <w14:ligatures w14:val="none"/>
        </w:rPr>
        <w:t>b</w:t>
      </w:r>
      <w:proofErr w:type="spellEnd"/>
      <w:r w:rsidRPr="00C56D60">
        <w:rPr>
          <w:rFonts w:ascii="Times New Roman" w:hAnsi="Times New Roman"/>
          <w:sz w:val="24"/>
          <w:szCs w:val="24"/>
          <w14:ligatures w14:val="none"/>
        </w:rPr>
        <w:t xml:space="preserve">, Feng </w:t>
      </w:r>
      <w:proofErr w:type="spellStart"/>
      <w:r w:rsidRPr="00C56D60">
        <w:rPr>
          <w:rFonts w:ascii="Times New Roman" w:hAnsi="Times New Roman"/>
          <w:sz w:val="24"/>
          <w:szCs w:val="24"/>
          <w14:ligatures w14:val="none"/>
        </w:rPr>
        <w:t>Cao</w:t>
      </w:r>
      <w:r w:rsidRPr="00C56D60">
        <w:rPr>
          <w:rFonts w:ascii="Times New Roman" w:hAnsi="Times New Roman"/>
          <w:sz w:val="24"/>
          <w:szCs w:val="24"/>
          <w:vertAlign w:val="superscript"/>
          <w14:ligatures w14:val="none"/>
        </w:rPr>
        <w:t>b</w:t>
      </w:r>
      <w:proofErr w:type="spellEnd"/>
      <w:r w:rsidRPr="00C56D60">
        <w:rPr>
          <w:rFonts w:ascii="Times New Roman" w:hAnsi="Times New Roman"/>
          <w:sz w:val="24"/>
          <w:szCs w:val="24"/>
          <w14:ligatures w14:val="none"/>
        </w:rPr>
        <w:t xml:space="preserve"> and Lars </w:t>
      </w:r>
      <w:proofErr w:type="spellStart"/>
      <w:r w:rsidRPr="00C56D60">
        <w:rPr>
          <w:rFonts w:ascii="Times New Roman" w:hAnsi="Times New Roman"/>
          <w:sz w:val="24"/>
          <w:szCs w:val="24"/>
          <w14:ligatures w14:val="none"/>
        </w:rPr>
        <w:t>Viktrup</w:t>
      </w:r>
      <w:r w:rsidRPr="00C56D60">
        <w:rPr>
          <w:rFonts w:ascii="Times New Roman" w:hAnsi="Times New Roman"/>
          <w:sz w:val="24"/>
          <w:szCs w:val="24"/>
          <w:vertAlign w:val="superscript"/>
          <w14:ligatures w14:val="none"/>
        </w:rPr>
        <w:t>a</w:t>
      </w:r>
      <w:proofErr w:type="spellEnd"/>
    </w:p>
    <w:p w14:paraId="7C371D86" w14:textId="77777777" w:rsidR="00C56D60" w:rsidRPr="00C56D60" w:rsidRDefault="00C56D60" w:rsidP="00C56D60">
      <w:pPr>
        <w:ind w:firstLine="0"/>
        <w:rPr>
          <w:rFonts w:ascii="Times New Roman" w:hAnsi="Times New Roman"/>
          <w:i/>
          <w:iCs/>
          <w:sz w:val="24"/>
          <w:szCs w:val="24"/>
          <w14:ligatures w14:val="none"/>
        </w:rPr>
      </w:pPr>
      <w:proofErr w:type="spellStart"/>
      <w:r w:rsidRPr="00C56D60">
        <w:rPr>
          <w:rFonts w:ascii="Times New Roman" w:hAnsi="Times New Roman"/>
          <w:i/>
          <w:iCs/>
          <w:sz w:val="24"/>
          <w:szCs w:val="24"/>
          <w:vertAlign w:val="superscript"/>
          <w14:ligatures w14:val="none"/>
        </w:rPr>
        <w:t>a</w:t>
      </w:r>
      <w:r w:rsidRPr="00C56D60">
        <w:rPr>
          <w:rFonts w:ascii="Times New Roman" w:hAnsi="Times New Roman"/>
          <w:i/>
          <w:iCs/>
          <w:sz w:val="24"/>
          <w:szCs w:val="24"/>
          <w14:ligatures w14:val="none"/>
        </w:rPr>
        <w:t>Eli</w:t>
      </w:r>
      <w:proofErr w:type="spellEnd"/>
      <w:r w:rsidRPr="00C56D60">
        <w:rPr>
          <w:rFonts w:ascii="Times New Roman" w:hAnsi="Times New Roman"/>
          <w:i/>
          <w:iCs/>
          <w:sz w:val="24"/>
          <w:szCs w:val="24"/>
          <w14:ligatures w14:val="none"/>
        </w:rPr>
        <w:t xml:space="preserve"> Lilly and Company, Indianapolis, IN, USA; </w:t>
      </w:r>
      <w:proofErr w:type="spellStart"/>
      <w:r w:rsidRPr="00C56D60">
        <w:rPr>
          <w:rFonts w:ascii="Times New Roman" w:hAnsi="Times New Roman"/>
          <w:i/>
          <w:iCs/>
          <w:sz w:val="24"/>
          <w:szCs w:val="24"/>
          <w:vertAlign w:val="superscript"/>
          <w14:ligatures w14:val="none"/>
        </w:rPr>
        <w:t>b</w:t>
      </w:r>
      <w:r w:rsidRPr="00C56D60">
        <w:rPr>
          <w:rFonts w:ascii="Times New Roman" w:hAnsi="Times New Roman"/>
          <w:i/>
          <w:iCs/>
          <w:sz w:val="24"/>
          <w:szCs w:val="24"/>
          <w14:ligatures w14:val="none"/>
        </w:rPr>
        <w:t>Optum</w:t>
      </w:r>
      <w:proofErr w:type="spellEnd"/>
      <w:r w:rsidRPr="00C56D60">
        <w:rPr>
          <w:rFonts w:ascii="Times New Roman" w:hAnsi="Times New Roman"/>
          <w:i/>
          <w:iCs/>
          <w:sz w:val="24"/>
          <w:szCs w:val="24"/>
          <w14:ligatures w14:val="none"/>
        </w:rPr>
        <w:t xml:space="preserve"> Life Sciences, HEOR, Eden Prairie, MN, USA</w:t>
      </w:r>
    </w:p>
    <w:p w14:paraId="29BE08FF" w14:textId="6974AB5E" w:rsidR="00C56D60" w:rsidRPr="00C56D60" w:rsidRDefault="00C56D60" w:rsidP="00C56D60">
      <w:pPr>
        <w:ind w:firstLine="0"/>
        <w:rPr>
          <w:rFonts w:ascii="Times New Roman" w:hAnsi="Times New Roman"/>
          <w:i/>
          <w:iCs/>
          <w:sz w:val="24"/>
          <w:szCs w:val="24"/>
        </w:rPr>
      </w:pPr>
      <w:r w:rsidRPr="00C56D60">
        <w:rPr>
          <w:rFonts w:ascii="Times New Roman" w:hAnsi="Times New Roman"/>
          <w:b/>
          <w:bCs/>
          <w:sz w:val="24"/>
          <w:szCs w:val="24"/>
        </w:rPr>
        <w:t>Correspondence:</w:t>
      </w:r>
      <w:r w:rsidRPr="00C56D60">
        <w:rPr>
          <w:rFonts w:ascii="Times New Roman" w:hAnsi="Times New Roman"/>
          <w:sz w:val="24"/>
          <w:szCs w:val="24"/>
        </w:rPr>
        <w:t xml:space="preserve"> Oralee J. Varnado, Value, Evidence, and Outcomes, Eli Lilly and Company, Lilly Corporate Center, 893 Delaware Street, Indianapolis, IN 46285, USA; Tel: +1 317</w:t>
      </w:r>
      <w:r w:rsidRPr="00C56D60">
        <w:rPr>
          <w:rFonts w:ascii="Times New Roman" w:hAnsi="Times New Roman"/>
          <w:sz w:val="24"/>
          <w:szCs w:val="24"/>
        </w:rPr>
        <w:noBreakHyphen/>
        <w:t>277</w:t>
      </w:r>
      <w:r w:rsidRPr="00C56D60">
        <w:rPr>
          <w:rFonts w:ascii="Times New Roman" w:hAnsi="Times New Roman"/>
          <w:sz w:val="24"/>
          <w:szCs w:val="24"/>
        </w:rPr>
        <w:noBreakHyphen/>
        <w:t xml:space="preserve">0599; Email: </w:t>
      </w:r>
      <w:hyperlink r:id="rId5" w:history="1">
        <w:r w:rsidRPr="00C56D60">
          <w:rPr>
            <w:rFonts w:ascii="Times New Roman" w:hAnsi="Times New Roman"/>
            <w:sz w:val="24"/>
            <w:szCs w:val="24"/>
          </w:rPr>
          <w:t>varnado_oralee_johnson@lilly.com</w:t>
        </w:r>
      </w:hyperlink>
    </w:p>
    <w:p w14:paraId="3265FF25" w14:textId="77777777" w:rsidR="00C56D60" w:rsidRDefault="00C56D60">
      <w:pPr>
        <w:spacing w:after="160" w:line="259" w:lineRule="auto"/>
        <w:ind w:firstLine="0"/>
        <w:rPr>
          <w:rFonts w:ascii="Times New Roman" w:hAnsi="Times New Roman"/>
          <w:b/>
          <w:bCs/>
          <w:sz w:val="24"/>
          <w:szCs w:val="24"/>
          <w14:ligatures w14:val="none"/>
        </w:rPr>
      </w:pPr>
      <w:r>
        <w:rPr>
          <w:rFonts w:ascii="Times New Roman" w:hAnsi="Times New Roman"/>
          <w:i/>
          <w:iCs/>
          <w:sz w:val="24"/>
          <w:szCs w:val="24"/>
        </w:rPr>
        <w:br w:type="page"/>
      </w:r>
    </w:p>
    <w:p w14:paraId="56CD1F70" w14:textId="2A7A56F0" w:rsidR="00020021" w:rsidRPr="00190BFB" w:rsidRDefault="00020021" w:rsidP="00020021">
      <w:pPr>
        <w:pStyle w:val="Heading2"/>
        <w:spacing w:before="0" w:after="0"/>
        <w:rPr>
          <w:rFonts w:ascii="Times New Roman" w:eastAsia="GillSansMT-Identity-H" w:hAnsi="Times New Roman" w:cs="Times New Roman"/>
          <w:b w:val="0"/>
          <w:bCs w:val="0"/>
          <w:i w:val="0"/>
          <w:iCs w:val="0"/>
          <w:sz w:val="24"/>
          <w:szCs w:val="24"/>
        </w:rPr>
      </w:pPr>
      <w:r w:rsidRPr="00190BFB">
        <w:rPr>
          <w:rFonts w:ascii="Times New Roman" w:hAnsi="Times New Roman" w:cs="Times New Roman"/>
          <w:i w:val="0"/>
          <w:iCs w:val="0"/>
          <w:sz w:val="24"/>
          <w:szCs w:val="24"/>
        </w:rPr>
        <w:lastRenderedPageBreak/>
        <w:t xml:space="preserve">Supplementary Table 1. </w:t>
      </w:r>
      <w:r w:rsidRPr="00190BFB">
        <w:rPr>
          <w:rFonts w:ascii="Times New Roman" w:eastAsia="GillSansMT-Identity-H" w:hAnsi="Times New Roman" w:cs="Times New Roman"/>
          <w:b w:val="0"/>
          <w:bCs w:val="0"/>
          <w:i w:val="0"/>
          <w:iCs w:val="0"/>
          <w:sz w:val="24"/>
          <w:szCs w:val="24"/>
        </w:rPr>
        <w:t>Conventional preventive medications for migraine included in the SOC cohort by drug class and drug category.</w:t>
      </w:r>
    </w:p>
    <w:tbl>
      <w:tblPr>
        <w:tblStyle w:val="TableGrid"/>
        <w:tblW w:w="5000" w:type="pct"/>
        <w:tblBorders>
          <w:left w:val="none" w:sz="0" w:space="0" w:color="auto"/>
          <w:right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191"/>
        <w:gridCol w:w="3011"/>
        <w:gridCol w:w="2257"/>
        <w:gridCol w:w="1567"/>
      </w:tblGrid>
      <w:tr w:rsidR="00020021" w:rsidRPr="00190BFB" w14:paraId="2FD2907E" w14:textId="77777777" w:rsidTr="00A43037">
        <w:trPr>
          <w:trHeight w:val="422"/>
          <w:tblHeader/>
        </w:trPr>
        <w:tc>
          <w:tcPr>
            <w:tcW w:w="1214" w:type="pct"/>
            <w:vMerge w:val="restart"/>
            <w:hideMark/>
          </w:tcPr>
          <w:p w14:paraId="163BF1D1" w14:textId="77777777" w:rsidR="00020021" w:rsidRPr="00190BFB" w:rsidRDefault="00020021" w:rsidP="00A43037">
            <w:pPr>
              <w:ind w:firstLine="0"/>
              <w:contextualSpacing/>
              <w:rPr>
                <w:rFonts w:ascii="Times New Roman" w:hAnsi="Times New Roman"/>
                <w:b/>
                <w:bCs/>
                <w:color w:val="000000"/>
                <w:sz w:val="24"/>
                <w:szCs w:val="24"/>
                <w:lang w:eastAsia="en-IN"/>
              </w:rPr>
            </w:pPr>
            <w:r w:rsidRPr="00190BFB">
              <w:rPr>
                <w:rFonts w:ascii="Times New Roman" w:hAnsi="Times New Roman"/>
                <w:b/>
                <w:bCs/>
                <w:color w:val="000000"/>
                <w:sz w:val="24"/>
                <w:szCs w:val="24"/>
                <w:lang w:eastAsia="en-IN"/>
              </w:rPr>
              <w:t>Drug class/drug category</w:t>
            </w:r>
          </w:p>
          <w:p w14:paraId="14B8A882" w14:textId="77777777" w:rsidR="00020021" w:rsidRPr="00190BFB" w:rsidRDefault="00020021" w:rsidP="00A43037">
            <w:pPr>
              <w:contextualSpacing/>
              <w:rPr>
                <w:rFonts w:ascii="Times New Roman" w:hAnsi="Times New Roman"/>
                <w:b/>
                <w:bCs/>
                <w:color w:val="000000"/>
                <w:sz w:val="24"/>
                <w:szCs w:val="24"/>
                <w:lang w:eastAsia="en-IN"/>
              </w:rPr>
            </w:pPr>
            <w:r w:rsidRPr="00190BFB">
              <w:rPr>
                <w:rFonts w:ascii="Times New Roman" w:hAnsi="Times New Roman"/>
                <w:color w:val="000000"/>
                <w:sz w:val="24"/>
                <w:szCs w:val="24"/>
                <w:lang w:eastAsia="en-IN"/>
              </w:rPr>
              <w:t> </w:t>
            </w:r>
          </w:p>
        </w:tc>
        <w:tc>
          <w:tcPr>
            <w:tcW w:w="3786" w:type="pct"/>
            <w:gridSpan w:val="3"/>
            <w:hideMark/>
          </w:tcPr>
          <w:p w14:paraId="0B2544F1" w14:textId="77777777" w:rsidR="00020021" w:rsidRPr="00190BFB" w:rsidRDefault="00020021" w:rsidP="00A43037">
            <w:pPr>
              <w:ind w:firstLine="0"/>
              <w:contextualSpacing/>
              <w:rPr>
                <w:rFonts w:ascii="Times New Roman" w:hAnsi="Times New Roman"/>
                <w:b/>
                <w:bCs/>
                <w:color w:val="000000"/>
                <w:sz w:val="24"/>
                <w:szCs w:val="24"/>
                <w:lang w:eastAsia="en-IN"/>
              </w:rPr>
            </w:pPr>
            <w:r w:rsidRPr="00190BFB">
              <w:rPr>
                <w:rFonts w:ascii="Times New Roman" w:hAnsi="Times New Roman"/>
                <w:b/>
                <w:bCs/>
                <w:color w:val="000000"/>
                <w:sz w:val="24"/>
                <w:szCs w:val="24"/>
                <w:lang w:eastAsia="en-IN"/>
              </w:rPr>
              <w:t>Conventional preventive treatments for migraine in SOC cohort</w:t>
            </w:r>
          </w:p>
        </w:tc>
      </w:tr>
      <w:tr w:rsidR="00020021" w:rsidRPr="00190BFB" w14:paraId="33D23D2C" w14:textId="77777777" w:rsidTr="00A43037">
        <w:trPr>
          <w:trHeight w:val="350"/>
          <w:tblHeader/>
        </w:trPr>
        <w:tc>
          <w:tcPr>
            <w:tcW w:w="1214" w:type="pct"/>
            <w:vMerge/>
            <w:hideMark/>
          </w:tcPr>
          <w:p w14:paraId="3BFDFB6E" w14:textId="77777777" w:rsidR="00020021" w:rsidRPr="00190BFB" w:rsidRDefault="00020021" w:rsidP="00A43037">
            <w:pPr>
              <w:ind w:firstLine="0"/>
              <w:contextualSpacing/>
              <w:rPr>
                <w:rFonts w:ascii="Times New Roman" w:hAnsi="Times New Roman"/>
                <w:color w:val="000000"/>
                <w:sz w:val="24"/>
                <w:szCs w:val="24"/>
                <w:lang w:eastAsia="en-IN"/>
              </w:rPr>
            </w:pPr>
          </w:p>
        </w:tc>
        <w:tc>
          <w:tcPr>
            <w:tcW w:w="1668" w:type="pct"/>
            <w:hideMark/>
          </w:tcPr>
          <w:p w14:paraId="19A373A5" w14:textId="77777777" w:rsidR="00020021" w:rsidRPr="00190BFB" w:rsidRDefault="00020021" w:rsidP="00A43037">
            <w:pPr>
              <w:ind w:firstLine="0"/>
              <w:contextualSpacing/>
              <w:rPr>
                <w:rFonts w:ascii="Times New Roman" w:hAnsi="Times New Roman"/>
                <w:b/>
                <w:bCs/>
                <w:color w:val="000000"/>
                <w:sz w:val="24"/>
                <w:szCs w:val="24"/>
                <w:lang w:eastAsia="en-IN"/>
              </w:rPr>
            </w:pPr>
            <w:r w:rsidRPr="00190BFB">
              <w:rPr>
                <w:rFonts w:ascii="Times New Roman" w:hAnsi="Times New Roman"/>
                <w:b/>
                <w:bCs/>
                <w:color w:val="000000"/>
                <w:sz w:val="24"/>
                <w:szCs w:val="24"/>
                <w:lang w:eastAsia="en-IN"/>
              </w:rPr>
              <w:t>Established efficacy</w:t>
            </w:r>
          </w:p>
        </w:tc>
        <w:tc>
          <w:tcPr>
            <w:tcW w:w="1250" w:type="pct"/>
            <w:hideMark/>
          </w:tcPr>
          <w:p w14:paraId="2E983BC3" w14:textId="77777777" w:rsidR="00020021" w:rsidRPr="00190BFB" w:rsidRDefault="00020021" w:rsidP="00A43037">
            <w:pPr>
              <w:ind w:firstLine="0"/>
              <w:contextualSpacing/>
              <w:rPr>
                <w:rFonts w:ascii="Times New Roman" w:hAnsi="Times New Roman"/>
                <w:b/>
                <w:bCs/>
                <w:color w:val="000000"/>
                <w:sz w:val="24"/>
                <w:szCs w:val="24"/>
                <w:lang w:eastAsia="en-IN"/>
              </w:rPr>
            </w:pPr>
            <w:r w:rsidRPr="00190BFB">
              <w:rPr>
                <w:rFonts w:ascii="Times New Roman" w:hAnsi="Times New Roman"/>
                <w:b/>
                <w:bCs/>
                <w:color w:val="000000"/>
                <w:sz w:val="24"/>
                <w:szCs w:val="24"/>
                <w:lang w:eastAsia="en-IN"/>
              </w:rPr>
              <w:t>Probably effective</w:t>
            </w:r>
          </w:p>
        </w:tc>
        <w:tc>
          <w:tcPr>
            <w:tcW w:w="868" w:type="pct"/>
            <w:hideMark/>
          </w:tcPr>
          <w:p w14:paraId="213971DF" w14:textId="77777777" w:rsidR="00020021" w:rsidRPr="00190BFB" w:rsidRDefault="00020021" w:rsidP="00A43037">
            <w:pPr>
              <w:ind w:firstLine="0"/>
              <w:contextualSpacing/>
              <w:rPr>
                <w:rFonts w:ascii="Times New Roman" w:hAnsi="Times New Roman"/>
                <w:b/>
                <w:bCs/>
                <w:color w:val="000000"/>
                <w:sz w:val="24"/>
                <w:szCs w:val="24"/>
                <w:lang w:eastAsia="en-IN"/>
              </w:rPr>
            </w:pPr>
            <w:r w:rsidRPr="00190BFB">
              <w:rPr>
                <w:rFonts w:ascii="Times New Roman" w:hAnsi="Times New Roman"/>
                <w:b/>
                <w:bCs/>
                <w:color w:val="000000"/>
                <w:sz w:val="24"/>
                <w:szCs w:val="24"/>
                <w:lang w:eastAsia="en-IN"/>
              </w:rPr>
              <w:t>Other</w:t>
            </w:r>
          </w:p>
        </w:tc>
      </w:tr>
      <w:tr w:rsidR="00020021" w:rsidRPr="00190BFB" w14:paraId="3919B1A6" w14:textId="77777777" w:rsidTr="00A43037">
        <w:trPr>
          <w:trHeight w:val="646"/>
        </w:trPr>
        <w:tc>
          <w:tcPr>
            <w:tcW w:w="1214" w:type="pct"/>
            <w:hideMark/>
          </w:tcPr>
          <w:p w14:paraId="23818D90" w14:textId="77777777" w:rsidR="00020021" w:rsidRPr="00190BFB" w:rsidRDefault="00020021" w:rsidP="00A43037">
            <w:pPr>
              <w:ind w:left="144" w:hanging="144"/>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xml:space="preserve">Anticonvulsants </w:t>
            </w:r>
          </w:p>
        </w:tc>
        <w:tc>
          <w:tcPr>
            <w:tcW w:w="1668" w:type="pct"/>
            <w:hideMark/>
          </w:tcPr>
          <w:p w14:paraId="3C209937"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Divalproex sodium or sodium valproate (including valproic acid), topiramate</w:t>
            </w:r>
          </w:p>
        </w:tc>
        <w:tc>
          <w:tcPr>
            <w:tcW w:w="1250" w:type="pct"/>
            <w:hideMark/>
          </w:tcPr>
          <w:p w14:paraId="49A2ACE5"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c>
          <w:tcPr>
            <w:tcW w:w="868" w:type="pct"/>
            <w:hideMark/>
          </w:tcPr>
          <w:p w14:paraId="00CFA5D6"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r>
      <w:tr w:rsidR="00020021" w:rsidRPr="00190BFB" w14:paraId="6648C494" w14:textId="77777777" w:rsidTr="00A43037">
        <w:trPr>
          <w:trHeight w:val="286"/>
        </w:trPr>
        <w:tc>
          <w:tcPr>
            <w:tcW w:w="1214" w:type="pct"/>
            <w:hideMark/>
          </w:tcPr>
          <w:p w14:paraId="29C0FBE8" w14:textId="77777777" w:rsidR="00020021" w:rsidRPr="00190BFB" w:rsidRDefault="00020021" w:rsidP="00A43037">
            <w:pPr>
              <w:ind w:left="144" w:hanging="144"/>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xml:space="preserve">Beta-blockers </w:t>
            </w:r>
          </w:p>
        </w:tc>
        <w:tc>
          <w:tcPr>
            <w:tcW w:w="1668" w:type="pct"/>
            <w:hideMark/>
          </w:tcPr>
          <w:p w14:paraId="6B8CC6F9"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Metoprolol, propranolol, timolol</w:t>
            </w:r>
          </w:p>
        </w:tc>
        <w:tc>
          <w:tcPr>
            <w:tcW w:w="1250" w:type="pct"/>
            <w:hideMark/>
          </w:tcPr>
          <w:p w14:paraId="12BA3A8B"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Atenolol, nadolol</w:t>
            </w:r>
          </w:p>
        </w:tc>
        <w:tc>
          <w:tcPr>
            <w:tcW w:w="868" w:type="pct"/>
            <w:hideMark/>
          </w:tcPr>
          <w:p w14:paraId="0D64922F"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r>
      <w:tr w:rsidR="00020021" w:rsidRPr="00190BFB" w14:paraId="21B23172" w14:textId="77777777" w:rsidTr="00A43037">
        <w:trPr>
          <w:trHeight w:val="412"/>
        </w:trPr>
        <w:tc>
          <w:tcPr>
            <w:tcW w:w="1214" w:type="pct"/>
            <w:hideMark/>
          </w:tcPr>
          <w:p w14:paraId="10AA41C1" w14:textId="77777777" w:rsidR="00020021" w:rsidRPr="00190BFB" w:rsidRDefault="00020021" w:rsidP="00A43037">
            <w:pPr>
              <w:ind w:left="144" w:hanging="144"/>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xml:space="preserve">Tricyclic antidepressants </w:t>
            </w:r>
          </w:p>
        </w:tc>
        <w:tc>
          <w:tcPr>
            <w:tcW w:w="1668" w:type="pct"/>
            <w:hideMark/>
          </w:tcPr>
          <w:p w14:paraId="6EA93060"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c>
          <w:tcPr>
            <w:tcW w:w="1250" w:type="pct"/>
            <w:hideMark/>
          </w:tcPr>
          <w:p w14:paraId="6BB1B39B"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Amitriptyline, venlafaxine</w:t>
            </w:r>
          </w:p>
        </w:tc>
        <w:tc>
          <w:tcPr>
            <w:tcW w:w="868" w:type="pct"/>
            <w:hideMark/>
          </w:tcPr>
          <w:p w14:paraId="1B442E55"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r>
      <w:tr w:rsidR="00020021" w:rsidRPr="00190BFB" w14:paraId="6B6CF97A" w14:textId="77777777" w:rsidTr="00A43037">
        <w:trPr>
          <w:trHeight w:val="241"/>
        </w:trPr>
        <w:tc>
          <w:tcPr>
            <w:tcW w:w="1214" w:type="pct"/>
            <w:hideMark/>
          </w:tcPr>
          <w:p w14:paraId="4C1FAF97" w14:textId="77777777" w:rsidR="00020021" w:rsidRPr="00190BFB" w:rsidRDefault="00020021" w:rsidP="00A43037">
            <w:pPr>
              <w:ind w:left="144" w:hanging="144"/>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xml:space="preserve">Nonspecific </w:t>
            </w:r>
          </w:p>
        </w:tc>
        <w:tc>
          <w:tcPr>
            <w:tcW w:w="1668" w:type="pct"/>
            <w:hideMark/>
          </w:tcPr>
          <w:p w14:paraId="76A01123"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OnabotulinumtoxinA </w:t>
            </w:r>
          </w:p>
        </w:tc>
        <w:tc>
          <w:tcPr>
            <w:tcW w:w="1250" w:type="pct"/>
            <w:hideMark/>
          </w:tcPr>
          <w:p w14:paraId="75BE7162"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c>
          <w:tcPr>
            <w:tcW w:w="868" w:type="pct"/>
            <w:hideMark/>
          </w:tcPr>
          <w:p w14:paraId="2610BE9B" w14:textId="77777777" w:rsidR="00020021" w:rsidRPr="00190BFB" w:rsidRDefault="00020021" w:rsidP="00A43037">
            <w:pPr>
              <w:ind w:firstLine="0"/>
              <w:contextualSpacing/>
              <w:rPr>
                <w:rFonts w:ascii="Times New Roman" w:hAnsi="Times New Roman"/>
                <w:color w:val="000000"/>
                <w:sz w:val="24"/>
                <w:szCs w:val="24"/>
                <w:lang w:eastAsia="en-IN"/>
              </w:rPr>
            </w:pPr>
          </w:p>
        </w:tc>
      </w:tr>
      <w:tr w:rsidR="00020021" w:rsidRPr="00190BFB" w14:paraId="14D3BF62" w14:textId="77777777" w:rsidTr="00A43037">
        <w:trPr>
          <w:trHeight w:val="601"/>
        </w:trPr>
        <w:tc>
          <w:tcPr>
            <w:tcW w:w="1214" w:type="pct"/>
            <w:hideMark/>
          </w:tcPr>
          <w:p w14:paraId="4EABADDD" w14:textId="77777777" w:rsidR="00020021" w:rsidRPr="00190BFB" w:rsidRDefault="00020021" w:rsidP="00A43037">
            <w:pPr>
              <w:ind w:left="144" w:hanging="144"/>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Angiotensin II receptor blockers</w:t>
            </w:r>
          </w:p>
        </w:tc>
        <w:tc>
          <w:tcPr>
            <w:tcW w:w="1668" w:type="pct"/>
            <w:hideMark/>
          </w:tcPr>
          <w:p w14:paraId="2B39CA88"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Candesartan </w:t>
            </w:r>
          </w:p>
        </w:tc>
        <w:tc>
          <w:tcPr>
            <w:tcW w:w="1250" w:type="pct"/>
            <w:hideMark/>
          </w:tcPr>
          <w:p w14:paraId="631B95AD"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c>
          <w:tcPr>
            <w:tcW w:w="868" w:type="pct"/>
            <w:hideMark/>
          </w:tcPr>
          <w:p w14:paraId="3449F89F"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r>
      <w:tr w:rsidR="00020021" w:rsidRPr="00190BFB" w14:paraId="1A0B4B58" w14:textId="77777777" w:rsidTr="00A43037">
        <w:trPr>
          <w:trHeight w:val="46"/>
        </w:trPr>
        <w:tc>
          <w:tcPr>
            <w:tcW w:w="1214" w:type="pct"/>
            <w:hideMark/>
          </w:tcPr>
          <w:p w14:paraId="1A61E15B" w14:textId="77777777" w:rsidR="00020021" w:rsidRPr="00190BFB" w:rsidRDefault="00020021" w:rsidP="00A43037">
            <w:pPr>
              <w:ind w:left="144" w:hanging="144"/>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Calcium channel blockers</w:t>
            </w:r>
          </w:p>
        </w:tc>
        <w:tc>
          <w:tcPr>
            <w:tcW w:w="1668" w:type="pct"/>
            <w:hideMark/>
          </w:tcPr>
          <w:p w14:paraId="380F0FDD"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c>
          <w:tcPr>
            <w:tcW w:w="1250" w:type="pct"/>
            <w:hideMark/>
          </w:tcPr>
          <w:p w14:paraId="34E066C8"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 </w:t>
            </w:r>
          </w:p>
        </w:tc>
        <w:tc>
          <w:tcPr>
            <w:tcW w:w="868" w:type="pct"/>
            <w:hideMark/>
          </w:tcPr>
          <w:p w14:paraId="1FD3C3CD" w14:textId="77777777" w:rsidR="00020021" w:rsidRPr="00190BFB" w:rsidRDefault="00020021" w:rsidP="00A43037">
            <w:pPr>
              <w:ind w:firstLine="0"/>
              <w:contextualSpacing/>
              <w:rPr>
                <w:rFonts w:ascii="Times New Roman" w:hAnsi="Times New Roman"/>
                <w:color w:val="000000"/>
                <w:sz w:val="24"/>
                <w:szCs w:val="24"/>
                <w:lang w:eastAsia="en-IN"/>
              </w:rPr>
            </w:pPr>
            <w:r w:rsidRPr="00190BFB">
              <w:rPr>
                <w:rFonts w:ascii="Times New Roman" w:hAnsi="Times New Roman"/>
                <w:color w:val="000000"/>
                <w:sz w:val="24"/>
                <w:szCs w:val="24"/>
                <w:lang w:eastAsia="en-IN"/>
              </w:rPr>
              <w:t>Verapamil </w:t>
            </w:r>
          </w:p>
        </w:tc>
      </w:tr>
    </w:tbl>
    <w:p w14:paraId="3E562777" w14:textId="77777777" w:rsidR="00020021" w:rsidRPr="00190BFB" w:rsidRDefault="00020021" w:rsidP="00020021">
      <w:pPr>
        <w:ind w:left="475" w:hanging="475"/>
        <w:rPr>
          <w:rFonts w:ascii="Times New Roman" w:hAnsi="Times New Roman"/>
          <w:sz w:val="24"/>
          <w:szCs w:val="24"/>
        </w:rPr>
      </w:pPr>
      <w:r w:rsidRPr="00190BFB">
        <w:rPr>
          <w:rFonts w:ascii="Times New Roman" w:hAnsi="Times New Roman"/>
          <w:sz w:val="24"/>
          <w:szCs w:val="24"/>
        </w:rPr>
        <w:t xml:space="preserve">Table modified from </w:t>
      </w:r>
    </w:p>
    <w:p w14:paraId="0A34D86D" w14:textId="77777777" w:rsidR="00020021" w:rsidRPr="00190BFB" w:rsidRDefault="00020021" w:rsidP="00020021">
      <w:pPr>
        <w:pStyle w:val="ListParagraph"/>
        <w:numPr>
          <w:ilvl w:val="0"/>
          <w:numId w:val="1"/>
        </w:numPr>
        <w:rPr>
          <w:rFonts w:ascii="Times New Roman" w:hAnsi="Times New Roman"/>
          <w:sz w:val="24"/>
          <w:szCs w:val="24"/>
        </w:rPr>
      </w:pPr>
      <w:r w:rsidRPr="00190BFB">
        <w:rPr>
          <w:rFonts w:ascii="Times New Roman" w:hAnsi="Times New Roman"/>
          <w:sz w:val="24"/>
          <w:szCs w:val="24"/>
        </w:rPr>
        <w:t xml:space="preserve">Silberstein SD, Holland S, Freitag F, </w:t>
      </w:r>
      <w:proofErr w:type="spellStart"/>
      <w:r w:rsidRPr="00190BFB">
        <w:rPr>
          <w:rFonts w:ascii="Times New Roman" w:hAnsi="Times New Roman"/>
          <w:sz w:val="24"/>
          <w:szCs w:val="24"/>
        </w:rPr>
        <w:t>Dodick</w:t>
      </w:r>
      <w:proofErr w:type="spellEnd"/>
      <w:r w:rsidRPr="00190BFB">
        <w:rPr>
          <w:rFonts w:ascii="Times New Roman" w:hAnsi="Times New Roman"/>
          <w:sz w:val="24"/>
          <w:szCs w:val="24"/>
        </w:rPr>
        <w:t xml:space="preserve"> DW, </w:t>
      </w:r>
      <w:proofErr w:type="spellStart"/>
      <w:r w:rsidRPr="00190BFB">
        <w:rPr>
          <w:rFonts w:ascii="Times New Roman" w:hAnsi="Times New Roman"/>
          <w:sz w:val="24"/>
          <w:szCs w:val="24"/>
        </w:rPr>
        <w:t>Argoff</w:t>
      </w:r>
      <w:proofErr w:type="spellEnd"/>
      <w:r w:rsidRPr="00190BFB">
        <w:rPr>
          <w:rFonts w:ascii="Times New Roman" w:hAnsi="Times New Roman"/>
          <w:sz w:val="24"/>
          <w:szCs w:val="24"/>
        </w:rPr>
        <w:t xml:space="preserve"> C, Ashman E. Evidence-based guideline update: pharmacologic treatment for episodic migraine prevention in adults: report of the Quality Standards Subcommittee of the American Academy of Neurology and the American Headache Society. Neurology 2012 Apr 24;78(17):1337-45. </w:t>
      </w:r>
    </w:p>
    <w:p w14:paraId="285F790F" w14:textId="77777777" w:rsidR="00020021" w:rsidRPr="00190BFB" w:rsidRDefault="00020021" w:rsidP="00020021">
      <w:pPr>
        <w:pStyle w:val="ListParagraph"/>
        <w:numPr>
          <w:ilvl w:val="0"/>
          <w:numId w:val="1"/>
        </w:numPr>
        <w:rPr>
          <w:rFonts w:ascii="Times New Roman" w:hAnsi="Times New Roman"/>
          <w:sz w:val="24"/>
          <w:szCs w:val="24"/>
        </w:rPr>
      </w:pPr>
      <w:r w:rsidRPr="00190BFB">
        <w:rPr>
          <w:rFonts w:ascii="Times New Roman" w:hAnsi="Times New Roman"/>
          <w:sz w:val="24"/>
          <w:szCs w:val="24"/>
        </w:rPr>
        <w:lastRenderedPageBreak/>
        <w:t>Ailani J, Burch RC, Robbins MS. The American Headache Society Consensus Statement: Update on integrating new migraine treatments into clinical practice. Headache 2021 Jul;61(7):1021-39</w:t>
      </w:r>
    </w:p>
    <w:p w14:paraId="71B3F569" w14:textId="77777777" w:rsidR="00020021" w:rsidRPr="00190BFB" w:rsidRDefault="00020021" w:rsidP="00020021">
      <w:pPr>
        <w:pStyle w:val="ListParagraph"/>
        <w:numPr>
          <w:ilvl w:val="0"/>
          <w:numId w:val="1"/>
        </w:numPr>
        <w:rPr>
          <w:rFonts w:ascii="Times New Roman" w:hAnsi="Times New Roman"/>
          <w:sz w:val="24"/>
          <w:szCs w:val="24"/>
        </w:rPr>
      </w:pPr>
      <w:r w:rsidRPr="00190BFB">
        <w:rPr>
          <w:rFonts w:ascii="Times New Roman" w:hAnsi="Times New Roman"/>
          <w:sz w:val="24"/>
          <w:szCs w:val="24"/>
        </w:rPr>
        <w:t xml:space="preserve">Varnado OJ, Manjelievskaia J, Ye W, Perry A, Schuh K, Wenzel R. Treatment Patterns for Calcitonin Gene-Related Peptide Monoclonal Antibodies Including Galcanezumab versus Conventional Preventive Treatments for Migraine: A Retrospective US Claims Study. Patient Prefer Adherence 2022;16:821-39. </w:t>
      </w:r>
    </w:p>
    <w:p w14:paraId="1FDAA97E" w14:textId="77777777" w:rsidR="00020021" w:rsidRPr="00190BFB" w:rsidRDefault="00020021" w:rsidP="00020021">
      <w:pPr>
        <w:ind w:left="475" w:hanging="475"/>
        <w:rPr>
          <w:rFonts w:ascii="Times New Roman" w:hAnsi="Times New Roman"/>
          <w:sz w:val="24"/>
          <w:szCs w:val="24"/>
        </w:rPr>
      </w:pPr>
      <w:r w:rsidRPr="00190BFB">
        <w:rPr>
          <w:rFonts w:ascii="Times New Roman" w:hAnsi="Times New Roman"/>
          <w:bCs/>
          <w:sz w:val="24"/>
          <w:szCs w:val="24"/>
        </w:rPr>
        <w:t>Abbreviation.</w:t>
      </w:r>
      <w:r w:rsidRPr="00190BFB">
        <w:rPr>
          <w:rFonts w:ascii="Times New Roman" w:hAnsi="Times New Roman"/>
          <w:sz w:val="24"/>
          <w:szCs w:val="24"/>
        </w:rPr>
        <w:t xml:space="preserve"> SOC, standard of care preventive migraine medications.</w:t>
      </w:r>
    </w:p>
    <w:p w14:paraId="3B0CDFD7" w14:textId="77777777" w:rsidR="001A108C" w:rsidRDefault="001A108C">
      <w:pPr>
        <w:spacing w:after="160" w:line="259" w:lineRule="auto"/>
        <w:ind w:firstLine="0"/>
        <w:rPr>
          <w:rFonts w:ascii="Times New Roman" w:hAnsi="Times New Roman"/>
          <w:b/>
          <w:bCs/>
          <w:sz w:val="24"/>
          <w:szCs w:val="24"/>
          <w14:ligatures w14:val="none"/>
        </w:rPr>
      </w:pPr>
      <w:r>
        <w:rPr>
          <w:rFonts w:ascii="Times New Roman" w:hAnsi="Times New Roman"/>
          <w:i/>
          <w:iCs/>
          <w:sz w:val="24"/>
          <w:szCs w:val="24"/>
        </w:rPr>
        <w:br w:type="page"/>
      </w:r>
    </w:p>
    <w:p w14:paraId="4B35EAD8" w14:textId="47C3BBEA" w:rsidR="001A108C" w:rsidRPr="00190BFB" w:rsidRDefault="001A108C" w:rsidP="001A108C">
      <w:pPr>
        <w:pStyle w:val="Heading2"/>
        <w:spacing w:before="0" w:after="0"/>
        <w:rPr>
          <w:rFonts w:ascii="Times New Roman" w:eastAsia="GillSansMT-Identity-H" w:hAnsi="Times New Roman" w:cs="Times New Roman"/>
          <w:i w:val="0"/>
          <w:iCs w:val="0"/>
          <w:sz w:val="24"/>
          <w:szCs w:val="24"/>
        </w:rPr>
      </w:pPr>
      <w:r w:rsidRPr="00190BFB">
        <w:rPr>
          <w:rFonts w:ascii="Times New Roman" w:hAnsi="Times New Roman" w:cs="Times New Roman"/>
          <w:i w:val="0"/>
          <w:iCs w:val="0"/>
          <w:sz w:val="24"/>
          <w:szCs w:val="24"/>
        </w:rPr>
        <w:lastRenderedPageBreak/>
        <w:t xml:space="preserve">Supplementary Table 2. </w:t>
      </w:r>
      <w:r w:rsidRPr="00190BFB">
        <w:rPr>
          <w:rFonts w:ascii="Times New Roman" w:eastAsia="GillSansMT-Identity-H" w:hAnsi="Times New Roman" w:cs="Times New Roman"/>
          <w:b w:val="0"/>
          <w:bCs w:val="0"/>
          <w:i w:val="0"/>
          <w:iCs w:val="0"/>
          <w:sz w:val="24"/>
          <w:szCs w:val="24"/>
        </w:rPr>
        <w:t>Definitions and calculations of outcomes included in the study.</w:t>
      </w:r>
    </w:p>
    <w:tbl>
      <w:tblPr>
        <w:tblStyle w:val="TableGrid"/>
        <w:tblW w:w="5000" w:type="pct"/>
        <w:tblBorders>
          <w:left w:val="none" w:sz="0" w:space="0" w:color="auto"/>
          <w:right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821"/>
        <w:gridCol w:w="7205"/>
      </w:tblGrid>
      <w:tr w:rsidR="001A108C" w:rsidRPr="00190BFB" w14:paraId="7BD1F27D" w14:textId="77777777" w:rsidTr="007E4583">
        <w:trPr>
          <w:tblHeader/>
        </w:trPr>
        <w:tc>
          <w:tcPr>
            <w:tcW w:w="1009" w:type="pct"/>
          </w:tcPr>
          <w:p w14:paraId="6E7F4399" w14:textId="77777777" w:rsidR="001A108C" w:rsidRPr="00190BFB" w:rsidRDefault="001A108C" w:rsidP="007E4583">
            <w:pPr>
              <w:ind w:hanging="40"/>
              <w:jc w:val="both"/>
              <w:rPr>
                <w:rFonts w:ascii="Times New Roman" w:hAnsi="Times New Roman"/>
                <w:b/>
                <w:bCs/>
                <w:sz w:val="24"/>
                <w:szCs w:val="24"/>
              </w:rPr>
            </w:pPr>
            <w:r w:rsidRPr="00190BFB">
              <w:rPr>
                <w:rFonts w:ascii="Times New Roman" w:hAnsi="Times New Roman"/>
                <w:b/>
                <w:bCs/>
                <w:sz w:val="24"/>
                <w:szCs w:val="24"/>
              </w:rPr>
              <w:t>Outcomes</w:t>
            </w:r>
          </w:p>
        </w:tc>
        <w:tc>
          <w:tcPr>
            <w:tcW w:w="3991" w:type="pct"/>
          </w:tcPr>
          <w:p w14:paraId="23512A56" w14:textId="77777777" w:rsidR="001A108C" w:rsidRPr="00190BFB" w:rsidRDefault="001A108C" w:rsidP="007E4583">
            <w:pPr>
              <w:ind w:firstLine="0"/>
              <w:rPr>
                <w:rFonts w:ascii="Times New Roman" w:hAnsi="Times New Roman"/>
                <w:b/>
                <w:bCs/>
                <w:sz w:val="24"/>
                <w:szCs w:val="24"/>
              </w:rPr>
            </w:pPr>
            <w:r w:rsidRPr="00190BFB">
              <w:rPr>
                <w:rFonts w:ascii="Times New Roman" w:hAnsi="Times New Roman"/>
                <w:b/>
                <w:bCs/>
                <w:sz w:val="24"/>
                <w:szCs w:val="24"/>
              </w:rPr>
              <w:t>Definitions</w:t>
            </w:r>
          </w:p>
        </w:tc>
      </w:tr>
      <w:tr w:rsidR="001A108C" w:rsidRPr="00190BFB" w14:paraId="60CFBCAF" w14:textId="77777777" w:rsidTr="007E4583">
        <w:tc>
          <w:tcPr>
            <w:tcW w:w="1009" w:type="pct"/>
          </w:tcPr>
          <w:p w14:paraId="4050B007" w14:textId="77777777" w:rsidR="001A108C" w:rsidRPr="00190BFB" w:rsidRDefault="001A108C" w:rsidP="007E4583">
            <w:pPr>
              <w:ind w:firstLine="0"/>
              <w:rPr>
                <w:rFonts w:ascii="Times New Roman" w:hAnsi="Times New Roman"/>
                <w:sz w:val="24"/>
                <w:szCs w:val="24"/>
              </w:rPr>
            </w:pPr>
            <w:r w:rsidRPr="00190BFB">
              <w:rPr>
                <w:rStyle w:val="Strong"/>
                <w:rFonts w:ascii="Times New Roman" w:hAnsi="Times New Roman"/>
                <w:sz w:val="24"/>
                <w:szCs w:val="24"/>
              </w:rPr>
              <w:t>Treatment adherence</w:t>
            </w:r>
          </w:p>
        </w:tc>
        <w:tc>
          <w:tcPr>
            <w:tcW w:w="3991" w:type="pct"/>
          </w:tcPr>
          <w:p w14:paraId="727DD7E1" w14:textId="77777777" w:rsidR="001A108C" w:rsidRPr="00190BFB" w:rsidRDefault="001A108C" w:rsidP="001A108C">
            <w:pPr>
              <w:pStyle w:val="ListParagraph"/>
              <w:numPr>
                <w:ilvl w:val="0"/>
                <w:numId w:val="2"/>
              </w:numPr>
              <w:ind w:left="310"/>
              <w:contextualSpacing w:val="0"/>
              <w:rPr>
                <w:rFonts w:ascii="Times New Roman" w:hAnsi="Times New Roman"/>
                <w:sz w:val="24"/>
                <w:szCs w:val="24"/>
              </w:rPr>
            </w:pPr>
            <w:r w:rsidRPr="00190BFB">
              <w:rPr>
                <w:rFonts w:ascii="Times New Roman" w:eastAsia="GillSansMT-Identity-H" w:hAnsi="Times New Roman"/>
                <w:sz w:val="24"/>
                <w:szCs w:val="24"/>
                <w:lang w:eastAsia="en-IN"/>
              </w:rPr>
              <w:t>Treatment adherence to the index drug was reported using the PDC. The PDC was calculated by dividing the number of days on which the index therapy was available (based on pharmacy and medical claims) by the number of days between the index date through the follow-up end date (PDC observation period). For patients with multiple SOC index drug classes, the numerator was the sum of days when either drug class was present. Patients with PDC ≥80% were considered treatment adherent.</w:t>
            </w:r>
          </w:p>
        </w:tc>
      </w:tr>
      <w:tr w:rsidR="001A108C" w:rsidRPr="00190BFB" w14:paraId="48AF69DE" w14:textId="77777777" w:rsidTr="007E4583">
        <w:tc>
          <w:tcPr>
            <w:tcW w:w="1009" w:type="pct"/>
          </w:tcPr>
          <w:p w14:paraId="1C867FC9" w14:textId="77777777" w:rsidR="001A108C" w:rsidRPr="00190BFB" w:rsidRDefault="001A108C" w:rsidP="007E4583">
            <w:pPr>
              <w:ind w:firstLine="0"/>
              <w:rPr>
                <w:rFonts w:ascii="Times New Roman" w:hAnsi="Times New Roman"/>
                <w:sz w:val="24"/>
                <w:szCs w:val="24"/>
              </w:rPr>
            </w:pPr>
            <w:r w:rsidRPr="00190BFB">
              <w:rPr>
                <w:rStyle w:val="Strong"/>
                <w:rFonts w:ascii="Times New Roman" w:hAnsi="Times New Roman"/>
                <w:sz w:val="24"/>
                <w:szCs w:val="24"/>
              </w:rPr>
              <w:t>Persistence</w:t>
            </w:r>
          </w:p>
        </w:tc>
        <w:tc>
          <w:tcPr>
            <w:tcW w:w="3991" w:type="pct"/>
          </w:tcPr>
          <w:p w14:paraId="6EE0FF4F" w14:textId="77777777" w:rsidR="001A108C" w:rsidRPr="00190BFB" w:rsidRDefault="001A108C" w:rsidP="001A108C">
            <w:pPr>
              <w:pStyle w:val="ListParagraph"/>
              <w:numPr>
                <w:ilvl w:val="0"/>
                <w:numId w:val="3"/>
              </w:numPr>
              <w:ind w:left="310"/>
              <w:contextualSpacing w:val="0"/>
              <w:rPr>
                <w:rFonts w:ascii="Times New Roman" w:hAnsi="Times New Roman"/>
                <w:sz w:val="24"/>
                <w:szCs w:val="24"/>
              </w:rPr>
            </w:pPr>
            <w:r w:rsidRPr="00190BFB">
              <w:rPr>
                <w:rFonts w:ascii="Times New Roman" w:eastAsia="GillSansMT-Identity-H" w:hAnsi="Times New Roman"/>
                <w:sz w:val="24"/>
                <w:szCs w:val="24"/>
                <w:lang w:eastAsia="en-IN"/>
              </w:rPr>
              <w:t>Persistence to the index drug was defined as the number of days of continuous therapy from the index date until the end of the follow-up period, allowing for a maximum gap of &lt;60 days (&lt;60-day gap) between prescription fills. Persistence to the index drug until the end of follow-up and the number of days of persistent index drug use among all patients in the cohort were calculated. Persistence was measured in those with complete medication claims data for the full 24-month follow-up period. Patients were censored from the persistence analysis in cases where the gap between the end of the patient’s last prescription fill and the end of the follow</w:t>
            </w:r>
            <w:r w:rsidRPr="00190BFB">
              <w:rPr>
                <w:rFonts w:ascii="Times New Roman" w:eastAsia="GillSansMT-Identity-H" w:hAnsi="Times New Roman"/>
                <w:sz w:val="24"/>
                <w:szCs w:val="24"/>
                <w:lang w:eastAsia="en-IN"/>
              </w:rPr>
              <w:noBreakHyphen/>
              <w:t>up was &lt;60 days and there was not sufficient information beyond the end of the follow-up period to determine if patients refilled.</w:t>
            </w:r>
          </w:p>
        </w:tc>
      </w:tr>
      <w:tr w:rsidR="001A108C" w:rsidRPr="00190BFB" w14:paraId="52B7739C" w14:textId="77777777" w:rsidTr="007E4583">
        <w:tc>
          <w:tcPr>
            <w:tcW w:w="1009" w:type="pct"/>
          </w:tcPr>
          <w:p w14:paraId="0C7D4058" w14:textId="77777777" w:rsidR="001A108C" w:rsidRPr="00190BFB" w:rsidRDefault="001A108C" w:rsidP="007E4583">
            <w:pPr>
              <w:ind w:firstLine="0"/>
              <w:rPr>
                <w:rFonts w:ascii="Times New Roman" w:hAnsi="Times New Roman"/>
                <w:b/>
                <w:bCs/>
                <w:sz w:val="24"/>
                <w:szCs w:val="24"/>
              </w:rPr>
            </w:pPr>
            <w:r w:rsidRPr="00190BFB">
              <w:rPr>
                <w:rFonts w:ascii="Times New Roman" w:hAnsi="Times New Roman"/>
                <w:b/>
                <w:bCs/>
                <w:sz w:val="24"/>
                <w:szCs w:val="24"/>
              </w:rPr>
              <w:t>Discontinuation</w:t>
            </w:r>
          </w:p>
        </w:tc>
        <w:tc>
          <w:tcPr>
            <w:tcW w:w="3991" w:type="pct"/>
          </w:tcPr>
          <w:p w14:paraId="3C1A2984" w14:textId="77777777" w:rsidR="001A108C" w:rsidRPr="00190BFB" w:rsidRDefault="001A108C" w:rsidP="001A108C">
            <w:pPr>
              <w:pStyle w:val="ListParagraph"/>
              <w:numPr>
                <w:ilvl w:val="0"/>
                <w:numId w:val="3"/>
              </w:numPr>
              <w:ind w:left="310"/>
              <w:contextualSpacing w:val="0"/>
              <w:rPr>
                <w:rFonts w:ascii="Times New Roman" w:hAnsi="Times New Roman"/>
                <w:sz w:val="24"/>
                <w:szCs w:val="24"/>
              </w:rPr>
            </w:pPr>
            <w:r w:rsidRPr="00190BFB">
              <w:rPr>
                <w:rFonts w:ascii="Times New Roman" w:eastAsia="GillSansMT-Identity-H" w:hAnsi="Times New Roman"/>
                <w:sz w:val="24"/>
                <w:szCs w:val="24"/>
                <w:lang w:eastAsia="en-IN"/>
              </w:rPr>
              <w:t xml:space="preserve">Discontinuation of the index drug was defined as a minimum gap in therapy of 60 days. The date of discontinuation was defined by the date the patient had run out of the days’ supply of the last prescription </w:t>
            </w:r>
            <w:r w:rsidRPr="00190BFB">
              <w:rPr>
                <w:rFonts w:ascii="Times New Roman" w:eastAsia="GillSansMT-Identity-H" w:hAnsi="Times New Roman"/>
                <w:sz w:val="24"/>
                <w:szCs w:val="24"/>
                <w:lang w:eastAsia="en-IN"/>
              </w:rPr>
              <w:lastRenderedPageBreak/>
              <w:t>filled before the first observed gap in therapy. For patients with multiple SOC index drug classes, discontinuation of either component class equated to discontinuation of the index therapy. Similar to the persistence calculation, discontinuation was not measured for patients who had a &lt;60</w:t>
            </w:r>
            <w:r w:rsidRPr="00190BFB">
              <w:rPr>
                <w:rFonts w:ascii="Times New Roman" w:eastAsia="GillSansMT-Identity-H" w:hAnsi="Times New Roman"/>
                <w:sz w:val="24"/>
                <w:szCs w:val="24"/>
                <w:lang w:eastAsia="en-IN"/>
              </w:rPr>
              <w:noBreakHyphen/>
              <w:t xml:space="preserve">day gap between the end of their last prescription </w:t>
            </w:r>
            <w:proofErr w:type="gramStart"/>
            <w:r w:rsidRPr="00190BFB">
              <w:rPr>
                <w:rFonts w:ascii="Times New Roman" w:eastAsia="GillSansMT-Identity-H" w:hAnsi="Times New Roman"/>
                <w:sz w:val="24"/>
                <w:szCs w:val="24"/>
                <w:lang w:eastAsia="en-IN"/>
              </w:rPr>
              <w:t>fill</w:t>
            </w:r>
            <w:proofErr w:type="gramEnd"/>
            <w:r w:rsidRPr="00190BFB">
              <w:rPr>
                <w:rFonts w:ascii="Times New Roman" w:eastAsia="GillSansMT-Identity-H" w:hAnsi="Times New Roman"/>
                <w:sz w:val="24"/>
                <w:szCs w:val="24"/>
                <w:lang w:eastAsia="en-IN"/>
              </w:rPr>
              <w:t xml:space="preserve"> and the end of the follow-up in the main analysis; however, these patients were included as censored in the Kaplan</w:t>
            </w:r>
            <w:r w:rsidRPr="00190BFB">
              <w:rPr>
                <w:rFonts w:ascii="Times New Roman" w:eastAsia="GillSansMT-Identity-H" w:hAnsi="Times New Roman"/>
                <w:sz w:val="24"/>
                <w:szCs w:val="24"/>
                <w:lang w:eastAsia="en-IN"/>
              </w:rPr>
              <w:noBreakHyphen/>
              <w:t>Meier analysis.</w:t>
            </w:r>
          </w:p>
        </w:tc>
      </w:tr>
      <w:tr w:rsidR="001A108C" w:rsidRPr="00190BFB" w14:paraId="261241A9" w14:textId="77777777" w:rsidTr="007E4583">
        <w:tc>
          <w:tcPr>
            <w:tcW w:w="1009" w:type="pct"/>
          </w:tcPr>
          <w:p w14:paraId="62DB0C86" w14:textId="77777777" w:rsidR="001A108C" w:rsidRPr="00190BFB" w:rsidRDefault="001A108C" w:rsidP="007E4583">
            <w:pPr>
              <w:ind w:firstLine="0"/>
              <w:rPr>
                <w:rFonts w:ascii="Times New Roman" w:hAnsi="Times New Roman"/>
                <w:sz w:val="24"/>
                <w:szCs w:val="24"/>
              </w:rPr>
            </w:pPr>
            <w:r w:rsidRPr="00190BFB">
              <w:rPr>
                <w:rStyle w:val="Strong"/>
                <w:rFonts w:ascii="Times New Roman" w:hAnsi="Times New Roman"/>
                <w:sz w:val="24"/>
                <w:szCs w:val="24"/>
              </w:rPr>
              <w:lastRenderedPageBreak/>
              <w:t>Restart of index drug after discontinuation</w:t>
            </w:r>
          </w:p>
        </w:tc>
        <w:tc>
          <w:tcPr>
            <w:tcW w:w="3991" w:type="pct"/>
          </w:tcPr>
          <w:p w14:paraId="087C5D41" w14:textId="77777777" w:rsidR="001A108C" w:rsidRPr="00190BFB" w:rsidRDefault="001A108C" w:rsidP="001A108C">
            <w:pPr>
              <w:pStyle w:val="ListParagraph"/>
              <w:numPr>
                <w:ilvl w:val="0"/>
                <w:numId w:val="3"/>
              </w:numPr>
              <w:ind w:left="310"/>
              <w:contextualSpacing w:val="0"/>
              <w:rPr>
                <w:rFonts w:ascii="Times New Roman" w:eastAsia="GillSansMT-Identity-H" w:hAnsi="Times New Roman"/>
                <w:sz w:val="24"/>
                <w:szCs w:val="24"/>
                <w:lang w:eastAsia="en-IN"/>
              </w:rPr>
            </w:pPr>
            <w:r w:rsidRPr="00190BFB">
              <w:rPr>
                <w:rFonts w:ascii="Times New Roman" w:hAnsi="Times New Roman"/>
                <w:sz w:val="24"/>
                <w:szCs w:val="24"/>
              </w:rPr>
              <w:t>Restart of the index drug was evaluated among patients who discontinued the index drug (≥60-day gap). Restart was defined as the presence of a prescription filled for the index drug after the discontinuation date and no later than the end of the study period. The time to first restart was calculated as the days between the discontinuation date and the restart date of the index drug.</w:t>
            </w:r>
          </w:p>
        </w:tc>
      </w:tr>
      <w:tr w:rsidR="001A108C" w:rsidRPr="00190BFB" w14:paraId="13FAFA88" w14:textId="77777777" w:rsidTr="007E4583">
        <w:tc>
          <w:tcPr>
            <w:tcW w:w="1009" w:type="pct"/>
          </w:tcPr>
          <w:p w14:paraId="256DA8F8" w14:textId="77777777" w:rsidR="001A108C" w:rsidRPr="00190BFB" w:rsidRDefault="001A108C" w:rsidP="007E4583">
            <w:pPr>
              <w:ind w:firstLine="0"/>
              <w:rPr>
                <w:rFonts w:ascii="Times New Roman" w:hAnsi="Times New Roman"/>
                <w:sz w:val="24"/>
                <w:szCs w:val="24"/>
              </w:rPr>
            </w:pPr>
            <w:r w:rsidRPr="00190BFB">
              <w:rPr>
                <w:rStyle w:val="Strong"/>
                <w:rFonts w:ascii="Times New Roman" w:hAnsi="Times New Roman"/>
                <w:sz w:val="24"/>
                <w:szCs w:val="24"/>
              </w:rPr>
              <w:t>Switch to non-index drug after discontinuation</w:t>
            </w:r>
          </w:p>
        </w:tc>
        <w:tc>
          <w:tcPr>
            <w:tcW w:w="3991" w:type="pct"/>
          </w:tcPr>
          <w:p w14:paraId="7AF7EAE3" w14:textId="77777777" w:rsidR="001A108C" w:rsidRPr="00190BFB" w:rsidRDefault="001A108C" w:rsidP="001A108C">
            <w:pPr>
              <w:pStyle w:val="ListParagraph"/>
              <w:numPr>
                <w:ilvl w:val="0"/>
                <w:numId w:val="3"/>
              </w:numPr>
              <w:ind w:left="310"/>
              <w:contextualSpacing w:val="0"/>
              <w:rPr>
                <w:rFonts w:ascii="Times New Roman" w:eastAsia="GillSansMT-Identity-H" w:hAnsi="Times New Roman"/>
                <w:sz w:val="24"/>
                <w:szCs w:val="24"/>
                <w:lang w:eastAsia="en-IN"/>
              </w:rPr>
            </w:pPr>
            <w:r w:rsidRPr="00190BFB">
              <w:rPr>
                <w:rFonts w:ascii="Times New Roman" w:hAnsi="Times New Roman"/>
                <w:sz w:val="24"/>
                <w:szCs w:val="24"/>
              </w:rPr>
              <w:t>Treatment switch was defined as the first switch to a non-index migraine preventive treatment after discontinuation that was not part of the index treatment regimen. The index treatment regimen comprised all migraine preventive medications with overlapping days’ supply within a ±30</w:t>
            </w:r>
            <w:r w:rsidRPr="00190BFB">
              <w:rPr>
                <w:rFonts w:ascii="Times New Roman" w:hAnsi="Times New Roman"/>
                <w:sz w:val="24"/>
                <w:szCs w:val="24"/>
              </w:rPr>
              <w:noBreakHyphen/>
              <w:t>day period of the index date. Treatment switch could occur between individual calcitonin gene-related peptide monoclonal antibodies/</w:t>
            </w:r>
            <w:proofErr w:type="spellStart"/>
            <w:r w:rsidRPr="00190BFB">
              <w:rPr>
                <w:rFonts w:ascii="Times New Roman" w:hAnsi="Times New Roman"/>
                <w:sz w:val="24"/>
                <w:szCs w:val="24"/>
              </w:rPr>
              <w:t>gepants</w:t>
            </w:r>
            <w:proofErr w:type="spellEnd"/>
            <w:r w:rsidRPr="00190BFB">
              <w:rPr>
                <w:rFonts w:ascii="Times New Roman" w:hAnsi="Times New Roman"/>
                <w:sz w:val="24"/>
                <w:szCs w:val="24"/>
              </w:rPr>
              <w:t xml:space="preserve"> or between different SOC drug classes of migraine preventive treatment. Treatment switch between SOC drugs within the same drug class was not considered a switch. The time to first switch was calculated as the number of days between the index date and the first switch date to a drug that was not part of the </w:t>
            </w:r>
            <w:r w:rsidRPr="00190BFB">
              <w:rPr>
                <w:rFonts w:ascii="Times New Roman" w:hAnsi="Times New Roman"/>
                <w:sz w:val="24"/>
                <w:szCs w:val="24"/>
              </w:rPr>
              <w:lastRenderedPageBreak/>
              <w:t>index treatment regimen. Baseline and follow-up preventive and acute migraine medications analyzed were based on the 2012 guidelines published by the American Academy of Neurology and the 2021 American Headache Society consensus statement.</w:t>
            </w:r>
            <w:r w:rsidRPr="00190BFB">
              <w:rPr>
                <w:rFonts w:ascii="Times New Roman" w:hAnsi="Times New Roman"/>
                <w:sz w:val="24"/>
                <w:szCs w:val="24"/>
                <w:vertAlign w:val="superscript"/>
              </w:rPr>
              <w:t>1,2</w:t>
            </w:r>
          </w:p>
        </w:tc>
      </w:tr>
      <w:tr w:rsidR="001A108C" w:rsidRPr="00190BFB" w14:paraId="745793BA" w14:textId="77777777" w:rsidTr="007E4583">
        <w:tc>
          <w:tcPr>
            <w:tcW w:w="1009" w:type="pct"/>
          </w:tcPr>
          <w:p w14:paraId="1E69F4D2" w14:textId="77777777" w:rsidR="001A108C" w:rsidRPr="00190BFB" w:rsidRDefault="001A108C" w:rsidP="007E4583">
            <w:pPr>
              <w:ind w:firstLine="0"/>
              <w:rPr>
                <w:rFonts w:ascii="Times New Roman" w:hAnsi="Times New Roman"/>
                <w:b/>
                <w:bCs/>
                <w:sz w:val="24"/>
                <w:szCs w:val="24"/>
              </w:rPr>
            </w:pPr>
            <w:r w:rsidRPr="00190BFB">
              <w:rPr>
                <w:rFonts w:ascii="Times New Roman" w:hAnsi="Times New Roman"/>
                <w:b/>
                <w:bCs/>
                <w:sz w:val="24"/>
                <w:szCs w:val="24"/>
              </w:rPr>
              <w:lastRenderedPageBreak/>
              <w:t>HCRU and direct costs</w:t>
            </w:r>
          </w:p>
        </w:tc>
        <w:tc>
          <w:tcPr>
            <w:tcW w:w="3991" w:type="pct"/>
          </w:tcPr>
          <w:p w14:paraId="61E1E5B8" w14:textId="77777777" w:rsidR="001A108C" w:rsidRPr="00190BFB" w:rsidRDefault="001A108C" w:rsidP="001A108C">
            <w:pPr>
              <w:pStyle w:val="ListParagraph"/>
              <w:numPr>
                <w:ilvl w:val="0"/>
                <w:numId w:val="3"/>
              </w:numPr>
              <w:ind w:left="310"/>
              <w:contextualSpacing w:val="0"/>
              <w:rPr>
                <w:rFonts w:ascii="Times New Roman" w:eastAsia="GillSansMT-Identity-H" w:hAnsi="Times New Roman"/>
                <w:sz w:val="24"/>
                <w:szCs w:val="24"/>
                <w:lang w:eastAsia="en-IN"/>
              </w:rPr>
            </w:pPr>
            <w:r w:rsidRPr="00190BFB">
              <w:rPr>
                <w:rFonts w:ascii="Times New Roman" w:hAnsi="Times New Roman"/>
                <w:sz w:val="24"/>
                <w:szCs w:val="24"/>
              </w:rPr>
              <w:t>All-cause and migraine-related HCRU included ambulatory visits (i.e. physician office and outpatient visits), ER visits, inpatient admissions, and other medical visits. In addition, migraine-related HCRU and direct costs included acute and preventive migraine medication counts/fills and costs, respectively.</w:t>
            </w:r>
          </w:p>
          <w:p w14:paraId="32369DFC" w14:textId="77777777" w:rsidR="001A108C" w:rsidRPr="00190BFB" w:rsidRDefault="001A108C" w:rsidP="001A108C">
            <w:pPr>
              <w:pStyle w:val="ListParagraph"/>
              <w:numPr>
                <w:ilvl w:val="0"/>
                <w:numId w:val="3"/>
              </w:numPr>
              <w:ind w:left="310"/>
              <w:contextualSpacing w:val="0"/>
              <w:rPr>
                <w:rFonts w:ascii="Times New Roman" w:eastAsia="GillSansMT-Identity-H" w:hAnsi="Times New Roman"/>
                <w:sz w:val="24"/>
                <w:szCs w:val="24"/>
                <w:lang w:eastAsia="en-IN"/>
              </w:rPr>
            </w:pPr>
            <w:r w:rsidRPr="00190BFB">
              <w:rPr>
                <w:rFonts w:ascii="Times New Roman" w:hAnsi="Times New Roman"/>
                <w:sz w:val="24"/>
                <w:szCs w:val="24"/>
              </w:rPr>
              <w:t>All-cause and migraine-related healthcare costs were categorized as medical, pharmacy, and total costs. HCRU and costs were defined as migraine-related if a medical claim had an ICD-10-CM code for migraine in any position or a pharmacy claim was for a migraine treatment. All-cause or migraine-related total costs were the sum of healthcare costs incurred from pharmacy and medical costs. Medical costs were the sum of healthcare costs incurred from ambulatory visits (physician office and hospital outpatient), ER visits, inpatient visits, and other medical visits. Migraine-related pharmacy costs included both acute and preventive migraine medication costs. Change in all-cause and migraine-related HCRU and direct costs were reported as per patient per year and inflated to 2022 US dollars.</w:t>
            </w:r>
          </w:p>
        </w:tc>
      </w:tr>
    </w:tbl>
    <w:p w14:paraId="5ECB35D6" w14:textId="77777777" w:rsidR="001A108C" w:rsidRPr="00190BFB" w:rsidRDefault="001A108C" w:rsidP="001A108C">
      <w:pPr>
        <w:ind w:firstLine="0"/>
        <w:rPr>
          <w:rFonts w:ascii="Times New Roman" w:hAnsi="Times New Roman"/>
          <w:sz w:val="24"/>
          <w:szCs w:val="24"/>
        </w:rPr>
      </w:pPr>
      <w:r w:rsidRPr="00190BFB">
        <w:rPr>
          <w:rFonts w:ascii="Times New Roman" w:hAnsi="Times New Roman"/>
          <w:sz w:val="24"/>
          <w:szCs w:val="24"/>
        </w:rPr>
        <w:t>Abbreviations. ER, emergency room; HCRU, healthcare resource utilization; ICD-10-CM, International Classification of Diseases, Tenth Revision, Clinical Modification; PDC, </w:t>
      </w:r>
      <w:r w:rsidRPr="00190BFB">
        <w:rPr>
          <w:rFonts w:ascii="Times New Roman" w:eastAsia="GillSansMT-Identity-H" w:hAnsi="Times New Roman"/>
          <w:sz w:val="24"/>
          <w:szCs w:val="24"/>
          <w:lang w:eastAsia="en-IN"/>
        </w:rPr>
        <w:t xml:space="preserve">proportion of days covered; </w:t>
      </w:r>
      <w:r w:rsidRPr="00190BFB">
        <w:rPr>
          <w:rFonts w:ascii="Times New Roman" w:hAnsi="Times New Roman"/>
          <w:sz w:val="24"/>
          <w:szCs w:val="24"/>
        </w:rPr>
        <w:t>SOC, standard of care preventive migraine medications.</w:t>
      </w:r>
    </w:p>
    <w:p w14:paraId="34DD48E8" w14:textId="77777777" w:rsidR="001A108C" w:rsidRPr="00190BFB" w:rsidRDefault="001A108C" w:rsidP="001A108C">
      <w:pPr>
        <w:pStyle w:val="ListParagraph"/>
        <w:numPr>
          <w:ilvl w:val="0"/>
          <w:numId w:val="4"/>
        </w:numPr>
        <w:rPr>
          <w:rFonts w:ascii="Times New Roman" w:hAnsi="Times New Roman"/>
          <w:sz w:val="24"/>
          <w:szCs w:val="24"/>
        </w:rPr>
      </w:pPr>
      <w:r w:rsidRPr="00190BFB">
        <w:rPr>
          <w:rFonts w:ascii="Times New Roman" w:hAnsi="Times New Roman"/>
          <w:sz w:val="24"/>
          <w:szCs w:val="24"/>
        </w:rPr>
        <w:lastRenderedPageBreak/>
        <w:t xml:space="preserve">Silberstein SD, Holland S, Freitag F, </w:t>
      </w:r>
      <w:proofErr w:type="spellStart"/>
      <w:r w:rsidRPr="00190BFB">
        <w:rPr>
          <w:rFonts w:ascii="Times New Roman" w:hAnsi="Times New Roman"/>
          <w:sz w:val="24"/>
          <w:szCs w:val="24"/>
        </w:rPr>
        <w:t>Dodick</w:t>
      </w:r>
      <w:proofErr w:type="spellEnd"/>
      <w:r w:rsidRPr="00190BFB">
        <w:rPr>
          <w:rFonts w:ascii="Times New Roman" w:hAnsi="Times New Roman"/>
          <w:sz w:val="24"/>
          <w:szCs w:val="24"/>
        </w:rPr>
        <w:t xml:space="preserve"> DW, </w:t>
      </w:r>
      <w:proofErr w:type="spellStart"/>
      <w:r w:rsidRPr="00190BFB">
        <w:rPr>
          <w:rFonts w:ascii="Times New Roman" w:hAnsi="Times New Roman"/>
          <w:sz w:val="24"/>
          <w:szCs w:val="24"/>
        </w:rPr>
        <w:t>Argoff</w:t>
      </w:r>
      <w:proofErr w:type="spellEnd"/>
      <w:r w:rsidRPr="00190BFB">
        <w:rPr>
          <w:rFonts w:ascii="Times New Roman" w:hAnsi="Times New Roman"/>
          <w:sz w:val="24"/>
          <w:szCs w:val="24"/>
        </w:rPr>
        <w:t xml:space="preserve"> C, Ashman E. Evidence-based guideline update: pharmacologic treatment for episodic migraine prevention in adults: report of the Quality Standards Subcommittee of the American Academy of Neurology and the American Headache Society. Neurology 2012 Apr 24;78(17):1337-45. </w:t>
      </w:r>
    </w:p>
    <w:p w14:paraId="2842B0EB" w14:textId="77777777" w:rsidR="001A108C" w:rsidRPr="00190BFB" w:rsidRDefault="001A108C" w:rsidP="001A108C">
      <w:pPr>
        <w:pStyle w:val="ListParagraph"/>
        <w:numPr>
          <w:ilvl w:val="0"/>
          <w:numId w:val="4"/>
        </w:numPr>
        <w:rPr>
          <w:rFonts w:ascii="Times New Roman" w:hAnsi="Times New Roman"/>
          <w:sz w:val="24"/>
          <w:szCs w:val="24"/>
        </w:rPr>
      </w:pPr>
      <w:r w:rsidRPr="00190BFB">
        <w:rPr>
          <w:rFonts w:ascii="Times New Roman" w:hAnsi="Times New Roman"/>
          <w:sz w:val="24"/>
          <w:szCs w:val="24"/>
        </w:rPr>
        <w:t>Ailani J, Burch RC, Robbins MS. The American Headache Society Consensus Statement: Update on integrating new migraine treatments into clinical practice. Headache 2021 Jul;61(7):1021-39</w:t>
      </w:r>
    </w:p>
    <w:p w14:paraId="2189E989" w14:textId="77777777" w:rsidR="001A108C" w:rsidRPr="00C812C9" w:rsidRDefault="001A108C" w:rsidP="001A108C"/>
    <w:p w14:paraId="492C721C" w14:textId="77777777" w:rsidR="000963F7" w:rsidRPr="00020021" w:rsidRDefault="000963F7" w:rsidP="00020021"/>
    <w:sectPr w:rsidR="000963F7" w:rsidRPr="00020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MT-Identity-H">
    <w:altName w:val="Yu Gothic"/>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9350C"/>
    <w:multiLevelType w:val="hybridMultilevel"/>
    <w:tmpl w:val="BB567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F258EE"/>
    <w:multiLevelType w:val="hybridMultilevel"/>
    <w:tmpl w:val="473AD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787E76"/>
    <w:multiLevelType w:val="hybridMultilevel"/>
    <w:tmpl w:val="F75417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120B64"/>
    <w:multiLevelType w:val="hybridMultilevel"/>
    <w:tmpl w:val="F754175A"/>
    <w:lvl w:ilvl="0" w:tplc="E056C7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3531358">
    <w:abstractNumId w:val="3"/>
  </w:num>
  <w:num w:numId="2" w16cid:durableId="1111633552">
    <w:abstractNumId w:val="0"/>
  </w:num>
  <w:num w:numId="3" w16cid:durableId="142234916">
    <w:abstractNumId w:val="1"/>
  </w:num>
  <w:num w:numId="4" w16cid:durableId="106884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2A"/>
    <w:rsid w:val="00020021"/>
    <w:rsid w:val="000963F7"/>
    <w:rsid w:val="001A108C"/>
    <w:rsid w:val="002D58C1"/>
    <w:rsid w:val="00501AE7"/>
    <w:rsid w:val="00767B2A"/>
    <w:rsid w:val="00A0348B"/>
    <w:rsid w:val="00C04E4D"/>
    <w:rsid w:val="00C56D60"/>
    <w:rsid w:val="00D27C2A"/>
    <w:rsid w:val="00F478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FB0BB"/>
  <w15:chartTrackingRefBased/>
  <w15:docId w15:val="{590E07EC-7298-4DB7-8BA1-8343D7DF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2A"/>
    <w:pPr>
      <w:spacing w:after="0" w:line="480" w:lineRule="auto"/>
      <w:ind w:firstLine="720"/>
    </w:pPr>
    <w:rPr>
      <w:rFonts w:ascii="Arial" w:eastAsia="Times New Roman" w:hAnsi="Arial" w:cs="Times New Roman"/>
      <w:kern w:val="0"/>
      <w:sz w:val="20"/>
      <w:szCs w:val="20"/>
      <w:lang w:val="en-US"/>
    </w:rPr>
  </w:style>
  <w:style w:type="paragraph" w:styleId="Heading1">
    <w:name w:val="heading 1"/>
    <w:basedOn w:val="Normal"/>
    <w:next w:val="Normal"/>
    <w:link w:val="Heading1Char"/>
    <w:uiPriority w:val="9"/>
    <w:qFormat/>
    <w:rsid w:val="00C56D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20021"/>
    <w:pPr>
      <w:keepNext/>
      <w:spacing w:before="240" w:after="60"/>
      <w:ind w:firstLine="0"/>
      <w:outlineLvl w:val="1"/>
    </w:pPr>
    <w:rPr>
      <w:rFonts w:cs="Arial"/>
      <w:b/>
      <w:bCs/>
      <w:i/>
      <w:iCs/>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20021"/>
    <w:rPr>
      <w:rFonts w:ascii="Arial" w:eastAsia="Times New Roman" w:hAnsi="Arial" w:cs="Arial"/>
      <w:b/>
      <w:bCs/>
      <w:i/>
      <w:iCs/>
      <w:kern w:val="0"/>
      <w:sz w:val="28"/>
      <w:szCs w:val="28"/>
      <w:lang w:val="en-US"/>
      <w14:ligatures w14:val="none"/>
    </w:rPr>
  </w:style>
  <w:style w:type="paragraph" w:styleId="ListParagraph">
    <w:name w:val="List Paragraph"/>
    <w:basedOn w:val="Normal"/>
    <w:link w:val="ListParagraphChar"/>
    <w:uiPriority w:val="34"/>
    <w:qFormat/>
    <w:rsid w:val="00020021"/>
    <w:pPr>
      <w:ind w:left="720"/>
      <w:contextualSpacing/>
    </w:pPr>
    <w:rPr>
      <w14:ligatures w14:val="none"/>
    </w:rPr>
  </w:style>
  <w:style w:type="character" w:customStyle="1" w:styleId="ListParagraphChar">
    <w:name w:val="List Paragraph Char"/>
    <w:link w:val="ListParagraph"/>
    <w:uiPriority w:val="34"/>
    <w:locked/>
    <w:rsid w:val="00020021"/>
    <w:rPr>
      <w:rFonts w:ascii="Arial" w:eastAsia="Times New Roman" w:hAnsi="Arial" w:cs="Times New Roman"/>
      <w:kern w:val="0"/>
      <w:sz w:val="20"/>
      <w:szCs w:val="20"/>
      <w:lang w:val="en-US"/>
      <w14:ligatures w14:val="none"/>
    </w:rPr>
  </w:style>
  <w:style w:type="character" w:styleId="Strong">
    <w:name w:val="Strong"/>
    <w:basedOn w:val="DefaultParagraphFont"/>
    <w:uiPriority w:val="22"/>
    <w:qFormat/>
    <w:rsid w:val="001A108C"/>
    <w:rPr>
      <w:rFonts w:eastAsia="GillSansMT-Identity-H"/>
      <w:b/>
      <w:bCs/>
    </w:rPr>
  </w:style>
  <w:style w:type="character" w:customStyle="1" w:styleId="Heading1Char">
    <w:name w:val="Heading 1 Char"/>
    <w:basedOn w:val="DefaultParagraphFont"/>
    <w:link w:val="Heading1"/>
    <w:uiPriority w:val="9"/>
    <w:rsid w:val="00C56D60"/>
    <w:rPr>
      <w:rFonts w:asciiTheme="majorHAnsi" w:eastAsiaTheme="majorEastAsia" w:hAnsiTheme="majorHAnsi" w:cstheme="majorBidi"/>
      <w:color w:val="2F5496"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rnado_oralee_johnson@lil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1101</Words>
  <Characters>6556</Characters>
  <Application>Microsoft Office Word</Application>
  <DocSecurity>0</DocSecurity>
  <Lines>163</Lines>
  <Paragraphs>48</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 Koushik</dc:creator>
  <cp:keywords/>
  <dc:description/>
  <cp:lastModifiedBy>Keerthana Muthiah</cp:lastModifiedBy>
  <cp:revision>4</cp:revision>
  <dcterms:created xsi:type="dcterms:W3CDTF">2025-01-10T10:14:00Z</dcterms:created>
  <dcterms:modified xsi:type="dcterms:W3CDTF">2025-01-10T10:16:00Z</dcterms:modified>
</cp:coreProperties>
</file>