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B363">
      <w:pPr>
        <w:widowControl/>
        <w:jc w:val="left"/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</w:pPr>
      <w:r>
        <w:drawing>
          <wp:inline distT="0" distB="0" distL="0" distR="0">
            <wp:extent cx="5274310" cy="5422265"/>
            <wp:effectExtent l="0" t="0" r="2540" b="6985"/>
            <wp:docPr id="14221847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84709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  <w:t>S</w:t>
      </w:r>
    </w:p>
    <w:p w14:paraId="3596FFF6">
      <w:pPr>
        <w:widowControl/>
        <w:jc w:val="left"/>
        <w:rPr>
          <w:rFonts w:ascii="Times New Roman" w:hAnsi="Times New Roman" w:cs="Times New Roman"/>
          <w:color w:val="000000"/>
          <w:kern w:val="0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Cs w:val="22"/>
          <w:lang w:val="en-US" w:eastAsia="zh-CN" w:bidi="ar"/>
        </w:rPr>
        <w:t>S</w:t>
      </w:r>
      <w:bookmarkStart w:id="0" w:name="_GoBack"/>
      <w:bookmarkEnd w:id="0"/>
      <w: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  <w:t xml:space="preserve">upplementary Fig 1. Flowchart of participant exclusion in cohort of MAFLD patients referred for specialist assessment by primary care physicians </w:t>
      </w:r>
    </w:p>
    <w:p w14:paraId="4EC8BC14">
      <w:pPr>
        <w:rPr>
          <w:rFonts w:ascii="Times New Roman" w:hAnsi="Times New Roman" w:cs="Times New Roman"/>
          <w:color w:val="000000"/>
        </w:rPr>
      </w:pPr>
    </w:p>
    <w:p w14:paraId="191B07BD">
      <w:pPr>
        <w:rPr>
          <w:rFonts w:ascii="Times New Roman" w:hAnsi="Times New Roman" w:cs="Times New Roman"/>
          <w:color w:val="000000"/>
        </w:rPr>
      </w:pPr>
    </w:p>
    <w:p w14:paraId="75ECDE9B">
      <w:pPr>
        <w:rPr>
          <w:rFonts w:ascii="Times New Roman" w:hAnsi="Times New Roman" w:cs="Times New Roman"/>
          <w:color w:val="000000"/>
        </w:rPr>
      </w:pPr>
    </w:p>
    <w:p w14:paraId="6D72F99D">
      <w:pPr>
        <w:rPr>
          <w:rFonts w:ascii="Times New Roman" w:hAnsi="Times New Roman" w:cs="Times New Roman"/>
          <w:color w:val="000000"/>
        </w:rPr>
      </w:pPr>
    </w:p>
    <w:p w14:paraId="7B4EA42D">
      <w:pPr>
        <w:rPr>
          <w:rFonts w:ascii="Times New Roman" w:hAnsi="Times New Roman" w:cs="Times New Roman"/>
          <w:color w:val="000000"/>
        </w:rPr>
      </w:pPr>
    </w:p>
    <w:p w14:paraId="1C5D3113">
      <w:pPr>
        <w:rPr>
          <w:rFonts w:ascii="Times New Roman" w:hAnsi="Times New Roman" w:cs="Times New Roman"/>
          <w:color w:val="000000"/>
        </w:rPr>
      </w:pPr>
    </w:p>
    <w:p w14:paraId="61883CE6">
      <w:pPr>
        <w:rPr>
          <w:rFonts w:ascii="Times New Roman" w:hAnsi="Times New Roman" w:cs="Times New Roman"/>
          <w:color w:val="000000"/>
        </w:rPr>
      </w:pPr>
    </w:p>
    <w:p w14:paraId="6EB7D04C">
      <w:pPr>
        <w:rPr>
          <w:rFonts w:ascii="Times New Roman" w:hAnsi="Times New Roman" w:cs="Times New Roman"/>
          <w:color w:val="000000"/>
        </w:rPr>
      </w:pPr>
    </w:p>
    <w:p w14:paraId="65685B33">
      <w:pPr>
        <w:rPr>
          <w:rFonts w:ascii="Times New Roman" w:hAnsi="Times New Roman" w:cs="Times New Roman"/>
          <w:color w:val="000000"/>
        </w:rPr>
      </w:pPr>
    </w:p>
    <w:p w14:paraId="0F8990D8">
      <w:pPr>
        <w:rPr>
          <w:rFonts w:ascii="Times New Roman" w:hAnsi="Times New Roman" w:cs="Times New Roman"/>
          <w:color w:val="000000"/>
        </w:rPr>
      </w:pPr>
    </w:p>
    <w:p w14:paraId="5E318988">
      <w:pPr>
        <w:rPr>
          <w:rFonts w:ascii="Times New Roman" w:hAnsi="Times New Roman" w:cs="Times New Roman"/>
          <w:color w:val="000000"/>
        </w:rPr>
      </w:pPr>
    </w:p>
    <w:p w14:paraId="411D6E01">
      <w:pP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</w:pPr>
      <w: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  <w:drawing>
          <wp:inline distT="0" distB="0" distL="0" distR="0">
            <wp:extent cx="5486400" cy="4044950"/>
            <wp:effectExtent l="0" t="0" r="0" b="0"/>
            <wp:docPr id="1123746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4650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DEA1">
      <w:pP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</w:pPr>
    </w:p>
    <w:p w14:paraId="180AA8ED">
      <w:pPr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  <w:color w:val="000000"/>
          <w:kern w:val="0"/>
          <w:szCs w:val="22"/>
          <w:lang w:bidi="ar"/>
        </w:rPr>
        <w:t xml:space="preserve">Supplementary Fig 2. </w:t>
      </w:r>
      <w:r>
        <w:rPr>
          <w:rFonts w:ascii="Times New Roman" w:hAnsi="Times New Roman" w:eastAsia="等线" w:cs="Times New Roman"/>
          <w:szCs w:val="22"/>
          <w:lang w:bidi="ar"/>
        </w:rPr>
        <w:t xml:space="preserve">Comparisons relevance of steatosis, inflammation, ballooning, fibrosis and serum LDH levels. </w:t>
      </w:r>
      <w:r>
        <w:rPr>
          <w:rFonts w:ascii="Times New Roman" w:hAnsi="Times New Roman" w:eastAsia="等线" w:cs="Times New Roman"/>
          <w:color w:val="FF0000"/>
          <w:szCs w:val="22"/>
          <w:lang w:bidi="ar"/>
        </w:rPr>
        <w:t xml:space="preserve">LDH was positively associated with the severity of steatosis (R2 = 0.3497, P&lt;.0001) (A), inflammation (R2 = 0.1852, P&lt;.0001) (B), ballooning (R2 = 0.1762, P&lt;.0001) (C), and fibrosis (R2 = 0.1045, P&lt;.0001) (D) </w:t>
      </w:r>
    </w:p>
    <w:p w14:paraId="4F84C8D4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0A"/>
    <w:rsid w:val="000C16B2"/>
    <w:rsid w:val="00245E9C"/>
    <w:rsid w:val="00495C4F"/>
    <w:rsid w:val="0057310A"/>
    <w:rsid w:val="34EC336A"/>
    <w:rsid w:val="5D30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402</Characters>
  <Lines>3</Lines>
  <Paragraphs>1</Paragraphs>
  <TotalTime>0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2024-11-23T16:14:00Z</dcterms:created>
  <dc:creator>LI Tengfei</dc:creator>
  <cp:lastModifiedBy>卢慧</cp:lastModifiedBy>
  <dcterms:modified xsi:type="dcterms:W3CDTF">2024-11-24T16:25:43Z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34DF2EE555E542E9A14E4C7430095A91_12</vt:lpwstr>
  </property>
</Properties>
</file>