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405" w:rsidRDefault="00D8693F">
      <w:pPr>
        <w:rPr>
          <w:lang w:val="en-US"/>
        </w:rPr>
      </w:pPr>
      <w:r w:rsidRPr="00D8693F">
        <w:rPr>
          <w:b/>
          <w:lang w:val="en-US"/>
        </w:rPr>
        <w:t>Supplementary</w:t>
      </w:r>
      <w:r w:rsidR="00B23DD0">
        <w:rPr>
          <w:b/>
          <w:lang w:val="en-US"/>
        </w:rPr>
        <w:t xml:space="preserve"> tables </w:t>
      </w:r>
    </w:p>
    <w:p w:rsidR="004B4405" w:rsidRDefault="004B4405">
      <w:pPr>
        <w:rPr>
          <w:lang w:val="en-US"/>
        </w:rPr>
      </w:pPr>
    </w:p>
    <w:p w:rsidR="004B4405" w:rsidRDefault="004B4405">
      <w:pPr>
        <w:rPr>
          <w:lang w:val="en-US"/>
        </w:rPr>
      </w:pPr>
      <w:r w:rsidRPr="004B4405">
        <w:rPr>
          <w:b/>
          <w:lang w:val="en-US"/>
        </w:rPr>
        <w:t xml:space="preserve">Supplementary Table </w:t>
      </w:r>
      <w:r w:rsidR="002E2530">
        <w:rPr>
          <w:b/>
          <w:lang w:val="en-US"/>
        </w:rPr>
        <w:t>1</w:t>
      </w:r>
      <w:r w:rsidRPr="004B4405">
        <w:rPr>
          <w:lang w:val="en-US"/>
        </w:rPr>
        <w:t>. Comparison of sociodemographic and pharmacological variables between the population and the sample of patients with insulin dispensations, Colombia</w:t>
      </w:r>
    </w:p>
    <w:tbl>
      <w:tblPr>
        <w:tblW w:w="928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2"/>
        <w:gridCol w:w="1644"/>
        <w:gridCol w:w="836"/>
        <w:gridCol w:w="1462"/>
        <w:gridCol w:w="1018"/>
      </w:tblGrid>
      <w:tr w:rsidR="004B4405" w:rsidRPr="004B4405" w:rsidTr="004B4405">
        <w:trPr>
          <w:trHeight w:val="263"/>
        </w:trPr>
        <w:tc>
          <w:tcPr>
            <w:tcW w:w="4322" w:type="dxa"/>
            <w:vMerge w:val="restart"/>
            <w:shd w:val="clear" w:color="000000" w:fill="FFFFFF"/>
            <w:noWrap/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Variables</w:t>
            </w:r>
          </w:p>
        </w:tc>
        <w:tc>
          <w:tcPr>
            <w:tcW w:w="2480" w:type="dxa"/>
            <w:gridSpan w:val="2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Population</w:t>
            </w:r>
            <w:proofErr w:type="spellEnd"/>
          </w:p>
        </w:tc>
        <w:tc>
          <w:tcPr>
            <w:tcW w:w="2480" w:type="dxa"/>
            <w:gridSpan w:val="2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Sample</w:t>
            </w:r>
            <w:proofErr w:type="spellEnd"/>
          </w:p>
        </w:tc>
      </w:tr>
      <w:tr w:rsidR="004B4405" w:rsidRPr="004B4405" w:rsidTr="004B4405">
        <w:trPr>
          <w:trHeight w:val="270"/>
        </w:trPr>
        <w:tc>
          <w:tcPr>
            <w:tcW w:w="432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n=69356</w:t>
            </w:r>
          </w:p>
        </w:tc>
        <w:tc>
          <w:tcPr>
            <w:tcW w:w="836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%</w:t>
            </w: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n=382</w:t>
            </w:r>
          </w:p>
        </w:tc>
        <w:tc>
          <w:tcPr>
            <w:tcW w:w="1018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%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Women</w:t>
            </w:r>
            <w:proofErr w:type="spellEnd"/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64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 (56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0-73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0)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66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 (58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0-74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0)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Age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, median (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Interquartile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range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34643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49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212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55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Mujeres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38641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55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215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56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Origin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Caribbean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Region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20844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30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40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10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Bogotá-Cundinamarca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Region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18221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26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89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23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Pacific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Region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14802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21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123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32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Central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Region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12527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18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111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29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Eastern-Orinoquia-Amazonia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Region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2962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19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Treatment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schemes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Long-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acting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insulin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40370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58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249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65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8724CF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  <w:t>Long-acting + short-acting insulin</w:t>
            </w:r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27467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39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123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32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Short-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acting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insulin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1519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10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Other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antidiabetics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57189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82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313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81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Metformin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43872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63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244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63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Dipeptidyl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peptidase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4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inhibitors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33829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48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173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45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Sodium-glucose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Cotransporter-2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inhibitors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25460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36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127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33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Glucagon-like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peptide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analogues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11244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16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21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Sulfonylureas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754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Comedicaciones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Lipid-lowering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48004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69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243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63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Antihypertensives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and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diuretics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47813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68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264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69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Antiplatelet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agents</w:t>
            </w:r>
            <w:proofErr w:type="spellEnd"/>
          </w:p>
        </w:tc>
        <w:tc>
          <w:tcPr>
            <w:tcW w:w="1644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25904</w:t>
            </w:r>
          </w:p>
        </w:tc>
        <w:tc>
          <w:tcPr>
            <w:tcW w:w="836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37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</w:t>
            </w:r>
          </w:p>
        </w:tc>
        <w:tc>
          <w:tcPr>
            <w:tcW w:w="1462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164</w:t>
            </w:r>
          </w:p>
        </w:tc>
        <w:tc>
          <w:tcPr>
            <w:tcW w:w="1018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42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</w:t>
            </w:r>
          </w:p>
        </w:tc>
      </w:tr>
      <w:tr w:rsidR="004B4405" w:rsidRPr="004B4405" w:rsidTr="004B4405">
        <w:trPr>
          <w:trHeight w:val="255"/>
        </w:trPr>
        <w:tc>
          <w:tcPr>
            <w:tcW w:w="4322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Antiulcer</w:t>
            </w:r>
            <w:proofErr w:type="spellEnd"/>
          </w:p>
        </w:tc>
        <w:tc>
          <w:tcPr>
            <w:tcW w:w="1644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21608</w:t>
            </w:r>
          </w:p>
        </w:tc>
        <w:tc>
          <w:tcPr>
            <w:tcW w:w="836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31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</w:p>
        </w:tc>
        <w:tc>
          <w:tcPr>
            <w:tcW w:w="1462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133</w:t>
            </w:r>
          </w:p>
        </w:tc>
        <w:tc>
          <w:tcPr>
            <w:tcW w:w="1018" w:type="dxa"/>
            <w:tcBorders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34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</w:t>
            </w:r>
          </w:p>
        </w:tc>
      </w:tr>
      <w:tr w:rsidR="004B4405" w:rsidRPr="004B4405" w:rsidTr="004B4405">
        <w:trPr>
          <w:trHeight w:val="263"/>
        </w:trPr>
        <w:tc>
          <w:tcPr>
            <w:tcW w:w="432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ind w:firstLineChars="100" w:firstLine="160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Analgesics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and anti-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inflammatories</w:t>
            </w:r>
            <w:proofErr w:type="spellEnd"/>
          </w:p>
        </w:tc>
        <w:tc>
          <w:tcPr>
            <w:tcW w:w="1644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20180</w:t>
            </w:r>
          </w:p>
        </w:tc>
        <w:tc>
          <w:tcPr>
            <w:tcW w:w="836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29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138</w:t>
            </w:r>
          </w:p>
        </w:tc>
        <w:tc>
          <w:tcPr>
            <w:tcW w:w="1018" w:type="dxa"/>
            <w:tcBorders>
              <w:top w:val="nil"/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36</w:t>
            </w:r>
            <w:r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</w:p>
        </w:tc>
      </w:tr>
    </w:tbl>
    <w:p w:rsidR="004B4405" w:rsidRDefault="004B4405">
      <w:pPr>
        <w:rPr>
          <w:lang w:val="en-US"/>
        </w:rPr>
      </w:pPr>
      <w:bookmarkStart w:id="0" w:name="_GoBack"/>
      <w:bookmarkEnd w:id="0"/>
      <w:r w:rsidRPr="004B4405">
        <w:rPr>
          <w:b/>
          <w:lang w:val="en-US"/>
        </w:rPr>
        <w:lastRenderedPageBreak/>
        <w:t xml:space="preserve">Supplementary Table </w:t>
      </w:r>
      <w:r w:rsidR="002E2530">
        <w:rPr>
          <w:b/>
          <w:lang w:val="en-US"/>
        </w:rPr>
        <w:t>2</w:t>
      </w:r>
      <w:r w:rsidRPr="004B4405">
        <w:rPr>
          <w:lang w:val="en-US"/>
        </w:rPr>
        <w:t>. Binary logistic regression on the variables related to having high satisfaction with insulin application devices.</w:t>
      </w:r>
    </w:p>
    <w:tbl>
      <w:tblPr>
        <w:tblW w:w="8673" w:type="dxa"/>
        <w:tblBorders>
          <w:top w:val="single" w:sz="4" w:space="0" w:color="auto"/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3"/>
        <w:gridCol w:w="580"/>
        <w:gridCol w:w="1240"/>
        <w:gridCol w:w="1251"/>
        <w:gridCol w:w="1229"/>
      </w:tblGrid>
      <w:tr w:rsidR="004B4405" w:rsidRPr="004B4405" w:rsidTr="004B4405">
        <w:trPr>
          <w:trHeight w:val="278"/>
        </w:trPr>
        <w:tc>
          <w:tcPr>
            <w:tcW w:w="4373" w:type="dxa"/>
            <w:vMerge w:val="restart"/>
            <w:shd w:val="clear" w:color="000000" w:fill="FFFFFF"/>
            <w:noWrap/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Variables</w:t>
            </w:r>
          </w:p>
        </w:tc>
        <w:tc>
          <w:tcPr>
            <w:tcW w:w="580" w:type="dxa"/>
            <w:vMerge w:val="restart"/>
            <w:shd w:val="clear" w:color="000000" w:fill="FFFFFF"/>
            <w:noWrap/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Sig.</w:t>
            </w:r>
          </w:p>
        </w:tc>
        <w:tc>
          <w:tcPr>
            <w:tcW w:w="1240" w:type="dxa"/>
            <w:vMerge w:val="restart"/>
            <w:shd w:val="clear" w:color="000000" w:fill="FFFFFF"/>
            <w:noWrap/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OR</w:t>
            </w:r>
          </w:p>
        </w:tc>
        <w:tc>
          <w:tcPr>
            <w:tcW w:w="2480" w:type="dxa"/>
            <w:gridSpan w:val="2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95%CI</w:t>
            </w:r>
          </w:p>
        </w:tc>
      </w:tr>
      <w:tr w:rsidR="004B4405" w:rsidRPr="004B4405" w:rsidTr="004B4405">
        <w:trPr>
          <w:trHeight w:val="285"/>
        </w:trPr>
        <w:tc>
          <w:tcPr>
            <w:tcW w:w="4373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58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Lower</w:t>
            </w:r>
            <w:proofErr w:type="spellEnd"/>
          </w:p>
        </w:tc>
        <w:tc>
          <w:tcPr>
            <w:tcW w:w="1229" w:type="dxa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b/>
                <w:bCs/>
                <w:color w:val="000000"/>
                <w:sz w:val="16"/>
                <w:szCs w:val="16"/>
                <w:lang w:eastAsia="es-CO"/>
              </w:rPr>
              <w:t>Upper</w:t>
            </w:r>
            <w:proofErr w:type="spellEnd"/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Woman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(yes/no)</w:t>
            </w:r>
          </w:p>
        </w:tc>
        <w:tc>
          <w:tcPr>
            <w:tcW w:w="580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258</w:t>
            </w:r>
          </w:p>
        </w:tc>
        <w:tc>
          <w:tcPr>
            <w:tcW w:w="1240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784</w:t>
            </w:r>
          </w:p>
        </w:tc>
        <w:tc>
          <w:tcPr>
            <w:tcW w:w="1251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514</w:t>
            </w:r>
          </w:p>
        </w:tc>
        <w:tc>
          <w:tcPr>
            <w:tcW w:w="1229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196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Age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(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continuous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)</w:t>
            </w:r>
          </w:p>
        </w:tc>
        <w:tc>
          <w:tcPr>
            <w:tcW w:w="58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982</w:t>
            </w:r>
          </w:p>
        </w:tc>
        <w:tc>
          <w:tcPr>
            <w:tcW w:w="1240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000</w:t>
            </w:r>
          </w:p>
        </w:tc>
        <w:tc>
          <w:tcPr>
            <w:tcW w:w="1251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983</w:t>
            </w:r>
          </w:p>
        </w:tc>
        <w:tc>
          <w:tcPr>
            <w:tcW w:w="1229" w:type="dxa"/>
            <w:tcBorders>
              <w:top w:val="nil"/>
            </w:tcBorders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017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Origin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Bogota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-Cundinamarca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591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869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521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449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8724CF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  <w:t>Low socioeconomic level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668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909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587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407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Contributory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regime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161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534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843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793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8724CF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  <w:t>Chronic kidney disease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905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039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555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947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8724CF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  <w:t>Prescribing physician: Internist or endocrinologist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236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507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765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2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971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Insulin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analogues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770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927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558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541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8724CF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  <w:t>Long-acting insulin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813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946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598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497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Other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concomitant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</w:t>
            </w: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antidiabetics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723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902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508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599</w:t>
            </w:r>
          </w:p>
        </w:tc>
      </w:tr>
      <w:tr w:rsidR="004B4405" w:rsidRPr="004B4405" w:rsidTr="004B4405">
        <w:trPr>
          <w:trHeight w:val="255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8724CF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</w:pPr>
            <w:r w:rsidRP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val="en-US" w:eastAsia="es-CO"/>
              </w:rPr>
              <w:t>Antihypertensives and diuretics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956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014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616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671</w:t>
            </w:r>
          </w:p>
        </w:tc>
      </w:tr>
      <w:tr w:rsidR="004B4405" w:rsidRPr="004B4405" w:rsidTr="004B4405">
        <w:trPr>
          <w:trHeight w:val="263"/>
        </w:trPr>
        <w:tc>
          <w:tcPr>
            <w:tcW w:w="4373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proofErr w:type="spellStart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Hypolipidemics</w:t>
            </w:r>
            <w:proofErr w:type="spellEnd"/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 xml:space="preserve"> (yes/no)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588</w:t>
            </w:r>
          </w:p>
        </w:tc>
        <w:tc>
          <w:tcPr>
            <w:tcW w:w="1240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134</w:t>
            </w:r>
          </w:p>
        </w:tc>
        <w:tc>
          <w:tcPr>
            <w:tcW w:w="1251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0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719</w:t>
            </w:r>
          </w:p>
        </w:tc>
        <w:tc>
          <w:tcPr>
            <w:tcW w:w="1229" w:type="dxa"/>
            <w:shd w:val="clear" w:color="000000" w:fill="FFFFFF"/>
            <w:noWrap/>
            <w:vAlign w:val="bottom"/>
            <w:hideMark/>
          </w:tcPr>
          <w:p w:rsidR="004B4405" w:rsidRPr="004B4405" w:rsidRDefault="004B4405" w:rsidP="004B4405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</w:pP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1</w:t>
            </w:r>
            <w:r w:rsidR="008724CF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.</w:t>
            </w:r>
            <w:r w:rsidRPr="004B4405">
              <w:rPr>
                <w:rFonts w:ascii="Palatino Linotype" w:eastAsia="Times New Roman" w:hAnsi="Palatino Linotype" w:cs="Arial"/>
                <w:color w:val="000000"/>
                <w:sz w:val="16"/>
                <w:szCs w:val="16"/>
                <w:lang w:eastAsia="es-CO"/>
              </w:rPr>
              <w:t>791</w:t>
            </w:r>
          </w:p>
        </w:tc>
      </w:tr>
    </w:tbl>
    <w:p w:rsidR="004B4405" w:rsidRPr="004B4405" w:rsidRDefault="004B4405">
      <w:pPr>
        <w:rPr>
          <w:sz w:val="16"/>
          <w:lang w:val="en-US"/>
        </w:rPr>
      </w:pPr>
      <w:r w:rsidRPr="004B4405">
        <w:rPr>
          <w:sz w:val="16"/>
          <w:lang w:val="en-US"/>
        </w:rPr>
        <w:t>Sig: Statistical significance; OR: Odds Ratio; CI: Confidence Interval. Goodness of fit according to the Hosmer-</w:t>
      </w:r>
      <w:proofErr w:type="spellStart"/>
      <w:r w:rsidRPr="004B4405">
        <w:rPr>
          <w:sz w:val="16"/>
          <w:lang w:val="en-US"/>
        </w:rPr>
        <w:t>Lemeshow</w:t>
      </w:r>
      <w:proofErr w:type="spellEnd"/>
      <w:r w:rsidRPr="004B4405">
        <w:rPr>
          <w:sz w:val="16"/>
          <w:lang w:val="en-US"/>
        </w:rPr>
        <w:t xml:space="preserve"> test: 0.980.</w:t>
      </w:r>
    </w:p>
    <w:sectPr w:rsidR="004B4405" w:rsidRPr="004B4405" w:rsidSect="00D8693F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93F"/>
    <w:rsid w:val="00092D79"/>
    <w:rsid w:val="002E2530"/>
    <w:rsid w:val="004B4405"/>
    <w:rsid w:val="00593E01"/>
    <w:rsid w:val="008724CF"/>
    <w:rsid w:val="0089553B"/>
    <w:rsid w:val="008A4ACF"/>
    <w:rsid w:val="009F42F8"/>
    <w:rsid w:val="00A045B4"/>
    <w:rsid w:val="00B23DD0"/>
    <w:rsid w:val="00D8693F"/>
    <w:rsid w:val="00DE164A"/>
    <w:rsid w:val="00F5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B0B92"/>
  <w15:chartTrackingRefBased/>
  <w15:docId w15:val="{AE15AA36-8DFB-4440-8F22-9A7EB371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ENRIQUE MACHADO ALBA</dc:creator>
  <cp:keywords/>
  <dc:description/>
  <cp:lastModifiedBy>Jorge Enrique Machado Alba</cp:lastModifiedBy>
  <cp:revision>2</cp:revision>
  <dcterms:created xsi:type="dcterms:W3CDTF">2024-12-12T13:29:00Z</dcterms:created>
  <dcterms:modified xsi:type="dcterms:W3CDTF">2024-12-12T13:29:00Z</dcterms:modified>
</cp:coreProperties>
</file>