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10215" w14:textId="77777777" w:rsidR="00333102" w:rsidRPr="00333102" w:rsidRDefault="00333102" w:rsidP="00333102">
      <w:pPr>
        <w:keepNext/>
        <w:pageBreakBefore/>
        <w:spacing w:after="120" w:line="480" w:lineRule="auto"/>
        <w:outlineLvl w:val="0"/>
        <w:rPr>
          <w:rFonts w:eastAsia="Times New Roman" w:cs="Times New Roman"/>
          <w:b/>
          <w:color w:val="000000"/>
          <w:kern w:val="28"/>
          <w:sz w:val="30"/>
          <w:szCs w:val="20"/>
          <w:lang w:val="en-US" w:eastAsia="en-US"/>
          <w14:ligatures w14:val="none"/>
        </w:rPr>
      </w:pPr>
      <w:r w:rsidRPr="00333102">
        <w:rPr>
          <w:rFonts w:eastAsia="Times New Roman" w:cs="Times New Roman"/>
          <w:b/>
          <w:color w:val="000000"/>
          <w:kern w:val="28"/>
          <w:sz w:val="30"/>
          <w:szCs w:val="20"/>
          <w:lang w:val="en-US" w:eastAsia="en-US"/>
          <w14:ligatures w14:val="none"/>
        </w:rPr>
        <w:t>Supplemental Material</w:t>
      </w:r>
    </w:p>
    <w:p w14:paraId="3E19DF15" w14:textId="77777777" w:rsidR="00333102" w:rsidRPr="00333102" w:rsidRDefault="00333102" w:rsidP="00333102">
      <w:pPr>
        <w:spacing w:after="240" w:line="480" w:lineRule="auto"/>
        <w:outlineLvl w:val="0"/>
        <w:rPr>
          <w:rFonts w:eastAsia="Times New Roman" w:cs="Times New Roman"/>
          <w:color w:val="000000"/>
          <w:kern w:val="0"/>
          <w:szCs w:val="20"/>
          <w:lang w:val="en-US" w:eastAsia="en-US"/>
          <w14:ligatures w14:val="none"/>
        </w:rPr>
      </w:pPr>
      <w:r w:rsidRPr="00333102">
        <w:rPr>
          <w:rFonts w:eastAsia="Times New Roman" w:cs="Times New Roman"/>
          <w:b/>
          <w:color w:val="000000"/>
          <w:kern w:val="0"/>
          <w:szCs w:val="20"/>
          <w:lang w:val="en-US" w:eastAsia="en-US"/>
          <w14:ligatures w14:val="none"/>
        </w:rPr>
        <w:t xml:space="preserve">Supplementary Table 1 </w:t>
      </w:r>
      <w:r w:rsidRPr="00333102">
        <w:rPr>
          <w:rFonts w:eastAsia="Times New Roman" w:cs="Times New Roman"/>
          <w:color w:val="000000"/>
          <w:kern w:val="0"/>
          <w:szCs w:val="20"/>
          <w:lang w:val="en-US" w:eastAsia="en-US"/>
          <w14:ligatures w14:val="none"/>
        </w:rPr>
        <w:t>Eligibility Criteria</w:t>
      </w:r>
    </w:p>
    <w:tbl>
      <w:tblPr>
        <w:tblStyle w:val="TableGrid"/>
        <w:tblW w:w="9493" w:type="dxa"/>
        <w:tblLook w:val="04A0" w:firstRow="1" w:lastRow="0" w:firstColumn="1" w:lastColumn="0" w:noHBand="0" w:noVBand="1"/>
      </w:tblPr>
      <w:tblGrid>
        <w:gridCol w:w="9493"/>
      </w:tblGrid>
      <w:tr w:rsidR="00333102" w:rsidRPr="00333102" w14:paraId="0C906935" w14:textId="77777777" w:rsidTr="00333102">
        <w:trPr>
          <w:trHeight w:val="311"/>
        </w:trPr>
        <w:tc>
          <w:tcPr>
            <w:tcW w:w="9493" w:type="dxa"/>
            <w:shd w:val="clear" w:color="auto" w:fill="E7E6E6"/>
          </w:tcPr>
          <w:p w14:paraId="01900159" w14:textId="77777777" w:rsidR="00333102" w:rsidRPr="00333102" w:rsidRDefault="00333102" w:rsidP="00333102">
            <w:pPr>
              <w:spacing w:before="120" w:after="120" w:line="240" w:lineRule="auto"/>
              <w:jc w:val="center"/>
              <w:rPr>
                <w:b/>
                <w:bCs/>
                <w:color w:val="000000"/>
                <w:lang w:val="en-US" w:eastAsia="en-US"/>
              </w:rPr>
            </w:pPr>
            <w:r w:rsidRPr="00333102">
              <w:rPr>
                <w:b/>
                <w:bCs/>
                <w:color w:val="000000"/>
                <w:lang w:val="en-US" w:eastAsia="en-US"/>
              </w:rPr>
              <w:t>Eligibility Criteria</w:t>
            </w:r>
          </w:p>
        </w:tc>
      </w:tr>
      <w:tr w:rsidR="00333102" w:rsidRPr="00333102" w14:paraId="575A6067" w14:textId="77777777" w:rsidTr="006E6EFB">
        <w:tc>
          <w:tcPr>
            <w:tcW w:w="9493" w:type="dxa"/>
          </w:tcPr>
          <w:p w14:paraId="1B20E0BD" w14:textId="77777777" w:rsidR="00333102" w:rsidRPr="00333102" w:rsidRDefault="00333102" w:rsidP="00333102">
            <w:pPr>
              <w:spacing w:before="120" w:after="120" w:line="240" w:lineRule="auto"/>
              <w:rPr>
                <w:color w:val="000000"/>
                <w:lang w:val="en-US" w:eastAsia="en-US"/>
              </w:rPr>
            </w:pPr>
            <w:r w:rsidRPr="00333102">
              <w:rPr>
                <w:color w:val="000000"/>
                <w:lang w:val="en-US" w:eastAsia="en-US"/>
              </w:rPr>
              <w:t>Patients must be ≥18 years of age</w:t>
            </w:r>
          </w:p>
        </w:tc>
      </w:tr>
      <w:tr w:rsidR="00333102" w:rsidRPr="00333102" w14:paraId="1848F0AF" w14:textId="77777777" w:rsidTr="006E6EFB">
        <w:tc>
          <w:tcPr>
            <w:tcW w:w="9493" w:type="dxa"/>
          </w:tcPr>
          <w:p w14:paraId="41313848" w14:textId="77777777" w:rsidR="00333102" w:rsidRPr="00333102" w:rsidRDefault="00333102" w:rsidP="00333102">
            <w:pPr>
              <w:spacing w:before="120" w:after="120" w:line="240" w:lineRule="auto"/>
              <w:rPr>
                <w:color w:val="000000"/>
                <w:lang w:val="en-US" w:eastAsia="en-US"/>
              </w:rPr>
            </w:pPr>
            <w:r w:rsidRPr="00333102">
              <w:rPr>
                <w:color w:val="000000"/>
                <w:lang w:val="en-US" w:eastAsia="en-US"/>
              </w:rPr>
              <w:t>Written informed consent and written documentation, in accordance with the relevant country and local privacy requirements, had been obtained prior to any study procedures</w:t>
            </w:r>
          </w:p>
        </w:tc>
      </w:tr>
      <w:tr w:rsidR="00333102" w:rsidRPr="00333102" w14:paraId="3BE63599" w14:textId="77777777" w:rsidTr="006E6EFB">
        <w:tc>
          <w:tcPr>
            <w:tcW w:w="9493" w:type="dxa"/>
          </w:tcPr>
          <w:p w14:paraId="41462AD6" w14:textId="77777777" w:rsidR="00333102" w:rsidRPr="00333102" w:rsidRDefault="00333102" w:rsidP="00333102">
            <w:pPr>
              <w:spacing w:before="120" w:after="120" w:line="240" w:lineRule="auto"/>
              <w:rPr>
                <w:color w:val="000000"/>
                <w:lang w:val="en-US" w:eastAsia="en-US"/>
              </w:rPr>
            </w:pPr>
            <w:r w:rsidRPr="00333102">
              <w:rPr>
                <w:color w:val="000000"/>
                <w:lang w:val="en-US" w:eastAsia="en-US"/>
              </w:rPr>
              <w:t>Had used artificial tears for dry eyes within the past year</w:t>
            </w:r>
          </w:p>
        </w:tc>
      </w:tr>
      <w:tr w:rsidR="00333102" w:rsidRPr="00333102" w14:paraId="4FCE9A2A" w14:textId="77777777" w:rsidTr="006E6EFB">
        <w:tc>
          <w:tcPr>
            <w:tcW w:w="9493" w:type="dxa"/>
          </w:tcPr>
          <w:p w14:paraId="09A310F7" w14:textId="77777777" w:rsidR="00333102" w:rsidRPr="00333102" w:rsidRDefault="00333102" w:rsidP="00333102">
            <w:pPr>
              <w:spacing w:before="120" w:after="120" w:line="240" w:lineRule="auto"/>
              <w:rPr>
                <w:color w:val="000000"/>
                <w:lang w:val="en-US" w:eastAsia="en-US"/>
              </w:rPr>
            </w:pPr>
            <w:r w:rsidRPr="00333102">
              <w:rPr>
                <w:color w:val="000000"/>
                <w:lang w:val="en-US" w:eastAsia="en-US"/>
              </w:rPr>
              <w:t>Females of childbearing potential, with a negative pregnancy test result at screening; these patients must have been currently using a reliable form of birth control and have agreed to use a reliable form of birth control for the duration of the study</w:t>
            </w:r>
          </w:p>
        </w:tc>
      </w:tr>
      <w:tr w:rsidR="00333102" w:rsidRPr="00333102" w14:paraId="5DF07CD3" w14:textId="77777777" w:rsidTr="006E6EFB">
        <w:tc>
          <w:tcPr>
            <w:tcW w:w="9493" w:type="dxa"/>
          </w:tcPr>
          <w:p w14:paraId="43FD0D35" w14:textId="77777777" w:rsidR="00333102" w:rsidRPr="00333102" w:rsidRDefault="00333102" w:rsidP="00333102">
            <w:pPr>
              <w:spacing w:before="120" w:after="120" w:line="240" w:lineRule="auto"/>
              <w:rPr>
                <w:color w:val="000000"/>
                <w:lang w:val="en-US" w:eastAsia="en-US"/>
              </w:rPr>
            </w:pPr>
            <w:r w:rsidRPr="00333102">
              <w:rPr>
                <w:color w:val="000000"/>
                <w:lang w:val="en-US" w:eastAsia="en-US"/>
              </w:rPr>
              <w:t>OSDI score of ≥18 and ≤65 (based upon a 0 to 100 scale) at screening and baseline visits</w:t>
            </w:r>
          </w:p>
        </w:tc>
      </w:tr>
      <w:tr w:rsidR="00333102" w:rsidRPr="00333102" w14:paraId="666BDC52" w14:textId="77777777" w:rsidTr="006E6EFB">
        <w:tc>
          <w:tcPr>
            <w:tcW w:w="9493" w:type="dxa"/>
          </w:tcPr>
          <w:p w14:paraId="6DF18AEF" w14:textId="77777777" w:rsidR="00333102" w:rsidRPr="00333102" w:rsidRDefault="00333102" w:rsidP="00333102">
            <w:pPr>
              <w:spacing w:before="120" w:after="120" w:line="240" w:lineRule="auto"/>
              <w:rPr>
                <w:color w:val="000000"/>
                <w:lang w:val="en-US" w:eastAsia="en-US"/>
              </w:rPr>
            </w:pPr>
            <w:r w:rsidRPr="00333102">
              <w:rPr>
                <w:color w:val="000000"/>
                <w:lang w:val="en-US" w:eastAsia="en-US"/>
              </w:rPr>
              <w:t>Three consecutive Tear Break-Up Time tests ≤10 seconds in at least one eye at screening visit</w:t>
            </w:r>
          </w:p>
        </w:tc>
      </w:tr>
      <w:tr w:rsidR="00333102" w:rsidRPr="00333102" w14:paraId="62E4337F" w14:textId="77777777" w:rsidTr="006E6EFB">
        <w:tc>
          <w:tcPr>
            <w:tcW w:w="9493" w:type="dxa"/>
          </w:tcPr>
          <w:p w14:paraId="52F02C66" w14:textId="77777777" w:rsidR="00333102" w:rsidRPr="00333102" w:rsidRDefault="00333102" w:rsidP="00333102">
            <w:pPr>
              <w:spacing w:before="120" w:after="120" w:line="240" w:lineRule="auto"/>
              <w:rPr>
                <w:color w:val="000000"/>
                <w:lang w:val="en-US" w:eastAsia="en-US"/>
              </w:rPr>
            </w:pPr>
            <w:r w:rsidRPr="00333102">
              <w:rPr>
                <w:color w:val="000000"/>
                <w:lang w:val="en-US" w:eastAsia="en-US"/>
              </w:rPr>
              <w:t>Grade 1 to 4 (modified National Eye Institute Grid, score range = 0 to 5) staining in at least one area of the cornea five areas examined) or conjunctiva (six areas examined) that was related to dry eye in at least one eye at both at screening and baseline visits</w:t>
            </w:r>
          </w:p>
        </w:tc>
      </w:tr>
      <w:tr w:rsidR="00333102" w:rsidRPr="00333102" w14:paraId="613E9F9B" w14:textId="77777777" w:rsidTr="006E6EFB">
        <w:tc>
          <w:tcPr>
            <w:tcW w:w="9493" w:type="dxa"/>
          </w:tcPr>
          <w:p w14:paraId="6798854C" w14:textId="77777777" w:rsidR="00333102" w:rsidRPr="00333102" w:rsidRDefault="00333102" w:rsidP="00333102">
            <w:pPr>
              <w:spacing w:before="120" w:after="120" w:line="240" w:lineRule="auto"/>
              <w:rPr>
                <w:color w:val="000000"/>
                <w:lang w:val="en-US" w:eastAsia="en-US"/>
              </w:rPr>
            </w:pPr>
            <w:r w:rsidRPr="00333102">
              <w:rPr>
                <w:color w:val="000000"/>
                <w:lang w:val="en-US" w:eastAsia="en-US"/>
              </w:rPr>
              <w:t xml:space="preserve">Was able/agreed to continue to wear existing current spectacle correction during the study period </w:t>
            </w:r>
            <w:r w:rsidRPr="00333102">
              <w:rPr>
                <w:color w:val="000000"/>
                <w:lang w:val="en-US" w:eastAsia="en-US"/>
              </w:rPr>
              <w:br/>
              <w:t>(if applicable)</w:t>
            </w:r>
          </w:p>
        </w:tc>
      </w:tr>
      <w:tr w:rsidR="00333102" w:rsidRPr="00333102" w14:paraId="0AE70522" w14:textId="77777777" w:rsidTr="006E6EFB">
        <w:tc>
          <w:tcPr>
            <w:tcW w:w="9493" w:type="dxa"/>
          </w:tcPr>
          <w:p w14:paraId="3A7DE5D6" w14:textId="77777777" w:rsidR="00333102" w:rsidRPr="00333102" w:rsidRDefault="00333102" w:rsidP="00333102">
            <w:pPr>
              <w:spacing w:before="120" w:after="120" w:line="240" w:lineRule="auto"/>
              <w:rPr>
                <w:color w:val="000000"/>
                <w:lang w:val="en-US" w:eastAsia="en-US"/>
              </w:rPr>
            </w:pPr>
            <w:r w:rsidRPr="00333102">
              <w:rPr>
                <w:color w:val="000000"/>
                <w:lang w:val="en-US" w:eastAsia="en-US"/>
              </w:rPr>
              <w:t xml:space="preserve">Currently corrected distance visual acuity of at least 20/32 Snellen equivalent in each eye using the </w:t>
            </w:r>
            <w:r w:rsidRPr="00333102">
              <w:rPr>
                <w:color w:val="000000"/>
                <w:lang w:val="en-US" w:eastAsia="en-US"/>
              </w:rPr>
              <w:br/>
              <w:t xml:space="preserve">3-meter </w:t>
            </w:r>
            <w:proofErr w:type="spellStart"/>
            <w:r w:rsidRPr="00333102">
              <w:rPr>
                <w:color w:val="000000"/>
                <w:lang w:val="en-US" w:eastAsia="en-US"/>
              </w:rPr>
              <w:t>LogMar</w:t>
            </w:r>
            <w:proofErr w:type="spellEnd"/>
            <w:r w:rsidRPr="00333102">
              <w:rPr>
                <w:color w:val="000000"/>
                <w:lang w:val="en-US" w:eastAsia="en-US"/>
              </w:rPr>
              <w:t xml:space="preserve"> chart, with existing spectacle correction (if necessary) at screening visit</w:t>
            </w:r>
          </w:p>
        </w:tc>
      </w:tr>
      <w:tr w:rsidR="00333102" w:rsidRPr="00333102" w14:paraId="6D778715" w14:textId="77777777" w:rsidTr="006E6EFB">
        <w:tc>
          <w:tcPr>
            <w:tcW w:w="9493" w:type="dxa"/>
          </w:tcPr>
          <w:p w14:paraId="5BBC9A47" w14:textId="77777777" w:rsidR="00333102" w:rsidRPr="00333102" w:rsidRDefault="00333102" w:rsidP="00333102">
            <w:pPr>
              <w:spacing w:before="120" w:after="120" w:line="240" w:lineRule="auto"/>
              <w:rPr>
                <w:color w:val="000000"/>
                <w:lang w:val="en-US" w:eastAsia="en-US"/>
              </w:rPr>
            </w:pPr>
            <w:r w:rsidRPr="00333102">
              <w:rPr>
                <w:color w:val="000000"/>
                <w:lang w:val="en-US" w:eastAsia="en-US"/>
              </w:rPr>
              <w:t>If using any form of topical ophthalmic cyclosporine (i.e., RESTASIS</w:t>
            </w:r>
            <w:r w:rsidRPr="00333102">
              <w:rPr>
                <w:color w:val="000000"/>
                <w:vertAlign w:val="superscript"/>
                <w:lang w:val="en-US" w:eastAsia="en-US"/>
              </w:rPr>
              <w:t>®</w:t>
            </w:r>
            <w:r w:rsidRPr="00333102">
              <w:rPr>
                <w:color w:val="000000"/>
                <w:lang w:val="en-US" w:eastAsia="en-US"/>
              </w:rPr>
              <w:t xml:space="preserve">), </w:t>
            </w:r>
            <w:proofErr w:type="spellStart"/>
            <w:r w:rsidRPr="00333102">
              <w:rPr>
                <w:color w:val="000000"/>
                <w:lang w:val="en-US" w:eastAsia="en-US"/>
              </w:rPr>
              <w:t>lifitegrast</w:t>
            </w:r>
            <w:proofErr w:type="spellEnd"/>
            <w:r w:rsidRPr="00333102">
              <w:rPr>
                <w:color w:val="000000"/>
                <w:lang w:val="en-US" w:eastAsia="en-US"/>
              </w:rPr>
              <w:t xml:space="preserve"> 5% ophthalmic solution (Xiidra</w:t>
            </w:r>
            <w:r w:rsidRPr="00333102">
              <w:rPr>
                <w:color w:val="000000"/>
                <w:vertAlign w:val="superscript"/>
                <w:lang w:val="en-US" w:eastAsia="en-US"/>
              </w:rPr>
              <w:t>®</w:t>
            </w:r>
            <w:r w:rsidRPr="00333102">
              <w:rPr>
                <w:color w:val="000000"/>
                <w:lang w:val="en-US" w:eastAsia="en-US"/>
              </w:rPr>
              <w:t>), patients must be using the drops for ≥90 days prior to the screening visit and plan to continue without change for the duration of the study</w:t>
            </w:r>
          </w:p>
        </w:tc>
      </w:tr>
      <w:tr w:rsidR="00333102" w:rsidRPr="00333102" w14:paraId="3DFB44EC" w14:textId="77777777" w:rsidTr="006E6EFB">
        <w:tc>
          <w:tcPr>
            <w:tcW w:w="9493" w:type="dxa"/>
          </w:tcPr>
          <w:p w14:paraId="1D86230C" w14:textId="77777777" w:rsidR="00333102" w:rsidRPr="00333102" w:rsidRDefault="00333102" w:rsidP="00333102">
            <w:pPr>
              <w:spacing w:before="120" w:after="120" w:line="240" w:lineRule="auto"/>
              <w:rPr>
                <w:color w:val="000000"/>
                <w:lang w:val="en-US" w:eastAsia="en-US"/>
              </w:rPr>
            </w:pPr>
            <w:r w:rsidRPr="00333102">
              <w:rPr>
                <w:color w:val="000000"/>
                <w:lang w:val="en-US" w:eastAsia="en-US"/>
              </w:rPr>
              <w:t>IOP ≤21 mm Hg in both eyes at screening visit for patients with primary open-angle glaucoma or OHT. Patients with primary open-angle glaucoma or OHT were included provided they were on stable monotherapy bilaterally with IOP controlled (≤21 mm Hg) in both eyes. Any topical IOP-lowering medications must have had a start date of ≥3 months prior to screening visit date and dosage that was not expected to change during the study</w:t>
            </w:r>
          </w:p>
        </w:tc>
      </w:tr>
      <w:tr w:rsidR="00333102" w:rsidRPr="00333102" w14:paraId="0AEE5C58" w14:textId="77777777" w:rsidTr="006E6EFB">
        <w:tc>
          <w:tcPr>
            <w:tcW w:w="9493" w:type="dxa"/>
          </w:tcPr>
          <w:p w14:paraId="6B8FE919" w14:textId="77777777" w:rsidR="00333102" w:rsidRPr="00333102" w:rsidRDefault="00333102" w:rsidP="00333102">
            <w:pPr>
              <w:spacing w:before="120" w:after="120" w:line="240" w:lineRule="auto"/>
              <w:rPr>
                <w:color w:val="000000"/>
                <w:lang w:val="en-US" w:eastAsia="en-US"/>
              </w:rPr>
            </w:pPr>
            <w:r w:rsidRPr="00333102">
              <w:rPr>
                <w:color w:val="000000"/>
                <w:lang w:val="en-US" w:eastAsia="en-US"/>
              </w:rPr>
              <w:t>Was able to follow study instructions and was likely to complete all required visits</w:t>
            </w:r>
          </w:p>
        </w:tc>
      </w:tr>
    </w:tbl>
    <w:p w14:paraId="755963F9" w14:textId="77777777" w:rsidR="00333102" w:rsidRPr="00333102" w:rsidRDefault="00333102" w:rsidP="00333102">
      <w:pPr>
        <w:tabs>
          <w:tab w:val="center" w:pos="4507"/>
          <w:tab w:val="right" w:pos="9029"/>
        </w:tabs>
        <w:spacing w:after="120" w:line="240" w:lineRule="auto"/>
        <w:rPr>
          <w:rFonts w:eastAsia="Times New Roman" w:cs="Times New Roman"/>
          <w:color w:val="000000"/>
          <w:kern w:val="0"/>
          <w:sz w:val="18"/>
          <w:szCs w:val="20"/>
          <w:lang w:val="en-US" w:eastAsia="en-US"/>
          <w14:ligatures w14:val="none"/>
        </w:rPr>
      </w:pPr>
      <w:r w:rsidRPr="00333102">
        <w:rPr>
          <w:rFonts w:eastAsia="Times New Roman" w:cs="Times New Roman"/>
          <w:color w:val="000000"/>
          <w:kern w:val="0"/>
          <w:sz w:val="18"/>
          <w:szCs w:val="20"/>
          <w:lang w:val="en-US" w:eastAsia="en-US"/>
          <w14:ligatures w14:val="none"/>
        </w:rPr>
        <w:t>IOP, intraocular pressure; OHT, ocular hypertension.</w:t>
      </w:r>
    </w:p>
    <w:p w14:paraId="536F0747" w14:textId="77777777" w:rsidR="007558F7" w:rsidRDefault="007558F7"/>
    <w:sectPr w:rsidR="007558F7" w:rsidSect="00333102">
      <w:headerReference w:type="default" r:id="rId10"/>
      <w:footerReference w:type="even" r:id="rId11"/>
      <w:footerReference w:type="default" r:id="rId12"/>
      <w:footerReference w:type="first" r:id="rId13"/>
      <w:pgSz w:w="11906" w:h="16838" w:code="9"/>
      <w:pgMar w:top="1699" w:right="1699" w:bottom="1699" w:left="1699" w:header="706" w:footer="70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C8376" w14:textId="77777777" w:rsidR="00333102" w:rsidRDefault="00333102" w:rsidP="00333102">
      <w:pPr>
        <w:spacing w:after="0" w:line="240" w:lineRule="auto"/>
      </w:pPr>
      <w:r>
        <w:separator/>
      </w:r>
    </w:p>
  </w:endnote>
  <w:endnote w:type="continuationSeparator" w:id="0">
    <w:p w14:paraId="201CFD54" w14:textId="77777777" w:rsidR="00333102" w:rsidRDefault="00333102" w:rsidP="0033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3C7DC" w14:textId="77777777" w:rsidR="00333102" w:rsidRDefault="00333102">
    <w:pPr>
      <w:pStyle w:val="Footer"/>
    </w:pPr>
    <w:r>
      <w:rPr>
        <w:noProof/>
      </w:rPr>
      <mc:AlternateContent>
        <mc:Choice Requires="wps">
          <w:drawing>
            <wp:anchor distT="0" distB="0" distL="0" distR="0" simplePos="0" relativeHeight="251660288" behindDoc="0" locked="0" layoutInCell="1" allowOverlap="1" wp14:anchorId="42B98B9F" wp14:editId="632E3704">
              <wp:simplePos x="635" y="635"/>
              <wp:positionH relativeFrom="page">
                <wp:align>left</wp:align>
              </wp:positionH>
              <wp:positionV relativeFrom="page">
                <wp:align>bottom</wp:align>
              </wp:positionV>
              <wp:extent cx="2085975" cy="459105"/>
              <wp:effectExtent l="0" t="0" r="9525" b="0"/>
              <wp:wrapNone/>
              <wp:docPr id="61923194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015D36A8" w14:textId="77777777" w:rsidR="00333102" w:rsidRPr="00A956D0" w:rsidRDefault="00333102" w:rsidP="00A956D0">
                          <w:pPr>
                            <w:spacing w:after="0"/>
                            <w:rPr>
                              <w:rFonts w:ascii="Rockwell" w:eastAsia="Rockwell" w:hAnsi="Rockwell" w:cs="Rockwell"/>
                              <w:noProof/>
                              <w:color w:val="0078D7"/>
                              <w:sz w:val="18"/>
                              <w:szCs w:val="18"/>
                            </w:rPr>
                          </w:pPr>
                          <w:r w:rsidRPr="00A956D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B98B9F"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6.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" filled="f" stroked="f">
              <v:textbox style="mso-fit-shape-to-text:t" inset="20pt,0,0,15pt">
                <w:txbxContent>
                  <w:p w14:paraId="015D36A8" w14:textId="77777777" w:rsidR="00333102" w:rsidRPr="00A956D0" w:rsidRDefault="00333102" w:rsidP="00A956D0">
                    <w:pPr>
                      <w:spacing w:after="0"/>
                      <w:rPr>
                        <w:rFonts w:ascii="Rockwell" w:eastAsia="Rockwell" w:hAnsi="Rockwell" w:cs="Rockwell"/>
                        <w:noProof/>
                        <w:color w:val="0078D7"/>
                        <w:sz w:val="18"/>
                        <w:szCs w:val="18"/>
                      </w:rPr>
                    </w:pPr>
                    <w:r w:rsidRPr="00A956D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F6E8E" w14:textId="77777777" w:rsidR="00333102" w:rsidRDefault="00333102">
    <w:pPr>
      <w:pStyle w:val="Footer"/>
      <w:pBdr>
        <w:top w:val="single" w:sz="4" w:space="1" w:color="auto"/>
      </w:pBdr>
    </w:pPr>
    <w:r>
      <w:rPr>
        <w:noProof/>
      </w:rPr>
      <mc:AlternateContent>
        <mc:Choice Requires="wps">
          <w:drawing>
            <wp:anchor distT="0" distB="0" distL="0" distR="0" simplePos="0" relativeHeight="251661312" behindDoc="0" locked="0" layoutInCell="1" allowOverlap="1" wp14:anchorId="7F016FA3" wp14:editId="7524C296">
              <wp:simplePos x="1076325" y="9944100"/>
              <wp:positionH relativeFrom="page">
                <wp:align>left</wp:align>
              </wp:positionH>
              <wp:positionV relativeFrom="page">
                <wp:align>bottom</wp:align>
              </wp:positionV>
              <wp:extent cx="2085975" cy="459105"/>
              <wp:effectExtent l="0" t="0" r="9525" b="0"/>
              <wp:wrapNone/>
              <wp:docPr id="58153609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70066D6C" w14:textId="77777777" w:rsidR="00333102" w:rsidRPr="00A956D0" w:rsidRDefault="00333102" w:rsidP="00A956D0">
                          <w:pPr>
                            <w:spacing w:after="0"/>
                            <w:rPr>
                              <w:rFonts w:ascii="Rockwell" w:eastAsia="Rockwell" w:hAnsi="Rockwell" w:cs="Rockwell"/>
                              <w:noProof/>
                              <w:color w:val="0078D7"/>
                              <w:sz w:val="18"/>
                              <w:szCs w:val="18"/>
                            </w:rPr>
                          </w:pPr>
                          <w:r w:rsidRPr="00A956D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016FA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36.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" filled="f" stroked="f">
              <v:textbox style="mso-fit-shape-to-text:t" inset="20pt,0,0,15pt">
                <w:txbxContent>
                  <w:p w14:paraId="70066D6C" w14:textId="77777777" w:rsidR="00333102" w:rsidRPr="00A956D0" w:rsidRDefault="00333102" w:rsidP="00A956D0">
                    <w:pPr>
                      <w:spacing w:after="0"/>
                      <w:rPr>
                        <w:rFonts w:ascii="Rockwell" w:eastAsia="Rockwell" w:hAnsi="Rockwell" w:cs="Rockwell"/>
                        <w:noProof/>
                        <w:color w:val="0078D7"/>
                        <w:sz w:val="18"/>
                        <w:szCs w:val="18"/>
                      </w:rPr>
                    </w:pPr>
                    <w:r w:rsidRPr="00A956D0">
                      <w:rPr>
                        <w:rFonts w:ascii="Rockwell" w:eastAsia="Rockwell" w:hAnsi="Rockwell" w:cs="Rockwell"/>
                        <w:noProof/>
                        <w:color w:val="0078D7"/>
                        <w:sz w:val="18"/>
                        <w:szCs w:val="18"/>
                      </w:rPr>
                      <w:t>Information Classification: General</w:t>
                    </w:r>
                  </w:p>
                </w:txbxContent>
              </v:textbox>
              <w10:wrap anchorx="page" anchory="page"/>
            </v:shape>
          </w:pict>
        </mc:Fallback>
      </mc:AlternateContent>
    </w:r>
    <w:r>
      <w:t>Prime</w:t>
    </w:r>
    <w:r>
      <w:tab/>
    </w:r>
    <w:r>
      <w:tab/>
    </w:r>
    <w:r>
      <w:rPr>
        <w:snapToGrid w:val="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EF210" w14:textId="77777777" w:rsidR="00333102" w:rsidRDefault="00333102">
    <w:pPr>
      <w:pStyle w:val="Footer"/>
    </w:pPr>
    <w:r>
      <w:rPr>
        <w:noProof/>
      </w:rPr>
      <mc:AlternateContent>
        <mc:Choice Requires="wps">
          <w:drawing>
            <wp:anchor distT="0" distB="0" distL="0" distR="0" simplePos="0" relativeHeight="251659264" behindDoc="0" locked="0" layoutInCell="1" allowOverlap="1" wp14:anchorId="1E49F6CB" wp14:editId="168D9ECB">
              <wp:simplePos x="635" y="635"/>
              <wp:positionH relativeFrom="page">
                <wp:align>left</wp:align>
              </wp:positionH>
              <wp:positionV relativeFrom="page">
                <wp:align>bottom</wp:align>
              </wp:positionV>
              <wp:extent cx="2085975" cy="459105"/>
              <wp:effectExtent l="0" t="0" r="9525" b="0"/>
              <wp:wrapNone/>
              <wp:docPr id="155303689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41A0B063" w14:textId="77777777" w:rsidR="00333102" w:rsidRPr="00A956D0" w:rsidRDefault="00333102" w:rsidP="00A956D0">
                          <w:pPr>
                            <w:spacing w:after="0"/>
                            <w:rPr>
                              <w:rFonts w:ascii="Rockwell" w:eastAsia="Rockwell" w:hAnsi="Rockwell" w:cs="Rockwell"/>
                              <w:noProof/>
                              <w:color w:val="0078D7"/>
                              <w:sz w:val="18"/>
                              <w:szCs w:val="18"/>
                            </w:rPr>
                          </w:pPr>
                          <w:r w:rsidRPr="00A956D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49F6C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36.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" filled="f" stroked="f">
              <v:textbox style="mso-fit-shape-to-text:t" inset="20pt,0,0,15pt">
                <w:txbxContent>
                  <w:p w14:paraId="41A0B063" w14:textId="77777777" w:rsidR="00333102" w:rsidRPr="00A956D0" w:rsidRDefault="00333102" w:rsidP="00A956D0">
                    <w:pPr>
                      <w:spacing w:after="0"/>
                      <w:rPr>
                        <w:rFonts w:ascii="Rockwell" w:eastAsia="Rockwell" w:hAnsi="Rockwell" w:cs="Rockwell"/>
                        <w:noProof/>
                        <w:color w:val="0078D7"/>
                        <w:sz w:val="18"/>
                        <w:szCs w:val="18"/>
                      </w:rPr>
                    </w:pPr>
                    <w:r w:rsidRPr="00A956D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8DBA3" w14:textId="77777777" w:rsidR="00333102" w:rsidRDefault="00333102" w:rsidP="00333102">
      <w:pPr>
        <w:spacing w:after="0" w:line="240" w:lineRule="auto"/>
      </w:pPr>
      <w:r>
        <w:separator/>
      </w:r>
    </w:p>
  </w:footnote>
  <w:footnote w:type="continuationSeparator" w:id="0">
    <w:p w14:paraId="62F6606F" w14:textId="77777777" w:rsidR="00333102" w:rsidRDefault="00333102" w:rsidP="00333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B9769" w14:textId="23F09A4F" w:rsidR="00333102" w:rsidRDefault="00333102" w:rsidP="00333102">
    <w:pPr>
      <w:pStyle w:val="Header"/>
      <w:pBdr>
        <w:bottom w:val="single" w:sz="4" w:space="0" w:color="auto"/>
      </w:pBdr>
      <w:rPr>
        <w:sz w:val="10"/>
      </w:rPr>
    </w:pPr>
    <w:r>
      <w:tab/>
    </w:r>
    <w:r>
      <w:tab/>
      <w:t>ABBV-444 Patient Experience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71566A"/>
    <w:multiLevelType w:val="hybridMultilevel"/>
    <w:tmpl w:val="B882E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453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02"/>
    <w:rsid w:val="00004EFB"/>
    <w:rsid w:val="00081E53"/>
    <w:rsid w:val="00210CEC"/>
    <w:rsid w:val="00333102"/>
    <w:rsid w:val="003E7D7C"/>
    <w:rsid w:val="00414E57"/>
    <w:rsid w:val="00490FE9"/>
    <w:rsid w:val="005400B8"/>
    <w:rsid w:val="006D734C"/>
    <w:rsid w:val="007558F7"/>
    <w:rsid w:val="009A1C51"/>
    <w:rsid w:val="00B52347"/>
    <w:rsid w:val="00BC2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9925"/>
  <w15:chartTrackingRefBased/>
  <w15:docId w15:val="{4067A850-5A95-4613-A7AD-9347B0A9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102"/>
  </w:style>
  <w:style w:type="paragraph" w:styleId="Heading1">
    <w:name w:val="heading 1"/>
    <w:basedOn w:val="Normal"/>
    <w:next w:val="Normal"/>
    <w:link w:val="Heading1Char"/>
    <w:uiPriority w:val="9"/>
    <w:qFormat/>
    <w:rsid w:val="00333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1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1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9A1C51"/>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3331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310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310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310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A1C51"/>
    <w:rPr>
      <w:rFonts w:asciiTheme="majorHAnsi" w:eastAsiaTheme="majorEastAsia" w:hAnsiTheme="majorHAnsi" w:cstheme="majorBidi"/>
      <w:color w:val="0F4761" w:themeColor="accent1" w:themeShade="BF"/>
    </w:rPr>
  </w:style>
  <w:style w:type="character" w:customStyle="1" w:styleId="Heading1Char">
    <w:name w:val="Heading 1 Char"/>
    <w:basedOn w:val="DefaultParagraphFont"/>
    <w:link w:val="Heading1"/>
    <w:uiPriority w:val="9"/>
    <w:rsid w:val="00333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1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102"/>
    <w:rPr>
      <w:rFonts w:asciiTheme="minorHAnsi" w:eastAsiaTheme="majorEastAsia" w:hAnsiTheme="minorHAnsi" w:cstheme="majorBidi"/>
      <w:i/>
      <w:iCs/>
      <w:color w:val="0F4761" w:themeColor="accent1" w:themeShade="BF"/>
    </w:rPr>
  </w:style>
  <w:style w:type="character" w:customStyle="1" w:styleId="Heading6Char">
    <w:name w:val="Heading 6 Char"/>
    <w:basedOn w:val="DefaultParagraphFont"/>
    <w:link w:val="Heading6"/>
    <w:uiPriority w:val="9"/>
    <w:semiHidden/>
    <w:rsid w:val="003331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31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31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31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3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1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1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3102"/>
    <w:pPr>
      <w:spacing w:before="160"/>
      <w:jc w:val="center"/>
    </w:pPr>
    <w:rPr>
      <w:i/>
      <w:iCs/>
      <w:color w:val="404040" w:themeColor="text1" w:themeTint="BF"/>
    </w:rPr>
  </w:style>
  <w:style w:type="character" w:customStyle="1" w:styleId="QuoteChar">
    <w:name w:val="Quote Char"/>
    <w:basedOn w:val="DefaultParagraphFont"/>
    <w:link w:val="Quote"/>
    <w:uiPriority w:val="29"/>
    <w:rsid w:val="00333102"/>
    <w:rPr>
      <w:i/>
      <w:iCs/>
      <w:color w:val="404040" w:themeColor="text1" w:themeTint="BF"/>
    </w:rPr>
  </w:style>
  <w:style w:type="paragraph" w:styleId="ListParagraph">
    <w:name w:val="List Paragraph"/>
    <w:basedOn w:val="Normal"/>
    <w:uiPriority w:val="34"/>
    <w:qFormat/>
    <w:rsid w:val="00333102"/>
    <w:pPr>
      <w:ind w:left="720"/>
      <w:contextualSpacing/>
    </w:pPr>
  </w:style>
  <w:style w:type="character" w:styleId="IntenseEmphasis">
    <w:name w:val="Intense Emphasis"/>
    <w:basedOn w:val="DefaultParagraphFont"/>
    <w:uiPriority w:val="21"/>
    <w:qFormat/>
    <w:rsid w:val="00333102"/>
    <w:rPr>
      <w:i/>
      <w:iCs/>
      <w:color w:val="0F4761" w:themeColor="accent1" w:themeShade="BF"/>
    </w:rPr>
  </w:style>
  <w:style w:type="paragraph" w:styleId="IntenseQuote">
    <w:name w:val="Intense Quote"/>
    <w:basedOn w:val="Normal"/>
    <w:next w:val="Normal"/>
    <w:link w:val="IntenseQuoteChar"/>
    <w:uiPriority w:val="30"/>
    <w:qFormat/>
    <w:rsid w:val="00333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102"/>
    <w:rPr>
      <w:i/>
      <w:iCs/>
      <w:color w:val="0F4761" w:themeColor="accent1" w:themeShade="BF"/>
    </w:rPr>
  </w:style>
  <w:style w:type="character" w:styleId="IntenseReference">
    <w:name w:val="Intense Reference"/>
    <w:basedOn w:val="DefaultParagraphFont"/>
    <w:uiPriority w:val="32"/>
    <w:qFormat/>
    <w:rsid w:val="00333102"/>
    <w:rPr>
      <w:b/>
      <w:bCs/>
      <w:smallCaps/>
      <w:color w:val="0F4761" w:themeColor="accent1" w:themeShade="BF"/>
      <w:spacing w:val="5"/>
    </w:rPr>
  </w:style>
  <w:style w:type="paragraph" w:styleId="Header">
    <w:name w:val="header"/>
    <w:basedOn w:val="Normal"/>
    <w:link w:val="HeaderChar"/>
    <w:uiPriority w:val="99"/>
    <w:unhideWhenUsed/>
    <w:rsid w:val="00333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102"/>
  </w:style>
  <w:style w:type="paragraph" w:styleId="Footer">
    <w:name w:val="footer"/>
    <w:basedOn w:val="Normal"/>
    <w:link w:val="FooterChar"/>
    <w:uiPriority w:val="99"/>
    <w:semiHidden/>
    <w:unhideWhenUsed/>
    <w:rsid w:val="0033310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33102"/>
  </w:style>
  <w:style w:type="character" w:styleId="PageNumber">
    <w:name w:val="page number"/>
    <w:rsid w:val="00333102"/>
    <w:rPr>
      <w:rFonts w:ascii="Arial" w:hAnsi="Arial"/>
      <w:color w:val="auto"/>
      <w:sz w:val="18"/>
    </w:rPr>
  </w:style>
  <w:style w:type="table" w:styleId="TableGrid">
    <w:name w:val="Table Grid"/>
    <w:basedOn w:val="TableNormal"/>
    <w:rsid w:val="00333102"/>
    <w:pPr>
      <w:spacing w:after="240" w:line="48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33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bf5cc5-bd82-41ef-9466-5255cff72f9b">
      <Terms xmlns="http://schemas.microsoft.com/office/infopath/2007/PartnerControls"/>
    </lcf76f155ced4ddcb4097134ff3c332f>
    <TaxCatchAll xmlns="48f8c7f1-0b02-4bda-a82c-bf4304be03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FB5CA9E060F84BBBC44CEBA499380D" ma:contentTypeVersion="14" ma:contentTypeDescription="Create a new document." ma:contentTypeScope="" ma:versionID="ff3b0bc76b716b38a5b38a0ad082b812">
  <xsd:schema xmlns:xsd="http://www.w3.org/2001/XMLSchema" xmlns:xs="http://www.w3.org/2001/XMLSchema" xmlns:p="http://schemas.microsoft.com/office/2006/metadata/properties" xmlns:ns2="54bf5cc5-bd82-41ef-9466-5255cff72f9b" xmlns:ns3="48f8c7f1-0b02-4bda-a82c-bf4304be0302" targetNamespace="http://schemas.microsoft.com/office/2006/metadata/properties" ma:root="true" ma:fieldsID="e618f1bdd8d797eb49eb37fd0af0a45f" ns2:_="" ns3:_="">
    <xsd:import namespace="54bf5cc5-bd82-41ef-9466-5255cff72f9b"/>
    <xsd:import namespace="48f8c7f1-0b02-4bda-a82c-bf4304be03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f5cc5-bd82-41ef-9466-5255cff72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078bdb-18a8-4b38-96d3-955d15450c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8c7f1-0b02-4bda-a82c-bf4304be03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52937d6-7a6d-4d8e-be5b-a89865ffe961}" ma:internalName="TaxCatchAll" ma:showField="CatchAllData" ma:web="48f8c7f1-0b02-4bda-a82c-bf4304be0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2752E-3781-4B4F-936F-2663B785EA98}">
  <ds:schemaRefs>
    <ds:schemaRef ds:uri="http://schemas.microsoft.com/office/2006/metadata/properties"/>
    <ds:schemaRef ds:uri="http://schemas.microsoft.com/office/infopath/2007/PartnerControls"/>
    <ds:schemaRef ds:uri="54bf5cc5-bd82-41ef-9466-5255cff72f9b"/>
    <ds:schemaRef ds:uri="48f8c7f1-0b02-4bda-a82c-bf4304be0302"/>
  </ds:schemaRefs>
</ds:datastoreItem>
</file>

<file path=customXml/itemProps2.xml><?xml version="1.0" encoding="utf-8"?>
<ds:datastoreItem xmlns:ds="http://schemas.openxmlformats.org/officeDocument/2006/customXml" ds:itemID="{8B78C772-BA1B-4192-91E4-57D9E83B4EA4}">
  <ds:schemaRefs>
    <ds:schemaRef ds:uri="http://schemas.microsoft.com/sharepoint/v3/contenttype/forms"/>
  </ds:schemaRefs>
</ds:datastoreItem>
</file>

<file path=customXml/itemProps3.xml><?xml version="1.0" encoding="utf-8"?>
<ds:datastoreItem xmlns:ds="http://schemas.openxmlformats.org/officeDocument/2006/customXml" ds:itemID="{C21070B2-0F4D-497D-A2CE-0EC3C6131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f5cc5-bd82-41ef-9466-5255cff72f9b"/>
    <ds:schemaRef ds:uri="48f8c7f1-0b02-4bda-a82c-bf4304be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Writer</dc:creator>
  <cp:keywords/>
  <dc:description/>
  <cp:lastModifiedBy>Writer</cp:lastModifiedBy>
  <cp:revision>3</cp:revision>
  <dcterms:created xsi:type="dcterms:W3CDTF">2025-01-08T15:32:00Z</dcterms:created>
  <dcterms:modified xsi:type="dcterms:W3CDTF">2025-01-08T15:32:00Z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0x01010025FB5CA9E060F84BBBC44CEBA499380D</vt:lpwstr>
  </property>
  <property fmtid="{D5CDD505-2E9C-101B-9397-08002B2CF9AE}" pid="3" name="MediaServiceImageTags">
    <vt:lpwstr/>
  </property>
</Properties>
</file>