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A2147" w14:textId="77777777" w:rsidR="005F0A78" w:rsidRPr="000226DB" w:rsidRDefault="005F0A78" w:rsidP="005F0A78">
      <w:pPr>
        <w:rPr>
          <w:rFonts w:ascii="Arial" w:hAnsi="Arial" w:cs="Arial"/>
          <w:b/>
          <w:bCs/>
          <w:color w:val="000000"/>
        </w:rPr>
      </w:pPr>
      <w:r w:rsidRPr="000226DB">
        <w:rPr>
          <w:rFonts w:ascii="Arial" w:hAnsi="Arial" w:cs="Arial" w:hint="eastAsia"/>
          <w:b/>
          <w:bCs/>
          <w:color w:val="000000"/>
        </w:rPr>
        <w:t xml:space="preserve">Supplementary </w:t>
      </w:r>
      <w:r w:rsidRPr="000226DB">
        <w:rPr>
          <w:rFonts w:ascii="Arial" w:hAnsi="Arial" w:cs="Arial"/>
          <w:b/>
          <w:bCs/>
          <w:color w:val="000000"/>
        </w:rPr>
        <w:t>Table 1.</w:t>
      </w:r>
      <w:r w:rsidRPr="000226DB">
        <w:rPr>
          <w:rFonts w:ascii="Arial" w:hAnsi="Arial" w:cs="Arial"/>
          <w:color w:val="000000"/>
        </w:rPr>
        <w:t xml:space="preserve"> Roughness values and tooth structure loss for treated acid-etched dentin</w:t>
      </w:r>
    </w:p>
    <w:tbl>
      <w:tblPr>
        <w:tblW w:w="908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4"/>
        <w:gridCol w:w="1742"/>
        <w:gridCol w:w="1743"/>
        <w:gridCol w:w="1742"/>
        <w:gridCol w:w="1866"/>
        <w:gridCol w:w="1619"/>
      </w:tblGrid>
      <w:tr w:rsidR="005F0A78" w:rsidRPr="000226DB" w14:paraId="527557C6" w14:textId="77777777" w:rsidTr="00DB5CB5">
        <w:trPr>
          <w:trHeight w:val="337"/>
        </w:trPr>
        <w:tc>
          <w:tcPr>
            <w:tcW w:w="3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6653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712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16D92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Roughness values and tooth structure loss (TSL) for the erosion induced dentin</w:t>
            </w:r>
          </w:p>
        </w:tc>
      </w:tr>
      <w:tr w:rsidR="005F0A78" w:rsidRPr="000226DB" w14:paraId="11C2753D" w14:textId="77777777" w:rsidTr="00DB5CB5">
        <w:trPr>
          <w:trHeight w:val="337"/>
        </w:trPr>
        <w:tc>
          <w:tcPr>
            <w:tcW w:w="3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529AF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D07DA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Group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2F19C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Ra (nm)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BEF74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Rq (nm)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DD955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Rmax (nm)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76173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TSL (nm)</w:t>
            </w:r>
          </w:p>
        </w:tc>
      </w:tr>
      <w:tr w:rsidR="005F0A78" w:rsidRPr="000226DB" w14:paraId="580AD946" w14:textId="77777777" w:rsidTr="00DB5CB5">
        <w:trPr>
          <w:trHeight w:val="337"/>
        </w:trPr>
        <w:tc>
          <w:tcPr>
            <w:tcW w:w="3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4D65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7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0A48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Deionized water</w:t>
            </w:r>
          </w:p>
        </w:tc>
        <w:tc>
          <w:tcPr>
            <w:tcW w:w="174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7041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486.56 ± 228.93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5072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611.76 ± 293.86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8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EF4A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4450.06 ± 2392.36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61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EDD4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267.92 ± 51.27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5F0A78" w:rsidRPr="000226DB" w14:paraId="25BE2B82" w14:textId="77777777" w:rsidTr="009E792B">
        <w:trPr>
          <w:trHeight w:val="337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24A1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F1ED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Ethanol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0F33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446.06 ± 78.76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0C57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590.87 ± 96.08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4643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6037.91 ± 1540.05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abc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5E52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263.38 ± 57.92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5F0A78" w:rsidRPr="000226DB" w14:paraId="66275B86" w14:textId="77777777" w:rsidTr="009E792B">
        <w:trPr>
          <w:trHeight w:val="337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EB27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F13C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FS-50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823B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391.03 ± 38.27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FFCE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517.27 ± 58.16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4AAB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4625.38 ± 813.78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4AE1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241.87 ± 65.46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</w:tr>
      <w:tr w:rsidR="005F0A78" w:rsidRPr="000226DB" w14:paraId="472F803B" w14:textId="77777777" w:rsidTr="009E792B">
        <w:trPr>
          <w:trHeight w:val="337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0FF4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C92E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FS-100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8C67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396.03 ± 36.40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2914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540.14 ± 55.75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C00E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4711.00 ± 515.63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cd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A01E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222.24 ± 49.90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</w:tr>
      <w:tr w:rsidR="005F0A78" w:rsidRPr="000226DB" w14:paraId="3AFD5E43" w14:textId="77777777" w:rsidTr="009E792B">
        <w:trPr>
          <w:trHeight w:val="337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2F67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3F56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FS-200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9391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530.15 ± 150.16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0CE7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688.69 ± 199.42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AAB1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6137.73 ± 2019.67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5206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158.68 ± 54.79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c</w:t>
            </w:r>
          </w:p>
        </w:tc>
      </w:tr>
      <w:tr w:rsidR="005F0A78" w:rsidRPr="000226DB" w14:paraId="02118FBA" w14:textId="77777777" w:rsidTr="00DB5CB5">
        <w:trPr>
          <w:trHeight w:val="337"/>
        </w:trPr>
        <w:tc>
          <w:tcPr>
            <w:tcW w:w="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FF04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0BA7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FX-50</w:t>
            </w: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DF49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478.11 ± 104.63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B049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615.81 ± 121.54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C646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4939.36 ± 726.13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bcd</w:t>
            </w: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3888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265.87 ± 54.24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</w:tr>
      <w:tr w:rsidR="005F0A78" w:rsidRPr="000226DB" w14:paraId="59F410D6" w14:textId="77777777" w:rsidTr="009E792B">
        <w:trPr>
          <w:trHeight w:val="337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8FA2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3B7B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FX-100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B161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430.33 ± 42.00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ABF5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579.15 ± 39.79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A80D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5397.94 ± 462.98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abcd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D097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231.84 ± 56.88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ab</w:t>
            </w:r>
          </w:p>
        </w:tc>
      </w:tr>
      <w:tr w:rsidR="005F0A78" w:rsidRPr="000226DB" w14:paraId="64CB8DF3" w14:textId="77777777" w:rsidTr="00DB5CB5">
        <w:trPr>
          <w:trHeight w:val="337"/>
        </w:trPr>
        <w:tc>
          <w:tcPr>
            <w:tcW w:w="3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6D5BC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247AA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FX-200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431B4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559.13 ± 92.51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3BB47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724.34 ± 121.67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47A6C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6330.67 ± 1255.95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93CBA" w14:textId="77777777" w:rsidR="005F0A78" w:rsidRPr="000226DB" w:rsidRDefault="005F0A78" w:rsidP="009E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</w:rPr>
              <w:t>196.43 ± 60.71</w:t>
            </w:r>
            <w:r w:rsidRPr="000226DB">
              <w:rPr>
                <w:rFonts w:ascii="Arial" w:eastAsia="Malgun Gothic" w:hAnsi="Arial" w:cs="Arial"/>
                <w:color w:val="000000"/>
                <w:kern w:val="0"/>
                <w:sz w:val="16"/>
                <w:szCs w:val="16"/>
                <w:vertAlign w:val="superscript"/>
              </w:rPr>
              <w:t>bc</w:t>
            </w:r>
          </w:p>
        </w:tc>
      </w:tr>
    </w:tbl>
    <w:p w14:paraId="70119012" w14:textId="3E30E134" w:rsidR="005F0A78" w:rsidRPr="000226DB" w:rsidRDefault="00181704" w:rsidP="005F0A78">
      <w:pPr>
        <w:rPr>
          <w:rFonts w:ascii="Arial" w:hAnsi="Arial" w:cs="Arial"/>
          <w:color w:val="000000"/>
        </w:rPr>
      </w:pPr>
      <w:bookmarkStart w:id="0" w:name="_Hlk158973377"/>
      <w:r w:rsidRPr="000226DB">
        <w:rPr>
          <w:rFonts w:ascii="Arial" w:hAnsi="Arial" w:cs="Arial" w:hint="eastAsia"/>
          <w:color w:val="000000"/>
          <w:vertAlign w:val="superscript"/>
        </w:rPr>
        <w:t>a,b,c,d</w:t>
      </w:r>
      <w:r w:rsidRPr="000226DB">
        <w:rPr>
          <w:rFonts w:ascii="Arial" w:hAnsi="Arial" w:cs="Arial" w:hint="eastAsia"/>
          <w:color w:val="000000"/>
        </w:rPr>
        <w:t xml:space="preserve"> </w:t>
      </w:r>
      <w:r w:rsidR="005F0A78" w:rsidRPr="000226DB">
        <w:rPr>
          <w:rFonts w:ascii="Arial" w:hAnsi="Arial" w:cs="Arial"/>
          <w:color w:val="000000"/>
        </w:rPr>
        <w:t>Values marked with the same superscript letter</w:t>
      </w:r>
      <w:r w:rsidR="009F7DFC" w:rsidRPr="000226DB">
        <w:rPr>
          <w:rFonts w:ascii="Arial" w:hAnsi="Arial" w:cs="Arial" w:hint="eastAsia"/>
          <w:color w:val="000000"/>
        </w:rPr>
        <w:t xml:space="preserve"> in the same column</w:t>
      </w:r>
      <w:r w:rsidR="005F0A78" w:rsidRPr="000226DB">
        <w:rPr>
          <w:rFonts w:ascii="Arial" w:hAnsi="Arial" w:cs="Arial"/>
          <w:color w:val="000000"/>
        </w:rPr>
        <w:t xml:space="preserve"> were not significantly different</w:t>
      </w:r>
      <w:r w:rsidR="009F7DFC" w:rsidRPr="000226DB">
        <w:rPr>
          <w:rFonts w:ascii="Arial" w:hAnsi="Arial" w:cs="Arial" w:hint="eastAsia"/>
          <w:color w:val="000000"/>
        </w:rPr>
        <w:t xml:space="preserve"> </w:t>
      </w:r>
      <w:r w:rsidR="005F0A78" w:rsidRPr="000226DB">
        <w:rPr>
          <w:rFonts w:ascii="Arial" w:hAnsi="Arial" w:cs="Arial"/>
          <w:color w:val="000000"/>
        </w:rPr>
        <w:t>(P&gt;0.05)</w:t>
      </w:r>
    </w:p>
    <w:bookmarkEnd w:id="0"/>
    <w:p w14:paraId="6CD0F8D9" w14:textId="77777777" w:rsidR="005F0A78" w:rsidRPr="000226DB" w:rsidRDefault="005F0A78" w:rsidP="005F0A78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t xml:space="preserve">Average roughness (Ra) value: arithmetic mean for the peak height and valley depth from a mean line. Root mean square roughness (Rq): height distribution relative to the mean line. Maximum roughness depth (Rmax): value representing isolated profile features. Tooth structure loss (TSL): depth of the height between the unexposed and exposed areas. </w:t>
      </w:r>
    </w:p>
    <w:p w14:paraId="42001B88" w14:textId="77777777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6E9E93B0" w14:textId="25F0A84F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1C75AB5A" w14:textId="693B6E90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280D8678" w14:textId="29EC829C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715B6C6A" w14:textId="5B5B253A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52B012B0" w14:textId="47C9C400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22711A94" w14:textId="68156CCA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18FB7719" w14:textId="0214BB46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706120F4" w14:textId="593A1725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2496C394" w14:textId="46D9D623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2DF8E098" w14:textId="3FCD05EE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376945B7" w14:textId="5CA4578B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27BF5613" w14:textId="7255E3ED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6415F0CF" w14:textId="38C41CD3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5692AC82" w14:textId="53F0D99B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59D8FC1A" w14:textId="744C67C1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3235500C" w14:textId="424CBCCB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14F388D2" w14:textId="5DD4A84B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42493471" w14:textId="77777777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681BFF1B" w14:textId="77777777" w:rsidR="005F0A78" w:rsidRPr="000226DB" w:rsidRDefault="005F0A78" w:rsidP="002876C5">
      <w:pPr>
        <w:rPr>
          <w:rFonts w:ascii="Arial" w:hAnsi="Arial" w:cs="Arial"/>
          <w:b/>
          <w:bCs/>
          <w:color w:val="000000"/>
        </w:rPr>
      </w:pPr>
    </w:p>
    <w:p w14:paraId="5F977952" w14:textId="40FF15FD" w:rsidR="002876C5" w:rsidRPr="000226DB" w:rsidRDefault="00FD2A1A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 w:hint="eastAsia"/>
          <w:b/>
          <w:bCs/>
          <w:color w:val="000000"/>
        </w:rPr>
        <w:t xml:space="preserve">Supplementary </w:t>
      </w:r>
      <w:r w:rsidRPr="000226DB">
        <w:rPr>
          <w:rFonts w:ascii="Arial" w:hAnsi="Arial" w:cs="Arial"/>
          <w:b/>
          <w:bCs/>
          <w:color w:val="000000"/>
        </w:rPr>
        <w:t xml:space="preserve">Table </w:t>
      </w:r>
      <w:r w:rsidR="005F0A78" w:rsidRPr="000226DB">
        <w:rPr>
          <w:rFonts w:ascii="Arial" w:hAnsi="Arial" w:cs="Arial"/>
          <w:b/>
          <w:bCs/>
          <w:color w:val="000000"/>
        </w:rPr>
        <w:t>2</w:t>
      </w:r>
      <w:r w:rsidRPr="000226DB">
        <w:rPr>
          <w:rFonts w:ascii="Arial" w:hAnsi="Arial" w:cs="Arial"/>
          <w:color w:val="000000"/>
        </w:rPr>
        <w:t>. Molecular docking results of fucosterol/fucoxanthin with MMP</w:t>
      </w:r>
      <w:r w:rsidRPr="000226DB">
        <w:rPr>
          <w:rFonts w:ascii="Arial" w:hAnsi="Arial" w:cs="Arial" w:hint="eastAsia"/>
          <w:color w:val="000000"/>
        </w:rPr>
        <w:t>.</w:t>
      </w:r>
    </w:p>
    <w:tbl>
      <w:tblPr>
        <w:tblpPr w:leftFromText="142" w:rightFromText="142" w:vertAnchor="text" w:horzAnchor="margin" w:tblpY="1"/>
        <w:tblW w:w="5032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2"/>
        <w:gridCol w:w="1286"/>
        <w:gridCol w:w="1713"/>
        <w:gridCol w:w="1715"/>
        <w:gridCol w:w="1143"/>
        <w:gridCol w:w="1375"/>
      </w:tblGrid>
      <w:tr w:rsidR="002876C5" w:rsidRPr="000226DB" w14:paraId="50386E82" w14:textId="77777777" w:rsidTr="00DB5CB5">
        <w:trPr>
          <w:trHeight w:val="284"/>
        </w:trPr>
        <w:tc>
          <w:tcPr>
            <w:tcW w:w="1019" w:type="pct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51162F55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Ligand-macromolecule</w:t>
            </w:r>
          </w:p>
        </w:tc>
        <w:tc>
          <w:tcPr>
            <w:tcW w:w="708" w:type="pct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5B22A2F9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Hydrogen bonds</w:t>
            </w:r>
          </w:p>
        </w:tc>
        <w:tc>
          <w:tcPr>
            <w:tcW w:w="943" w:type="pct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5AD31527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Alkyl</w:t>
            </w:r>
          </w:p>
        </w:tc>
        <w:tc>
          <w:tcPr>
            <w:tcW w:w="944" w:type="pct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6EDF6C2E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Pi-Alkyl</w:t>
            </w:r>
          </w:p>
        </w:tc>
        <w:tc>
          <w:tcPr>
            <w:tcW w:w="629" w:type="pct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0C4619F3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Pi-Sigma</w:t>
            </w:r>
          </w:p>
        </w:tc>
        <w:tc>
          <w:tcPr>
            <w:tcW w:w="757" w:type="pct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785E2EDB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Carbon Hydrogen bond</w:t>
            </w:r>
          </w:p>
        </w:tc>
      </w:tr>
      <w:tr w:rsidR="002876C5" w:rsidRPr="000226DB" w14:paraId="26CBAAD4" w14:textId="77777777" w:rsidTr="00DB5CB5">
        <w:trPr>
          <w:trHeight w:val="284"/>
        </w:trPr>
        <w:tc>
          <w:tcPr>
            <w:tcW w:w="1019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F4613F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MMP-2-FS</w:t>
            </w:r>
          </w:p>
        </w:tc>
        <w:tc>
          <w:tcPr>
            <w:tcW w:w="708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37690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TYR223 (2.280)</w:t>
            </w:r>
          </w:p>
        </w:tc>
        <w:tc>
          <w:tcPr>
            <w:tcW w:w="943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2879DC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ILE222 (5.330)</w:t>
            </w:r>
          </w:p>
        </w:tc>
        <w:tc>
          <w:tcPr>
            <w:tcW w:w="944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7B707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HIS166(5.189), HIS205(5.114), HIS211(5.097)</w:t>
            </w:r>
          </w:p>
        </w:tc>
        <w:tc>
          <w:tcPr>
            <w:tcW w:w="629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553AC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TYR155 (3.703), PHE168 (3.665)</w:t>
            </w:r>
          </w:p>
        </w:tc>
        <w:tc>
          <w:tcPr>
            <w:tcW w:w="757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7B5F0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2876C5" w:rsidRPr="000226DB" w14:paraId="0A77E688" w14:textId="77777777" w:rsidTr="00DB5CB5">
        <w:trPr>
          <w:trHeight w:val="284"/>
        </w:trPr>
        <w:tc>
          <w:tcPr>
            <w:tcW w:w="1019" w:type="pct"/>
            <w:shd w:val="clear" w:color="auto" w:fill="auto"/>
            <w:noWrap/>
            <w:vAlign w:val="center"/>
            <w:hideMark/>
          </w:tcPr>
          <w:p w14:paraId="6E655D68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MMP-2-FX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1BD492E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ALA169 (2.731), ALA167 (2.537)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15AD40DB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LEU163(4.980), LEU164(4.278), ILE222(5.357)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329DCE8D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B09CB84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71D16E0D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PHE168 (2.939), ALA167 (3.385)</w:t>
            </w:r>
          </w:p>
        </w:tc>
      </w:tr>
      <w:tr w:rsidR="002876C5" w:rsidRPr="000226DB" w14:paraId="3B468E77" w14:textId="77777777" w:rsidTr="00DB5CB5">
        <w:trPr>
          <w:trHeight w:val="284"/>
        </w:trPr>
        <w:tc>
          <w:tcPr>
            <w:tcW w:w="1019" w:type="pct"/>
            <w:shd w:val="clear" w:color="auto" w:fill="auto"/>
            <w:noWrap/>
            <w:vAlign w:val="center"/>
            <w:hideMark/>
          </w:tcPr>
          <w:p w14:paraId="34D3A1FC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MMP-9-FS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5FA0B54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ARG162 (2.501), TRY160 (2.739)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549153A1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6423794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TRP124(5.310), TYR160(5.358)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55B1EC8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63B8955A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2876C5" w:rsidRPr="000226DB" w14:paraId="521E5F01" w14:textId="77777777" w:rsidTr="00DB5CB5">
        <w:trPr>
          <w:trHeight w:val="284"/>
        </w:trPr>
        <w:tc>
          <w:tcPr>
            <w:tcW w:w="1019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D42CDF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MMP-9-FX</w:t>
            </w:r>
          </w:p>
        </w:tc>
        <w:tc>
          <w:tcPr>
            <w:tcW w:w="708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CA1EFC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43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137752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LEU188(5.388), LEU397(4.323), VAL398(4.571), LEU418(5.052), PRO430(5.069)</w:t>
            </w:r>
          </w:p>
        </w:tc>
        <w:tc>
          <w:tcPr>
            <w:tcW w:w="944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D57375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HIS401(3.989), TYR423(5.404)</w:t>
            </w:r>
          </w:p>
        </w:tc>
        <w:tc>
          <w:tcPr>
            <w:tcW w:w="629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BB3449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HIS401 (3.655)</w:t>
            </w:r>
          </w:p>
        </w:tc>
        <w:tc>
          <w:tcPr>
            <w:tcW w:w="757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D193C3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14:paraId="722F87EC" w14:textId="3E5E48BE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t xml:space="preserve">The number inside the parentheses indicate the bond length for interaction in </w:t>
      </w:r>
      <w:r w:rsidRPr="000226DB">
        <w:rPr>
          <w:rFonts w:ascii="Cambria Math" w:eastAsiaTheme="minorHAnsi" w:hAnsi="Cambria Math" w:cs="Cambria Math"/>
          <w:color w:val="000000"/>
        </w:rPr>
        <w:t>Å</w:t>
      </w:r>
      <w:r w:rsidRPr="000226DB">
        <w:rPr>
          <w:rFonts w:ascii="Arial" w:eastAsiaTheme="minorHAnsi" w:hAnsi="Arial" w:cs="Arial"/>
          <w:color w:val="000000"/>
        </w:rPr>
        <w:t xml:space="preserve">. </w:t>
      </w:r>
    </w:p>
    <w:p w14:paraId="247E4B6B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1C2003E4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13420844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6743C249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2D816375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57D1396C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1094CDBD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37A5758C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619B43F0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1C8A445A" w14:textId="7777777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</w:p>
    <w:p w14:paraId="7F6CF553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120C800B" w14:textId="77777777" w:rsidR="002876C5" w:rsidRPr="000226DB" w:rsidRDefault="002876C5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lastRenderedPageBreak/>
        <w:drawing>
          <wp:inline distT="0" distB="0" distL="0" distR="0" wp14:anchorId="66F91413" wp14:editId="7C8403ED">
            <wp:extent cx="5734050" cy="3219450"/>
            <wp:effectExtent l="0" t="0" r="0" b="0"/>
            <wp:docPr id="1869948497" name="그림 1" descr="도표, 지도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48497" name="그림 1" descr="도표, 지도, 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8E876" w14:textId="114F2F14" w:rsidR="002876C5" w:rsidRPr="000226DB" w:rsidRDefault="00FD2A1A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 w:hint="eastAsia"/>
          <w:b/>
          <w:bCs/>
          <w:color w:val="000000"/>
        </w:rPr>
        <w:t>Supplementary</w:t>
      </w:r>
      <w:r w:rsidRPr="000226DB">
        <w:rPr>
          <w:rFonts w:ascii="Arial" w:hAnsi="Arial" w:cs="Arial"/>
          <w:b/>
          <w:bCs/>
          <w:color w:val="000000"/>
        </w:rPr>
        <w:t xml:space="preserve"> </w:t>
      </w:r>
      <w:r w:rsidR="002876C5" w:rsidRPr="000226DB">
        <w:rPr>
          <w:rFonts w:ascii="Arial" w:hAnsi="Arial" w:cs="Arial"/>
          <w:b/>
          <w:bCs/>
          <w:color w:val="000000"/>
        </w:rPr>
        <w:t>Figure 1</w:t>
      </w:r>
      <w:r w:rsidR="002876C5" w:rsidRPr="000226DB">
        <w:rPr>
          <w:rFonts w:ascii="Arial" w:hAnsi="Arial" w:cs="Arial"/>
          <w:color w:val="000000"/>
        </w:rPr>
        <w:t>. Representative 2D images of the interaction between MMPs and fucosterol/fucoxanthin. Different binding modes with specific residues are presented.</w:t>
      </w:r>
    </w:p>
    <w:p w14:paraId="791AAEC3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0FAF5C03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5569AB97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51E8AB27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65FAD533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62D20428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2DF64B53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5CB46BFE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109FDBFF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5FC78E9E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05B71A18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5C70C443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6D262B5C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6C5A4D46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5F536326" w14:textId="77777777" w:rsidR="002876C5" w:rsidRPr="000226DB" w:rsidRDefault="002876C5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lastRenderedPageBreak/>
        <w:drawing>
          <wp:inline distT="0" distB="0" distL="0" distR="0" wp14:anchorId="6F9791EE" wp14:editId="24C65AF6">
            <wp:extent cx="5724525" cy="4543425"/>
            <wp:effectExtent l="0" t="0" r="9525" b="9525"/>
            <wp:docPr id="2002808502" name="그림 4" descr="그래픽 디자인, 그래픽, 스크린샷, 예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808502" name="그림 4" descr="그래픽 디자인, 그래픽, 스크린샷, 예술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F983A" w14:textId="620B1CFD" w:rsidR="002876C5" w:rsidRPr="000226DB" w:rsidRDefault="00FD2A1A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 w:hint="eastAsia"/>
          <w:b/>
          <w:bCs/>
          <w:color w:val="000000"/>
        </w:rPr>
        <w:t>Supplementary</w:t>
      </w:r>
      <w:r w:rsidRPr="000226DB">
        <w:rPr>
          <w:rFonts w:ascii="Arial" w:hAnsi="Arial" w:cs="Arial"/>
          <w:b/>
          <w:bCs/>
          <w:color w:val="000000"/>
        </w:rPr>
        <w:t xml:space="preserve"> </w:t>
      </w:r>
      <w:r w:rsidR="002876C5" w:rsidRPr="000226DB">
        <w:rPr>
          <w:rFonts w:ascii="Arial" w:hAnsi="Arial" w:cs="Arial"/>
          <w:b/>
          <w:bCs/>
          <w:color w:val="000000"/>
        </w:rPr>
        <w:t>Figure 2</w:t>
      </w:r>
      <w:r w:rsidR="002876C5" w:rsidRPr="000226DB">
        <w:rPr>
          <w:rFonts w:ascii="Arial" w:hAnsi="Arial" w:cs="Arial"/>
          <w:color w:val="000000"/>
        </w:rPr>
        <w:t>. Molecular docking. Representative 3D illustrations of the docked MMP-2 – FS/FX complex and MMP-9 - FX/FX complex. Related hydrogen bonds with the donor/receptor abilities are shown in a spectrum between pink and green.</w:t>
      </w:r>
    </w:p>
    <w:p w14:paraId="7A4FA05D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5BC811EF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2564EB4C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2BA3848C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3B20C2B4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72DA570B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3D4A312A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624CEEF3" w14:textId="6E0F7453" w:rsidR="00FD2A1A" w:rsidRPr="000226DB" w:rsidRDefault="00FD2A1A">
      <w:pPr>
        <w:widowControl/>
        <w:wordWrap/>
        <w:autoSpaceDE/>
        <w:autoSpaceDN/>
        <w:rPr>
          <w:rFonts w:ascii="Arial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br w:type="page"/>
      </w:r>
    </w:p>
    <w:p w14:paraId="61EE82D2" w14:textId="77777777" w:rsidR="002876C5" w:rsidRPr="000226DB" w:rsidRDefault="002876C5" w:rsidP="002876C5">
      <w:pPr>
        <w:rPr>
          <w:rFonts w:ascii="Arial" w:hAnsi="Arial" w:cs="Arial"/>
          <w:color w:val="000000"/>
        </w:rPr>
      </w:pPr>
    </w:p>
    <w:p w14:paraId="3C77C030" w14:textId="4B9435BC" w:rsidR="002876C5" w:rsidRPr="000226DB" w:rsidRDefault="00FD2A1A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 w:hint="eastAsia"/>
          <w:b/>
          <w:bCs/>
          <w:color w:val="000000"/>
        </w:rPr>
        <w:t>Supplementary</w:t>
      </w:r>
      <w:r w:rsidRPr="000226DB">
        <w:rPr>
          <w:rFonts w:ascii="Arial" w:hAnsi="Arial" w:cs="Arial"/>
          <w:b/>
          <w:bCs/>
          <w:color w:val="000000"/>
        </w:rPr>
        <w:t xml:space="preserve"> Table </w:t>
      </w:r>
      <w:r w:rsidR="005F0A78" w:rsidRPr="000226DB">
        <w:rPr>
          <w:rFonts w:ascii="Arial" w:hAnsi="Arial" w:cs="Arial"/>
          <w:b/>
          <w:bCs/>
          <w:color w:val="000000"/>
        </w:rPr>
        <w:t>3</w:t>
      </w:r>
      <w:r w:rsidRPr="000226DB">
        <w:rPr>
          <w:rFonts w:ascii="Arial" w:hAnsi="Arial" w:cs="Arial"/>
          <w:color w:val="000000"/>
        </w:rPr>
        <w:t>. Molecular docking results of FS/FX with collagen.</w:t>
      </w:r>
    </w:p>
    <w:tbl>
      <w:tblPr>
        <w:tblW w:w="10201" w:type="dxa"/>
        <w:tblBorders>
          <w:top w:val="single" w:sz="18" w:space="0" w:color="auto"/>
          <w:bottom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4"/>
        <w:gridCol w:w="3038"/>
        <w:gridCol w:w="3243"/>
        <w:gridCol w:w="2126"/>
      </w:tblGrid>
      <w:tr w:rsidR="002876C5" w:rsidRPr="000226DB" w14:paraId="4BA07633" w14:textId="77777777" w:rsidTr="00DB5CB5">
        <w:trPr>
          <w:trHeight w:val="340"/>
        </w:trPr>
        <w:tc>
          <w:tcPr>
            <w:tcW w:w="1794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5914B818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Ligand-macromolecule</w:t>
            </w:r>
          </w:p>
        </w:tc>
        <w:tc>
          <w:tcPr>
            <w:tcW w:w="303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0AE75593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Hydrogen bonds</w:t>
            </w:r>
          </w:p>
        </w:tc>
        <w:tc>
          <w:tcPr>
            <w:tcW w:w="3243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67CAAE9C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Alkyl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D0CECE"/>
            <w:noWrap/>
            <w:vAlign w:val="center"/>
            <w:hideMark/>
          </w:tcPr>
          <w:p w14:paraId="65997814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Carbon Hydrogen bond</w:t>
            </w:r>
          </w:p>
        </w:tc>
      </w:tr>
      <w:tr w:rsidR="002876C5" w:rsidRPr="000226DB" w14:paraId="2A7844A4" w14:textId="77777777" w:rsidTr="00DB5CB5">
        <w:trPr>
          <w:trHeight w:val="340"/>
        </w:trPr>
        <w:tc>
          <w:tcPr>
            <w:tcW w:w="179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E361AF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Collagen-FS</w:t>
            </w:r>
          </w:p>
        </w:tc>
        <w:tc>
          <w:tcPr>
            <w:tcW w:w="303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276AA3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24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2D6EB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PRO16(5.404), PRO70(4.559), PRO70(4.550), LYS74(4.851)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BB7D5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2876C5" w:rsidRPr="000226DB" w14:paraId="0B79F47B" w14:textId="77777777" w:rsidTr="00DB5CB5">
        <w:trPr>
          <w:trHeight w:val="340"/>
        </w:trPr>
        <w:tc>
          <w:tcPr>
            <w:tcW w:w="1794" w:type="dxa"/>
            <w:shd w:val="clear" w:color="auto" w:fill="auto"/>
            <w:noWrap/>
            <w:vAlign w:val="center"/>
            <w:hideMark/>
          </w:tcPr>
          <w:p w14:paraId="62EE0E62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Collagen-FX</w:t>
            </w:r>
          </w:p>
        </w:tc>
        <w:tc>
          <w:tcPr>
            <w:tcW w:w="3038" w:type="dxa"/>
            <w:shd w:val="clear" w:color="auto" w:fill="auto"/>
            <w:noWrap/>
            <w:vAlign w:val="center"/>
            <w:hideMark/>
          </w:tcPr>
          <w:p w14:paraId="61AAB864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LYS14(2.083), HYP80(2.527), GLU43(2.234)</w:t>
            </w:r>
          </w:p>
        </w:tc>
        <w:tc>
          <w:tcPr>
            <w:tcW w:w="3243" w:type="dxa"/>
            <w:shd w:val="clear" w:color="auto" w:fill="auto"/>
            <w:noWrap/>
            <w:vAlign w:val="center"/>
            <w:hideMark/>
          </w:tcPr>
          <w:p w14:paraId="6D70B8A8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PRO76(4.374), PRO79(4.491)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68E731" w14:textId="77777777" w:rsidR="002876C5" w:rsidRPr="000226DB" w:rsidRDefault="002876C5" w:rsidP="002378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0226D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PRO82(2.607)</w:t>
            </w:r>
          </w:p>
        </w:tc>
      </w:tr>
    </w:tbl>
    <w:p w14:paraId="60A4D691" w14:textId="6845AE57" w:rsidR="002876C5" w:rsidRPr="000226DB" w:rsidRDefault="002876C5" w:rsidP="002876C5">
      <w:pPr>
        <w:rPr>
          <w:rFonts w:ascii="Arial" w:eastAsiaTheme="minorHAnsi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t xml:space="preserve">The number inside the parentheses indicate the bond length for interaction in </w:t>
      </w:r>
      <w:r w:rsidRPr="000226DB">
        <w:rPr>
          <w:rFonts w:ascii="Cambria Math" w:eastAsiaTheme="minorHAnsi" w:hAnsi="Cambria Math" w:cs="Cambria Math"/>
          <w:color w:val="000000"/>
        </w:rPr>
        <w:t>Å</w:t>
      </w:r>
      <w:r w:rsidRPr="000226DB">
        <w:rPr>
          <w:rFonts w:ascii="Arial" w:eastAsiaTheme="minorHAnsi" w:hAnsi="Arial" w:cs="Arial"/>
          <w:color w:val="000000"/>
        </w:rPr>
        <w:t xml:space="preserve">. </w:t>
      </w:r>
    </w:p>
    <w:p w14:paraId="08394CC8" w14:textId="77777777" w:rsidR="00FD2A1A" w:rsidRPr="000226DB" w:rsidRDefault="00FD2A1A" w:rsidP="002876C5">
      <w:pPr>
        <w:rPr>
          <w:rFonts w:ascii="Arial" w:hAnsi="Arial" w:cs="Arial"/>
          <w:color w:val="000000"/>
        </w:rPr>
      </w:pPr>
    </w:p>
    <w:p w14:paraId="2EC8683F" w14:textId="77777777" w:rsidR="002876C5" w:rsidRPr="000226DB" w:rsidRDefault="002876C5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drawing>
          <wp:inline distT="0" distB="0" distL="0" distR="0" wp14:anchorId="689C60D0" wp14:editId="523AF669">
            <wp:extent cx="5731510" cy="2017395"/>
            <wp:effectExtent l="0" t="0" r="2540" b="1905"/>
            <wp:docPr id="200021004" name="그림 2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1004" name="그림 2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3FE1F" w14:textId="4B38F0D7" w:rsidR="002876C5" w:rsidRPr="000226DB" w:rsidRDefault="00FD2A1A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 w:hint="eastAsia"/>
          <w:b/>
          <w:bCs/>
          <w:color w:val="000000"/>
        </w:rPr>
        <w:t>Supplementary</w:t>
      </w:r>
      <w:r w:rsidRPr="000226DB">
        <w:rPr>
          <w:rFonts w:ascii="Arial" w:hAnsi="Arial" w:cs="Arial"/>
          <w:b/>
          <w:bCs/>
          <w:color w:val="000000"/>
        </w:rPr>
        <w:t xml:space="preserve"> </w:t>
      </w:r>
      <w:r w:rsidR="002876C5" w:rsidRPr="000226DB">
        <w:rPr>
          <w:rFonts w:ascii="Arial" w:hAnsi="Arial" w:cs="Arial"/>
          <w:b/>
          <w:bCs/>
          <w:color w:val="000000"/>
        </w:rPr>
        <w:t>Figure 3</w:t>
      </w:r>
      <w:r w:rsidR="002876C5" w:rsidRPr="000226DB">
        <w:rPr>
          <w:rFonts w:ascii="Arial" w:hAnsi="Arial" w:cs="Arial"/>
          <w:color w:val="000000"/>
        </w:rPr>
        <w:t>. Representative 2D Images of the interaction between type-I collagen and FS/FX. Different binding modes with specific residues are presented.</w:t>
      </w:r>
    </w:p>
    <w:p w14:paraId="0648BED0" w14:textId="77777777" w:rsidR="002876C5" w:rsidRPr="000226DB" w:rsidRDefault="002876C5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t xml:space="preserve"> </w:t>
      </w:r>
    </w:p>
    <w:p w14:paraId="2FCCD2FB" w14:textId="77777777" w:rsidR="002876C5" w:rsidRPr="000226DB" w:rsidRDefault="002876C5" w:rsidP="002876C5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/>
          <w:color w:val="000000"/>
        </w:rPr>
        <w:drawing>
          <wp:inline distT="0" distB="0" distL="0" distR="0" wp14:anchorId="3B0BF4BC" wp14:editId="54B89AED">
            <wp:extent cx="5724525" cy="2838450"/>
            <wp:effectExtent l="0" t="0" r="0" b="0"/>
            <wp:docPr id="120292209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6C178" w14:textId="523A46C3" w:rsidR="002876C5" w:rsidRPr="000226DB" w:rsidRDefault="00FD2A1A">
      <w:pPr>
        <w:rPr>
          <w:rFonts w:ascii="Arial" w:hAnsi="Arial" w:cs="Arial"/>
          <w:color w:val="000000"/>
        </w:rPr>
      </w:pPr>
      <w:r w:rsidRPr="000226DB">
        <w:rPr>
          <w:rFonts w:ascii="Arial" w:hAnsi="Arial" w:cs="Arial" w:hint="eastAsia"/>
          <w:b/>
          <w:bCs/>
          <w:color w:val="000000"/>
        </w:rPr>
        <w:t>Supplementary</w:t>
      </w:r>
      <w:r w:rsidRPr="000226DB">
        <w:rPr>
          <w:rFonts w:ascii="Arial" w:hAnsi="Arial" w:cs="Arial"/>
          <w:b/>
          <w:bCs/>
          <w:color w:val="000000"/>
        </w:rPr>
        <w:t xml:space="preserve"> </w:t>
      </w:r>
      <w:r w:rsidR="002876C5" w:rsidRPr="000226DB">
        <w:rPr>
          <w:rFonts w:ascii="Arial" w:hAnsi="Arial" w:cs="Arial"/>
          <w:b/>
          <w:bCs/>
          <w:color w:val="000000"/>
        </w:rPr>
        <w:t>Figure 4</w:t>
      </w:r>
      <w:r w:rsidR="002876C5" w:rsidRPr="000226DB">
        <w:rPr>
          <w:rFonts w:ascii="Arial" w:hAnsi="Arial" w:cs="Arial"/>
          <w:color w:val="000000"/>
        </w:rPr>
        <w:t>. Molecular docking. Representative 3D illustrations of the docked collagen – FS/FX complex. Related hydrogen bonds with the donor receptor abilities are shown in a spectrum between pink and green.</w:t>
      </w:r>
    </w:p>
    <w:sectPr w:rsidR="002876C5" w:rsidRPr="000226DB">
      <w:footerReference w:type="even" r:id="rId10"/>
      <w:footerReference w:type="defaul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700A8" w14:textId="77777777" w:rsidR="00640AE2" w:rsidRDefault="00640AE2" w:rsidP="00F61782">
      <w:pPr>
        <w:spacing w:after="0" w:line="240" w:lineRule="auto"/>
      </w:pPr>
      <w:r>
        <w:separator/>
      </w:r>
    </w:p>
  </w:endnote>
  <w:endnote w:type="continuationSeparator" w:id="0">
    <w:p w14:paraId="01AAE81A" w14:textId="77777777" w:rsidR="00640AE2" w:rsidRDefault="00640AE2" w:rsidP="00F6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">
    <w:altName w:val="Segoe Print"/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8F215" w14:textId="6E084B69" w:rsidR="00A940A6" w:rsidRDefault="00A940A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41EB50" wp14:editId="3A23323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35280"/>
              <wp:effectExtent l="0" t="0" r="18415" b="0"/>
              <wp:wrapNone/>
              <wp:docPr id="116303770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B0AD6" w14:textId="49CB9898" w:rsidR="00A940A6" w:rsidRPr="00A940A6" w:rsidRDefault="00A940A6" w:rsidP="00A940A6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940A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1EB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" filled="f" stroked="f">
              <v:textbox style="mso-fit-shape-to-text:t" inset="20pt,0,0,15pt">
                <w:txbxContent>
                  <w:p w14:paraId="71AB0AD6" w14:textId="49CB9898" w:rsidR="00A940A6" w:rsidRPr="00A940A6" w:rsidRDefault="00A940A6" w:rsidP="00A940A6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940A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62395" w14:textId="7469ACA0" w:rsidR="00A940A6" w:rsidRDefault="00A940A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1066E5" wp14:editId="110CE4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35280"/>
              <wp:effectExtent l="0" t="0" r="18415" b="0"/>
              <wp:wrapNone/>
              <wp:docPr id="136859524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B0B5C" w14:textId="74BFB776" w:rsidR="00A940A6" w:rsidRPr="00A940A6" w:rsidRDefault="00A940A6" w:rsidP="00A940A6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940A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066E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" filled="f" stroked="f">
              <v:textbox style="mso-fit-shape-to-text:t" inset="20pt,0,0,15pt">
                <w:txbxContent>
                  <w:p w14:paraId="5A0B0B5C" w14:textId="74BFB776" w:rsidR="00A940A6" w:rsidRPr="00A940A6" w:rsidRDefault="00A940A6" w:rsidP="00A940A6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940A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BD45E" w14:textId="711CF442" w:rsidR="00A940A6" w:rsidRDefault="00A940A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D3797D" wp14:editId="252EAC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35280"/>
              <wp:effectExtent l="0" t="0" r="18415" b="0"/>
              <wp:wrapNone/>
              <wp:docPr id="94992092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8B684" w14:textId="11FED407" w:rsidR="00A940A6" w:rsidRPr="00A940A6" w:rsidRDefault="00A940A6" w:rsidP="00A940A6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940A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379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3.5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" filled="f" stroked="f">
              <v:textbox style="mso-fit-shape-to-text:t" inset="20pt,0,0,15pt">
                <w:txbxContent>
                  <w:p w14:paraId="6078B684" w14:textId="11FED407" w:rsidR="00A940A6" w:rsidRPr="00A940A6" w:rsidRDefault="00A940A6" w:rsidP="00A940A6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940A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3637A" w14:textId="77777777" w:rsidR="00640AE2" w:rsidRDefault="00640AE2" w:rsidP="00F61782">
      <w:pPr>
        <w:spacing w:after="0" w:line="240" w:lineRule="auto"/>
      </w:pPr>
      <w:r>
        <w:separator/>
      </w:r>
    </w:p>
  </w:footnote>
  <w:footnote w:type="continuationSeparator" w:id="0">
    <w:p w14:paraId="499F3FE5" w14:textId="77777777" w:rsidR="00640AE2" w:rsidRDefault="00640AE2" w:rsidP="00F61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C5"/>
    <w:rsid w:val="000226DB"/>
    <w:rsid w:val="00070600"/>
    <w:rsid w:val="000C2451"/>
    <w:rsid w:val="000F3EA5"/>
    <w:rsid w:val="00181704"/>
    <w:rsid w:val="002876C5"/>
    <w:rsid w:val="00310704"/>
    <w:rsid w:val="00390111"/>
    <w:rsid w:val="005E0888"/>
    <w:rsid w:val="005F0A78"/>
    <w:rsid w:val="00640AE2"/>
    <w:rsid w:val="00664D7D"/>
    <w:rsid w:val="00860A24"/>
    <w:rsid w:val="009A3AE5"/>
    <w:rsid w:val="009E43ED"/>
    <w:rsid w:val="009F7DFC"/>
    <w:rsid w:val="00A64DEC"/>
    <w:rsid w:val="00A940A6"/>
    <w:rsid w:val="00B37DDF"/>
    <w:rsid w:val="00B94003"/>
    <w:rsid w:val="00D67E8A"/>
    <w:rsid w:val="00DB5CB5"/>
    <w:rsid w:val="00EE363F"/>
    <w:rsid w:val="00EF5320"/>
    <w:rsid w:val="00F361EF"/>
    <w:rsid w:val="00F61782"/>
    <w:rsid w:val="00F705E1"/>
    <w:rsid w:val="00FD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E4770"/>
  <w15:chartTrackingRefBased/>
  <w15:docId w15:val="{4E350A07-6B2B-412F-B472-DEFB8896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6C5"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78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61782"/>
    <w:rPr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178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61782"/>
    <w:rPr>
      <w14:ligatures w14:val="none"/>
    </w:rPr>
  </w:style>
  <w:style w:type="paragraph" w:styleId="Revision">
    <w:name w:val="Revision"/>
    <w:hidden/>
    <w:uiPriority w:val="99"/>
    <w:semiHidden/>
    <w:rsid w:val="009F7DFC"/>
    <w:pPr>
      <w:spacing w:after="0" w:line="240" w:lineRule="auto"/>
      <w:jc w:val="left"/>
    </w:pPr>
    <w:rPr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94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0A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0A6"/>
    <w:rPr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0A6"/>
    <w:rPr>
      <w:b/>
      <w:bCs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 Sek Lee</dc:creator>
  <cp:keywords/>
  <dc:description/>
  <cp:lastModifiedBy>Thadani, Lavina</cp:lastModifiedBy>
  <cp:revision>2</cp:revision>
  <dcterms:created xsi:type="dcterms:W3CDTF">2024-11-20T20:26:00Z</dcterms:created>
  <dcterms:modified xsi:type="dcterms:W3CDTF">2024-11-20T20:26:00Z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389ea4a1,45528c04,51931b2a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2024-11-20T02:25:15Z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18a99cdd-3fd4-4fcf-bb97-0bb0d086729d</vt:lpwstr>
  </property>
  <property fmtid="{D5CDD505-2E9C-101B-9397-08002B2CF9AE}" pid="11" name="MSIP_Label_2bbab825-a111-45e4-86a1-18cee0005896_ContentBits">
    <vt:lpwstr>2</vt:lpwstr>
  </property>
</Properties>
</file>