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B0523" w14:textId="0BBAC6F0" w:rsidR="00DC42DD" w:rsidRPr="00F41D70" w:rsidRDefault="00F41D70" w:rsidP="00F41D70">
      <w:pPr>
        <w:pStyle w:val="Heading1"/>
        <w:rPr>
          <w:rFonts w:ascii="Arial" w:hAnsi="Arial" w:cs="Arial"/>
          <w:color w:val="auto"/>
        </w:rPr>
      </w:pPr>
      <w:r w:rsidRPr="00F41D70">
        <w:rPr>
          <w:rFonts w:ascii="Arial" w:hAnsi="Arial" w:cs="Arial"/>
          <w:color w:val="auto"/>
        </w:rPr>
        <w:t>Supplemental Materials</w:t>
      </w:r>
    </w:p>
    <w:p w14:paraId="4E8978E7" w14:textId="584F3A2A" w:rsidR="00DC42DD" w:rsidRPr="00F41D70" w:rsidRDefault="00F41D70" w:rsidP="00F41D70">
      <w:pPr>
        <w:pStyle w:val="Heading3"/>
        <w:rPr>
          <w:rFonts w:ascii="Arial" w:hAnsi="Arial" w:cs="Arial"/>
          <w:i/>
          <w:iCs/>
          <w:color w:val="auto"/>
        </w:rPr>
      </w:pPr>
      <w:r w:rsidRPr="00F41D70">
        <w:rPr>
          <w:rFonts w:ascii="Arial" w:hAnsi="Arial" w:cs="Arial"/>
          <w:i/>
          <w:iCs/>
          <w:color w:val="auto"/>
        </w:rPr>
        <w:t>Survey design and informed consent</w:t>
      </w:r>
    </w:p>
    <w:p w14:paraId="3D21555E" w14:textId="77777777" w:rsidR="00DC42DD" w:rsidRPr="00F41D70" w:rsidRDefault="00DC42DD" w:rsidP="00DC42DD">
      <w:pPr>
        <w:rPr>
          <w:rFonts w:ascii="Arial" w:hAnsi="Arial" w:cs="Arial"/>
        </w:rPr>
      </w:pPr>
    </w:p>
    <w:p w14:paraId="5F866DDD" w14:textId="0042C08C" w:rsidR="00230DCB" w:rsidRPr="00F41D70" w:rsidRDefault="730393D6" w:rsidP="635C1EF2">
      <w:pPr>
        <w:shd w:val="clear" w:color="auto" w:fill="FFFFFF" w:themeFill="background1"/>
        <w:spacing w:after="0"/>
        <w:rPr>
          <w:rFonts w:ascii="Arial" w:eastAsia="Calibri" w:hAnsi="Arial" w:cs="Arial"/>
          <w:color w:val="242424"/>
          <w:sz w:val="20"/>
          <w:szCs w:val="20"/>
        </w:rPr>
      </w:pPr>
      <w:r w:rsidRPr="00F41D70">
        <w:rPr>
          <w:rFonts w:ascii="Arial" w:eastAsia="Calibri" w:hAnsi="Arial" w:cs="Arial"/>
          <w:b/>
          <w:bCs/>
          <w:color w:val="242424"/>
          <w:sz w:val="20"/>
          <w:szCs w:val="20"/>
        </w:rPr>
        <w:t>Informed Consent Statement:</w:t>
      </w:r>
      <w:r w:rsidRPr="00F41D70">
        <w:rPr>
          <w:rFonts w:ascii="Arial" w:eastAsia="Calibri" w:hAnsi="Arial" w:cs="Arial"/>
          <w:color w:val="242424"/>
          <w:sz w:val="20"/>
          <w:szCs w:val="20"/>
        </w:rPr>
        <w:t xml:space="preserve"> included at the beginning of the survey explaining participation is voluntary, anonymous, and data will be used to support improving clinical trials in the future. </w:t>
      </w:r>
      <w:r w:rsidR="00A62D75">
        <w:rPr>
          <w:rFonts w:ascii="Arial" w:eastAsia="Calibri" w:hAnsi="Arial" w:cs="Arial"/>
          <w:color w:val="242424"/>
          <w:sz w:val="20"/>
          <w:szCs w:val="20"/>
        </w:rPr>
        <w:t xml:space="preserve">Participants selected </w:t>
      </w:r>
      <w:r w:rsidRPr="00F41D70">
        <w:rPr>
          <w:rFonts w:ascii="Arial" w:eastAsia="Calibri" w:hAnsi="Arial" w:cs="Arial"/>
          <w:color w:val="242424"/>
          <w:sz w:val="20"/>
          <w:szCs w:val="20"/>
        </w:rPr>
        <w:t xml:space="preserve">‘yes’ </w:t>
      </w:r>
      <w:r w:rsidR="00A62D75">
        <w:rPr>
          <w:rFonts w:ascii="Arial" w:eastAsia="Calibri" w:hAnsi="Arial" w:cs="Arial"/>
          <w:color w:val="242424"/>
          <w:sz w:val="20"/>
          <w:szCs w:val="20"/>
        </w:rPr>
        <w:t>certifying that</w:t>
      </w:r>
      <w:r w:rsidRPr="00F41D70">
        <w:rPr>
          <w:rFonts w:ascii="Arial" w:eastAsia="Calibri" w:hAnsi="Arial" w:cs="Arial"/>
          <w:color w:val="242424"/>
          <w:sz w:val="20"/>
          <w:szCs w:val="20"/>
        </w:rPr>
        <w:t xml:space="preserve"> they were at least 18 years of age and willing to participate before they could proceed with completing the survey.</w:t>
      </w:r>
    </w:p>
    <w:p w14:paraId="7184E7D8" w14:textId="38D5E17C" w:rsidR="3A11ABFD" w:rsidRPr="00F41D70" w:rsidRDefault="3A11ABFD" w:rsidP="3A11ABFD">
      <w:pPr>
        <w:shd w:val="clear" w:color="auto" w:fill="FFFFFF" w:themeFill="background1"/>
        <w:spacing w:after="0"/>
        <w:rPr>
          <w:rFonts w:ascii="Arial" w:eastAsia="Calibri" w:hAnsi="Arial" w:cs="Arial"/>
          <w:color w:val="242424"/>
          <w:sz w:val="20"/>
          <w:szCs w:val="20"/>
        </w:rPr>
      </w:pPr>
    </w:p>
    <w:p w14:paraId="770C6158" w14:textId="794048F0" w:rsidR="00230DCB" w:rsidRPr="00F41D70" w:rsidRDefault="730393D6" w:rsidP="3A11ABFD">
      <w:pPr>
        <w:shd w:val="clear" w:color="auto" w:fill="FFFFFF" w:themeFill="background1"/>
        <w:spacing w:after="0"/>
        <w:rPr>
          <w:rFonts w:ascii="Arial" w:eastAsia="Calibri" w:hAnsi="Arial" w:cs="Arial"/>
          <w:color w:val="242424"/>
          <w:sz w:val="20"/>
          <w:szCs w:val="20"/>
        </w:rPr>
      </w:pPr>
      <w:r w:rsidRPr="00F41D70">
        <w:rPr>
          <w:rFonts w:ascii="Arial" w:eastAsia="Calibri" w:hAnsi="Arial" w:cs="Arial"/>
          <w:b/>
          <w:bCs/>
          <w:color w:val="242424"/>
          <w:sz w:val="20"/>
          <w:szCs w:val="20"/>
        </w:rPr>
        <w:t>Survey Length:</w:t>
      </w:r>
      <w:r w:rsidRPr="00F41D70">
        <w:rPr>
          <w:rFonts w:ascii="Arial" w:eastAsia="Calibri" w:hAnsi="Arial" w:cs="Arial"/>
          <w:color w:val="242424"/>
          <w:sz w:val="20"/>
          <w:szCs w:val="20"/>
        </w:rPr>
        <w:t xml:space="preserve"> 26 questions with up to 19 additional conditional questions</w:t>
      </w:r>
    </w:p>
    <w:p w14:paraId="4C9EB2EB" w14:textId="7A143ED1" w:rsidR="3A11ABFD" w:rsidRPr="00F41D70" w:rsidRDefault="3A11ABFD" w:rsidP="3A11ABFD">
      <w:pPr>
        <w:shd w:val="clear" w:color="auto" w:fill="FFFFFF" w:themeFill="background1"/>
        <w:spacing w:after="0"/>
        <w:rPr>
          <w:rFonts w:ascii="Arial" w:eastAsia="Calibri" w:hAnsi="Arial" w:cs="Arial"/>
          <w:color w:val="242424"/>
          <w:sz w:val="20"/>
          <w:szCs w:val="20"/>
        </w:rPr>
      </w:pPr>
    </w:p>
    <w:p w14:paraId="5519A857" w14:textId="7B17638B" w:rsidR="00230DCB" w:rsidRPr="00F41D70" w:rsidRDefault="730393D6" w:rsidP="3A11ABFD">
      <w:pPr>
        <w:shd w:val="clear" w:color="auto" w:fill="FFFFFF" w:themeFill="background1"/>
        <w:spacing w:after="0"/>
        <w:rPr>
          <w:rFonts w:ascii="Arial" w:eastAsia="Calibri" w:hAnsi="Arial" w:cs="Arial"/>
          <w:b/>
          <w:bCs/>
          <w:color w:val="242424"/>
          <w:sz w:val="20"/>
          <w:szCs w:val="20"/>
        </w:rPr>
      </w:pPr>
      <w:r w:rsidRPr="00F41D70">
        <w:rPr>
          <w:rFonts w:ascii="Arial" w:eastAsia="Calibri" w:hAnsi="Arial" w:cs="Arial"/>
          <w:b/>
          <w:bCs/>
          <w:color w:val="242424"/>
          <w:sz w:val="20"/>
          <w:szCs w:val="20"/>
        </w:rPr>
        <w:t>Survey Sections:</w:t>
      </w:r>
    </w:p>
    <w:p w14:paraId="46255A93" w14:textId="19C10480" w:rsidR="00230DCB" w:rsidRPr="00F41D70" w:rsidRDefault="730393D6" w:rsidP="320359F4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rial" w:eastAsia="Calibri" w:hAnsi="Arial" w:cs="Arial"/>
          <w:color w:val="242424"/>
          <w:sz w:val="20"/>
          <w:szCs w:val="20"/>
        </w:rPr>
      </w:pPr>
      <w:r w:rsidRPr="00F41D70">
        <w:rPr>
          <w:rFonts w:ascii="Arial" w:eastAsia="Calibri" w:hAnsi="Arial" w:cs="Arial"/>
          <w:color w:val="242424"/>
          <w:sz w:val="20"/>
          <w:szCs w:val="20"/>
        </w:rPr>
        <w:t>Identity (i.e. demographics including age, ethnicity, sex, gender identity, religion)</w:t>
      </w:r>
    </w:p>
    <w:p w14:paraId="361A9814" w14:textId="629B5FC3" w:rsidR="00230DCB" w:rsidRPr="00F41D70" w:rsidRDefault="730393D6" w:rsidP="320359F4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rial" w:eastAsia="Calibri" w:hAnsi="Arial" w:cs="Arial"/>
          <w:color w:val="242424"/>
          <w:sz w:val="20"/>
          <w:szCs w:val="20"/>
        </w:rPr>
      </w:pPr>
      <w:r w:rsidRPr="00F41D70">
        <w:rPr>
          <w:rFonts w:ascii="Arial" w:eastAsia="Calibri" w:hAnsi="Arial" w:cs="Arial"/>
          <w:color w:val="242424"/>
          <w:sz w:val="20"/>
          <w:szCs w:val="20"/>
        </w:rPr>
        <w:t>Socioeconomic Factors (i.e. education, employment, financial security)</w:t>
      </w:r>
    </w:p>
    <w:p w14:paraId="3560C433" w14:textId="30AB682A" w:rsidR="00230DCB" w:rsidRPr="00F41D70" w:rsidRDefault="730393D6" w:rsidP="320359F4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rial" w:eastAsia="Calibri" w:hAnsi="Arial" w:cs="Arial"/>
          <w:color w:val="242424"/>
          <w:sz w:val="20"/>
          <w:szCs w:val="20"/>
        </w:rPr>
      </w:pPr>
      <w:r w:rsidRPr="00F41D70">
        <w:rPr>
          <w:rFonts w:ascii="Arial" w:eastAsia="Calibri" w:hAnsi="Arial" w:cs="Arial"/>
          <w:color w:val="242424"/>
          <w:sz w:val="20"/>
          <w:szCs w:val="20"/>
        </w:rPr>
        <w:t>Potential Biases (i.e. physician preferences, influences on decision making)</w:t>
      </w:r>
    </w:p>
    <w:p w14:paraId="416FD0ED" w14:textId="1E5C4C69" w:rsidR="00230DCB" w:rsidRPr="00F41D70" w:rsidRDefault="730393D6" w:rsidP="320359F4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rial" w:eastAsia="Calibri" w:hAnsi="Arial" w:cs="Arial"/>
          <w:color w:val="242424"/>
          <w:sz w:val="20"/>
          <w:szCs w:val="20"/>
        </w:rPr>
      </w:pPr>
      <w:r w:rsidRPr="00F41D70">
        <w:rPr>
          <w:rFonts w:ascii="Arial" w:eastAsia="Calibri" w:hAnsi="Arial" w:cs="Arial"/>
          <w:color w:val="242424"/>
          <w:sz w:val="20"/>
          <w:szCs w:val="20"/>
        </w:rPr>
        <w:t>Medical Factors (i.e. chronic illness, treatments, health insurance)</w:t>
      </w:r>
    </w:p>
    <w:p w14:paraId="448B9FB4" w14:textId="0B3988BB" w:rsidR="00230DCB" w:rsidRPr="00F41D70" w:rsidRDefault="730393D6" w:rsidP="320359F4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rial" w:eastAsia="Calibri" w:hAnsi="Arial" w:cs="Arial"/>
          <w:color w:val="242424"/>
          <w:sz w:val="20"/>
          <w:szCs w:val="20"/>
        </w:rPr>
      </w:pPr>
      <w:r w:rsidRPr="00F41D70">
        <w:rPr>
          <w:rFonts w:ascii="Arial" w:eastAsia="Calibri" w:hAnsi="Arial" w:cs="Arial"/>
          <w:color w:val="242424"/>
          <w:sz w:val="20"/>
          <w:szCs w:val="20"/>
        </w:rPr>
        <w:t>Technology/Wearables (i.e. health monitoring)</w:t>
      </w:r>
    </w:p>
    <w:p w14:paraId="130F9CF5" w14:textId="06927CFB" w:rsidR="00230DCB" w:rsidRPr="00F41D70" w:rsidRDefault="730393D6" w:rsidP="320359F4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rial" w:eastAsia="Calibri" w:hAnsi="Arial" w:cs="Arial"/>
          <w:color w:val="242424"/>
          <w:sz w:val="20"/>
          <w:szCs w:val="20"/>
        </w:rPr>
      </w:pPr>
      <w:r w:rsidRPr="00F41D70">
        <w:rPr>
          <w:rFonts w:ascii="Arial" w:eastAsia="Calibri" w:hAnsi="Arial" w:cs="Arial"/>
          <w:color w:val="242424"/>
          <w:sz w:val="20"/>
          <w:szCs w:val="20"/>
        </w:rPr>
        <w:t>Clinical Trials (i.e. factors which influence decision making)</w:t>
      </w:r>
    </w:p>
    <w:p w14:paraId="2C078E63" w14:textId="60C203DB" w:rsidR="00230DCB" w:rsidRPr="00D02852" w:rsidRDefault="00230DCB">
      <w:pPr>
        <w:rPr>
          <w:rFonts w:ascii="Arial" w:hAnsi="Arial" w:cs="Arial"/>
          <w:sz w:val="20"/>
          <w:szCs w:val="20"/>
        </w:rPr>
      </w:pPr>
    </w:p>
    <w:sectPr w:rsidR="00230DCB" w:rsidRPr="00D02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A67D"/>
    <w:multiLevelType w:val="hybridMultilevel"/>
    <w:tmpl w:val="17D4818A"/>
    <w:lvl w:ilvl="0" w:tplc="0B8A0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88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A6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A5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D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E5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04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A2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CD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61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B966D8"/>
    <w:rsid w:val="00230DCB"/>
    <w:rsid w:val="00306B5D"/>
    <w:rsid w:val="009B6B08"/>
    <w:rsid w:val="00A62D75"/>
    <w:rsid w:val="00D02852"/>
    <w:rsid w:val="00DC42DD"/>
    <w:rsid w:val="00F41D70"/>
    <w:rsid w:val="06C5D2C9"/>
    <w:rsid w:val="07DD00B1"/>
    <w:rsid w:val="1CB966D8"/>
    <w:rsid w:val="2DC11E09"/>
    <w:rsid w:val="320359F4"/>
    <w:rsid w:val="3A11ABFD"/>
    <w:rsid w:val="635C1EF2"/>
    <w:rsid w:val="73039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6B990"/>
  <w15:chartTrackingRefBased/>
  <w15:docId w15:val="{2488C23E-5A9F-4E19-9813-5DD31548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uiPriority w:val="99"/>
    <w:semiHidden/>
    <w:rsid w:val="00306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06B5D"/>
    <w:pPr>
      <w:spacing w:after="0" w:line="48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B5D"/>
    <w:rPr>
      <w:rFonts w:ascii="Arial" w:eastAsia="Times New Roman" w:hAnsi="Arial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bf5cc5-bd82-41ef-9466-5255cff72f9b">
      <Terms xmlns="http://schemas.microsoft.com/office/infopath/2007/PartnerControls"/>
    </lcf76f155ced4ddcb4097134ff3c332f>
    <TaxCatchAll xmlns="48f8c7f1-0b02-4bda-a82c-bf4304be03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B5CA9E060F84BBBC44CEBA499380D" ma:contentTypeVersion="13" ma:contentTypeDescription="Create a new document." ma:contentTypeScope="" ma:versionID="b0d0a5609cecb2d789c9e0e03d5fea9f">
  <xsd:schema xmlns:xsd="http://www.w3.org/2001/XMLSchema" xmlns:xs="http://www.w3.org/2001/XMLSchema" xmlns:p="http://schemas.microsoft.com/office/2006/metadata/properties" xmlns:ns2="54bf5cc5-bd82-41ef-9466-5255cff72f9b" xmlns:ns3="48f8c7f1-0b02-4bda-a82c-bf4304be0302" targetNamespace="http://schemas.microsoft.com/office/2006/metadata/properties" ma:root="true" ma:fieldsID="41ed9e50972d736c4f94c7cfd469eaee" ns2:_="" ns3:_="">
    <xsd:import namespace="54bf5cc5-bd82-41ef-9466-5255cff72f9b"/>
    <xsd:import namespace="48f8c7f1-0b02-4bda-a82c-bf4304be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f5cc5-bd82-41ef-9466-5255cff72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078bdb-18a8-4b38-96d3-955d15450c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c7f1-0b02-4bda-a82c-bf4304be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afdeb9-11f6-4515-a4d6-67ff52df12ef}" ma:internalName="TaxCatchAll" ma:showField="CatchAllData" ma:web="48f8c7f1-0b02-4bda-a82c-bf4304be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FDD04-C905-49BA-A12D-0D51E71D8918}">
  <ds:schemaRefs>
    <ds:schemaRef ds:uri="http://schemas.microsoft.com/office/2006/metadata/properties"/>
    <ds:schemaRef ds:uri="http://schemas.microsoft.com/office/infopath/2007/PartnerControls"/>
    <ds:schemaRef ds:uri="54bf5cc5-bd82-41ef-9466-5255cff72f9b"/>
    <ds:schemaRef ds:uri="48f8c7f1-0b02-4bda-a82c-bf4304be0302"/>
  </ds:schemaRefs>
</ds:datastoreItem>
</file>

<file path=customXml/itemProps2.xml><?xml version="1.0" encoding="utf-8"?>
<ds:datastoreItem xmlns:ds="http://schemas.openxmlformats.org/officeDocument/2006/customXml" ds:itemID="{5AE4CFCC-6A67-4305-A049-C6943AAB6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29412-8118-4555-9C45-D3C55EF6E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f5cc5-bd82-41ef-9466-5255cff72f9b"/>
    <ds:schemaRef ds:uri="48f8c7f1-0b02-4bda-a82c-bf4304be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Baines</dc:creator>
  <cp:keywords/>
  <dc:description/>
  <cp:lastModifiedBy>Writer</cp:lastModifiedBy>
  <cp:revision>6</cp:revision>
  <dcterms:created xsi:type="dcterms:W3CDTF">2024-10-16T09:54:00Z</dcterms:created>
  <dcterms:modified xsi:type="dcterms:W3CDTF">2024-10-16T10:20:00Z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0x01010025FB5CA9E060F84BBBC44CEBA499380D</vt:lpwstr>
  </property>
  <property fmtid="{D5CDD505-2E9C-101B-9397-08002B2CF9AE}" pid="3" name="MediaServiceImageTags">
    <vt:lpwstr/>
  </property>
</Properties>
</file>